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6D28D9"/>
          <w:sz w:val="88"/>
          <w:szCs w:val="88"/>
        </w:rPr>
        <w:t xml:space="preserve">DISTRIB</w:t>
      </w:r>
    </w:p>
    <w:p>
      <w:pPr>
        <w:spacing w:after="80" w:before="160"/>
        <w:jc w:val="center"/>
      </w:pPr>
      <w:r>
        <w:rPr>
          <w:color w:val="1F2937"/>
          <w:sz w:val="40"/>
          <w:szCs w:val="40"/>
        </w:rPr>
        <w:t xml:space="preserve">Synthèse du projet</w:t>
      </w:r>
    </w:p>
    <w:p>
      <w:pPr>
        <w:spacing w:after="500"/>
        <w:jc w:val="center"/>
      </w:pPr>
      <w:r>
        <w:rPr>
          <w:color w:val="6B7280"/>
          <w:sz w:val="22"/>
          <w:szCs w:val="22"/>
        </w:rPr>
        <w:t xml:space="preserve">Solution · Enjeux · Itérations de développement · Choix technologiques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Version 1.0 — 24 juillet 2026</w:t>
      </w:r>
    </w:p>
    <w:p>
      <w:pPr>
        <w:jc w:val="center"/>
      </w:pPr>
      <w:r>
        <w:rPr>
          <w:color w:val="6B7280"/>
          <w:sz w:val="20"/>
          <w:szCs w:val="20"/>
        </w:rPr>
        <w:t xml:space="preserve">Document confidentiel — complète le Master Document v3.0 (avril 2026)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D28D9"/>
          <w:sz w:val="30"/>
          <w:szCs w:val="30"/>
        </w:rPr>
        <w:t xml:space="preserve">1. Résumé exécutif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DISTRIB est une plateforme de </w:t>
      </w:r>
      <w:r>
        <w:rPr>
          <w:b/>
          <w:bCs/>
          <w:color w:val="1F2937"/>
          <w:sz w:val="21"/>
          <w:szCs w:val="21"/>
        </w:rPr>
        <w:t xml:space="preserve">protection des droits musicaux pour artistes indépendants</w:t>
      </w:r>
      <w:r>
        <w:rPr>
          <w:color w:val="1F2937"/>
          <w:sz w:val="21"/>
          <w:szCs w:val="21"/>
        </w:rPr>
        <w:t xml:space="preserve">, construite autour de trois piliers : un vault créatif collaboratif dont chaque dépôt est ancré sur la blockchain Polygon, des déclarations SACEM (œuvres et concerts) générées automatiquement, et une reconnaissance acoustique qui détecte les réutilisations d'un fichier — dans le vault comme sur les plateformes de streaming.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Le projet a été spécifié dans le Master Document v3.0 (avril 2026) pour un développeur solo, un budget de 300 à 500 € sur 8 mois et une roadmap en 5 sprints. </w:t>
      </w:r>
      <w:r>
        <w:rPr>
          <w:b/>
          <w:bCs/>
          <w:color w:val="1F2937"/>
          <w:sz w:val="21"/>
          <w:szCs w:val="21"/>
        </w:rPr>
        <w:t xml:space="preserve">Les 5 sprints sont aujourd'hui intégralement codés, testés et poussés sur GitHub</w:t>
      </w:r>
      <w:r>
        <w:rPr>
          <w:color w:val="1F2937"/>
          <w:sz w:val="21"/>
          <w:szCs w:val="21"/>
        </w:rPr>
        <w:t xml:space="preserve"> (dépôt privé, 6 commits structurés). Le smart contract est écrit et couvert par 19 tests automatisés ; il reste le provisioning des services externes (base de données, e-mail, stockage, RPC blockchain) et la période obligatoire de 2 semaines sur le testnet Polygon Amoy avant la mise en production complète.</w:t>
      </w:r>
    </w:p>
    <w:p>
      <w:pPr>
        <w:pStyle w:val="Heading1"/>
        <w:spacing w:after="160" w:before="320"/>
      </w:pPr>
      <w:r>
        <w:rPr>
          <w:b/>
          <w:bCs/>
          <w:color w:val="6D28D9"/>
          <w:sz w:val="30"/>
          <w:szCs w:val="30"/>
        </w:rPr>
        <w:t xml:space="preserve">2. La solution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2.1 Trois piliers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Pilier 1 — Vault blockchain.</w:t>
      </w:r>
      <w:r>
        <w:rPr>
          <w:color w:val="1F2937"/>
          <w:sz w:val="21"/>
          <w:szCs w:val="21"/>
        </w:rPr>
        <w:t xml:space="preserve"> Versioning collaboratif protégé on-chain : chaque fichier (WAV, FLP, ALS, PTX, stems, paroles), chaque approbation et chaque répartition de droits est immuable. La description libre de contribution constitue une preuve de paternité datée et archivée.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Pilier 2 — Déclarations automatiques.</w:t>
      </w:r>
      <w:r>
        <w:rPr>
          <w:color w:val="1F2937"/>
          <w:sz w:val="21"/>
          <w:szCs w:val="21"/>
        </w:rPr>
        <w:t xml:space="preserve"> Dès l'approbation unanime d'une version, le bulletin SACEM pré-rempli est généré (titre, ISRC, splits, preuve blockchain). Le calendrier de concerts déclenche des rappels J-15 / J-5 / J+1 pour ne plus jamais perdre de droits de représentation — l'argent le plus souvent abandonné par les indépendants.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Pilier 3 — Reconnaissance audio.</w:t>
      </w:r>
      <w:r>
        <w:rPr>
          <w:color w:val="1F2937"/>
          <w:sz w:val="21"/>
          <w:szCs w:val="21"/>
        </w:rPr>
        <w:t xml:space="preserve"> Double protection à chaque upload : hash SHA-256 ancré sur Polygon (preuve d'antériorité) et empreinte acoustique Chromaprint (détection d'une réutilisation même pitchée, ralentie ou découpée). Scan externe des DSP (Spotify, Apple Music, Deezer…) via AudD.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2.2 Architecture en cinq couches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L'artiste n'interagit qu'avec la couche haute ; tout le reste est automatisé et invisible 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6700"/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Artiste &amp; collaborateurs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Upload, splits, invitations, permissions par rôle (artiste, co-auteur, beatmaker, co-beatmaker)</w:t>
            </w:r>
          </w:p>
        </w:tc>
      </w:tr>
      <w:tr>
        <w:tc>
          <w:tcPr>
            <w:tcW w:type="dxa" w:w="2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Vault collaboratif</w:t>
            </w:r>
          </w:p>
        </w:tc>
        <w:tc>
          <w:tcPr>
            <w:tcW w:type="dxa" w:w="67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Fichiers, versioning, descriptions de contribution, flux d'approbation multi-parties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Blockchain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Hash SHA-256 + fingerprint, smart contract d'états, signatures eIDAS, splits archivés</w:t>
            </w:r>
          </w:p>
        </w:tc>
      </w:tr>
      <w:tr>
        <w:tc>
          <w:tcPr>
            <w:tcW w:type="dxa" w:w="2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Reconnaissance audio</w:t>
            </w:r>
          </w:p>
        </w:tc>
        <w:tc>
          <w:tcPr>
            <w:tcW w:type="dxa" w:w="67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Empreinte par fichier, détection interne vault-contre-vault, scan externe DSP, claims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Distribution &amp; revenus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Blocage/déblocage de la publication (canPublish), déclarations, dashboard revenus unifié</w:t>
            </w:r>
          </w:p>
        </w:tc>
      </w:tr>
    </w:tbl>
    <w:p>
      <w:pPr>
        <w:spacing w:after="60"/>
      </w:pPr>
      <w:r>
        <w:rPr>
          <w:color w:val="1F2937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2.3 Le flux central : de l'upload à la publication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Un contributeur dépose une version avec sa description ➜ tous les contributeurs sont notifiés et approuvent (ou refusent avec commentaire) ➜ à l'unanimité, le hash final est ancré on-chain et canPublish passe à vrai ➜ le bulletin SACEM est généré ➜ la distribution est débloquée. Un seul refus, ou une correspondance acoustique non résolue, bloque physiquement la publication.</w:t>
      </w:r>
    </w:p>
    <w:p>
      <w:pPr>
        <w:pStyle w:val="Heading1"/>
        <w:spacing w:after="160" w:before="320"/>
      </w:pPr>
      <w:r>
        <w:rPr>
          <w:b/>
          <w:bCs/>
          <w:color w:val="6D28D9"/>
          <w:sz w:val="30"/>
          <w:szCs w:val="30"/>
        </w:rPr>
        <w:t xml:space="preserve">3. Les enjeux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3.1 Enjeux pour les artistes indépendants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Des droits massivement perdus.</w:t>
      </w:r>
      <w:r>
        <w:rPr>
          <w:color w:val="1F2937"/>
          <w:sz w:val="21"/>
          <w:szCs w:val="21"/>
        </w:rPr>
        <w:t xml:space="preserve"> Un indépendant qui s'autoproduit est à la fois auteur (SACEM), interprète (ADAMI) et producteur (SCPP/SPPF), plus les droits mécaniques (SDRM) : quatre organismes, des démarches distinctes, et des concerts très souvent jamais déclarés.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La preuve de paternité.</w:t>
      </w:r>
      <w:r>
        <w:rPr>
          <w:color w:val="1F2937"/>
          <w:sz w:val="21"/>
          <w:szCs w:val="21"/>
        </w:rPr>
        <w:t xml:space="preserve"> En cas de leak, de sample non autorisé ou de litige entre collaborateurs, l'artiste n'a généralement aucune preuve datée et opposable de son antériorité. Le hash on-chain survit à la plateforme : il reste vérifiable publiquement sur Polygon même si DISTRIB disparaît.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Des collaborations sans cadre.</w:t>
      </w:r>
      <w:r>
        <w:rPr>
          <w:color w:val="1F2937"/>
          <w:sz w:val="21"/>
          <w:szCs w:val="21"/>
        </w:rPr>
        <w:t xml:space="preserve"> Les morceaux se font à plusieurs (beatmaker, topline, feat) mais les répartitions restent orales. DISTRIB impose des splits explicites (somme = 100 %), approuvés par tous et signés.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La confiance.</w:t>
      </w:r>
      <w:r>
        <w:rPr>
          <w:color w:val="1F2937"/>
          <w:sz w:val="21"/>
          <w:szCs w:val="21"/>
        </w:rPr>
        <w:t xml:space="preserve"> La valeur juridique du dispositif repose sur l'immuabilité : si un fichier pouvait être supprimé ou une version réécrite, toute la chaîne de preuve s'effondrerait. D'où la règle d'or : aucune suppression, jamais, pour personne.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3.2 Enjeux techniques et contraintes du projet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Développeur solo, 8 mois, ~500 €.</w:t>
      </w:r>
      <w:r>
        <w:rPr>
          <w:color w:val="1F2937"/>
          <w:sz w:val="21"/>
          <w:szCs w:val="21"/>
        </w:rPr>
        <w:t xml:space="preserve"> Chaque choix technique privilégie l'open source, les offres gratuites (Supabase, Alchemy, Resend, AudD) et une infra à ~15 €/mois.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Un smart contract sans audit externe.</w:t>
      </w:r>
      <w:r>
        <w:rPr>
          <w:color w:val="1F2937"/>
          <w:sz w:val="21"/>
          <w:szCs w:val="21"/>
        </w:rPr>
        <w:t xml:space="preserve"> Impossible de payer un audit : le contrat doit donc être minimal au point d'être trivialement vérifiable — des états et des booléens, aucun fonds, aucune fonction superflue.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L'irréversibilité du déploiement.</w:t>
      </w:r>
      <w:r>
        <w:rPr>
          <w:color w:val="1F2937"/>
          <w:sz w:val="21"/>
          <w:szCs w:val="21"/>
        </w:rPr>
        <w:t xml:space="preserve"> Une fois le contrat sur mainnet, certaines migrations deviennent douloureuses : tout le schéma devait être conçu dès le Sprint 1 — il l'a été (14 tables + le monitoring externe anticipé).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La simplicité pour l'artiste.</w:t>
      </w:r>
      <w:r>
        <w:rPr>
          <w:color w:val="1F2937"/>
          <w:sz w:val="21"/>
          <w:szCs w:val="21"/>
        </w:rPr>
        <w:t xml:space="preserve"> La blockchain est un moyen, pas un argument marketing : l'utilisateur voit « fichier protégé », jamais un hash, une transaction ou un wallet.</w:t>
      </w:r>
    </w:p>
    <w:p>
      <w:pPr>
        <w:pStyle w:val="Heading1"/>
        <w:spacing w:after="160" w:before="320"/>
      </w:pPr>
      <w:r>
        <w:rPr>
          <w:b/>
          <w:bCs/>
          <w:color w:val="6D28D9"/>
          <w:sz w:val="30"/>
          <w:szCs w:val="30"/>
        </w:rPr>
        <w:t xml:space="preserve">4. Les cinq principes non négociables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Rappelés en conclusion du Master Document, ils ont guidé chaque décision d'implémentation 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200"/>
      </w:tblGrid>
      <w:tr>
        <w:tc>
          <w:tcPr>
            <w:tcW w:type="dxa" w:w="700"/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  <w:tc>
          <w:tcPr>
            <w:tcW w:type="dxa" w:w="4200"/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Traduction dans le code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 fichier ne peut jamais être supprimé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 de colonne deleted_at ; DELETE → HTTP 403 systématique ; bouton absent ; S3 Object Lock COMPLIANCE + legal hold</w:t>
            </w:r>
          </w:p>
        </w:tc>
      </w:tr>
      <w:tr>
        <w:tc>
          <w:tcPr>
            <w:tcW w:type="dxa" w:w="7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contract minimal — états et booléens uniquement</w:t>
            </w:r>
          </w:p>
        </w:tc>
        <w:tc>
          <w:tcPr>
            <w:tcW w:type="dxa" w:w="42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fonctions exactement, zéro fonds/tokens, OpenZeppelin Ownable + ReentrancyGuard, events comme audit public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semaines minimum sur testnet Amoy avant mainnet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Réseau par défaut = amoy ; garde-fous dans la config Hardhat, le module de déploiement et le README</w:t>
            </w:r>
          </w:p>
        </w:tc>
      </w:tr>
      <w:tr>
        <w:tc>
          <w:tcPr>
            <w:tcW w:type="dxa" w:w="7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Tout le schéma BDD pensé au Sprint 1</w:t>
            </w:r>
          </w:p>
        </w:tc>
        <w:tc>
          <w:tcPr>
            <w:tcW w:type="dxa" w:w="42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14 tables + 4 tables NextAuth conçues d'un bloc ; contrainte « somme des splits = 100 % » au niveau SQL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Blockchain invisible pour l'artiste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Wallet serveur en variable d'environnement ; aucun échec RPC ne bloque un flux utilisateur (ancrage rejouable)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D28D9"/>
          <w:sz w:val="30"/>
          <w:szCs w:val="30"/>
        </w:rPr>
        <w:t xml:space="preserve">5. Les choix technologiques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5.1 Stack retenue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400"/>
      </w:tblGrid>
      <w:tr>
        <w:tc>
          <w:tcPr>
            <w:tcW w:type="dxa" w:w="2100"/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2600"/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4400"/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Frontend / backend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Next.js 16 · React 19 · TypeScript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Full-stack en un seul framework (App Router, Server Actions, route handlers) — idéal en solo</w:t>
            </w:r>
          </w:p>
        </w:tc>
      </w:tr>
      <w:tr>
        <w:tc>
          <w:tcPr>
            <w:tcW w:type="dxa" w:w="21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UI</w:t>
            </w:r>
          </w:p>
        </w:tc>
        <w:tc>
          <w:tcPr>
            <w:tcW w:type="dxa" w:w="26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Tailwind CSS v4</w:t>
            </w:r>
          </w:p>
        </w:tc>
        <w:tc>
          <w:tcPr>
            <w:tcW w:type="dxa" w:w="4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Vitesse de développement, thème sombre natif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Supabase PostgreSQL + Prisma 7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Postgres managé gratuit ; ORM typé ; migrations versionnées ; triggers SQL pour les invariants métier</w:t>
            </w:r>
          </w:p>
        </w:tc>
      </w:tr>
      <w:tr>
        <w:tc>
          <w:tcPr>
            <w:tcW w:type="dxa" w:w="21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26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Auth.js v5 (NextAuth) + Resend</w:t>
            </w:r>
          </w:p>
        </w:tc>
        <w:tc>
          <w:tcPr>
            <w:tcW w:type="dxa" w:w="4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Magic link : zéro mot de passe à protéger ; l'e-mail est l'identité (invitations comprises)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Stockage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S3 Object Lock COMPLIANCE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Immuabilité garantie par l'infrastructure — même l'admin AWS ne peut pas supprimer</w:t>
            </w:r>
          </w:p>
        </w:tc>
      </w:tr>
      <w:tr>
        <w:tc>
          <w:tcPr>
            <w:tcW w:type="dxa" w:w="21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Blockchain</w:t>
            </w:r>
          </w:p>
        </w:tc>
        <w:tc>
          <w:tcPr>
            <w:tcW w:type="dxa" w:w="26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Solidity 0.8.28 · Hardhat 3 · Polygon</w:t>
            </w:r>
          </w:p>
        </w:tc>
        <w:tc>
          <w:tcPr>
            <w:tcW w:type="dxa" w:w="4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Frais de l'ordre du centime (~0,01 € par projet, ~0,002 € par approbation) ; écosystème mature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RPC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Alchemy (Amoy + mainnet)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Nœud managé gratuit ; ethers.js v6 côté serveur</w:t>
            </w:r>
          </w:p>
        </w:tc>
      </w:tr>
      <w:tr>
        <w:tc>
          <w:tcPr>
            <w:tcW w:type="dxa" w:w="21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Signatures</w:t>
            </w:r>
          </w:p>
        </w:tc>
        <w:tc>
          <w:tcPr>
            <w:tcW w:type="dxa" w:w="26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Yousign (eIDAS)</w:t>
            </w:r>
          </w:p>
        </w:tc>
        <w:tc>
          <w:tcPr>
            <w:tcW w:type="dxa" w:w="4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Valeur légale UE pour les splits et bulletins ; ~0,50 €/signature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PDF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pdf-lib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Bulletins SACEM et certificats générés à la volée, open source</w:t>
            </w:r>
          </w:p>
        </w:tc>
      </w:tr>
      <w:tr>
        <w:tc>
          <w:tcPr>
            <w:tcW w:type="dxa" w:w="21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E-mail</w:t>
            </w:r>
          </w:p>
        </w:tc>
        <w:tc>
          <w:tcPr>
            <w:tcW w:type="dxa" w:w="26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Resend</w:t>
            </w:r>
          </w:p>
        </w:tc>
        <w:tc>
          <w:tcPr>
            <w:tcW w:type="dxa" w:w="4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3 000 e-mails/mois gratuits — magic links et rappels concerts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Fingerprint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Chromaprint (fpcalc)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Open source, robuste au pitch/tempo ; empreinte compacte stockée en binaire</w:t>
            </w:r>
          </w:p>
        </w:tc>
      </w:tr>
      <w:tr>
        <w:tc>
          <w:tcPr>
            <w:tcW w:type="dxa" w:w="21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Scan externe</w:t>
            </w:r>
          </w:p>
        </w:tc>
        <w:tc>
          <w:tcPr>
            <w:tcW w:type="dxa" w:w="26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AudD API</w:t>
            </w:r>
          </w:p>
        </w:tc>
        <w:tc>
          <w:tcPr>
            <w:tcW w:type="dxa" w:w="4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 requêtes/mois gratuites (bascule ACRCloud prévue à 1 000+ scans/mois)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Hébergement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Railway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~5 €/mois, crons intégrés, healthcheck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5.2 Écarts assumés par rapport au Master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Versions plus récentes que la spec</w:t>
      </w:r>
      <w:r>
        <w:rPr>
          <w:color w:val="1F2937"/>
          <w:sz w:val="21"/>
          <w:szCs w:val="21"/>
        </w:rPr>
        <w:t xml:space="preserve"> : le doc citait Next.js 14 ; le projet est construit sur Next.js 16 / React 19 / Prisma 7 / Hardhat 3 (dernières versions stables en 2026), ce qui a demandé quelques adaptations non prévues (proxy à la place du middleware, params asynchrones, adapter Postgres explicite pour Prisma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Nom du contrat</w:t>
      </w:r>
      <w:r>
        <w:rPr>
          <w:color w:val="1F2937"/>
          <w:sz w:val="21"/>
          <w:szCs w:val="21"/>
        </w:rPr>
        <w:t xml:space="preserve"> : MasterRoyaltyContract.sol dans le doc, DistribRegistry.sol dans le code — même rôle, nom plus fidèle à ce qu'il fait (un registre d'états, pas de royautés on-chain).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Preuve d'antériorité au dépôt</w:t>
      </w:r>
      <w:r>
        <w:rPr>
          <w:color w:val="1F2937"/>
          <w:sz w:val="21"/>
          <w:szCs w:val="21"/>
        </w:rPr>
        <w:t xml:space="preserve"> : plutôt que d'ajouter une fonction au contrat (interdit par le principe n°2), le hash SHA-256 de chaque fichier est ancré par une transaction brute du wallet serveur vers lui-même, le hash en calldata. Horodatage public, surface du contrat inchangée.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Services « dégradables »</w:t>
      </w:r>
      <w:r>
        <w:rPr>
          <w:color w:val="1F2937"/>
          <w:sz w:val="21"/>
          <w:szCs w:val="21"/>
        </w:rPr>
        <w:t xml:space="preserve"> : tout service externe non provisionné (S3, Resend, Yousign, AudD, RPC, fpcalc) est détecté à l'exécution et se dégrade proprement (no-op ou flux manuel) au lieu de faire échouer l'application. La route /api/health expose l'état de chaque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Hash de version déterministe</w:t>
      </w:r>
      <w:r>
        <w:rPr>
          <w:color w:val="1F2937"/>
          <w:sz w:val="21"/>
          <w:szCs w:val="21"/>
        </w:rPr>
        <w:t xml:space="preserve"> : keccak256 de la concaténation triée des SHA-256 des fichiers — recalculable par n'importe qui, indépendant de l'ordre d'upload.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D28D9"/>
          <w:sz w:val="30"/>
          <w:szCs w:val="30"/>
        </w:rPr>
        <w:t xml:space="preserve">6. Les itérations réalisées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Développement mené en une campagne intensive (mai – juillet 2026), en suivant l'ordre des sprints du Master Document. Chaque sprint correspond à un commit structuré sur le dépôt GitHub privé </w:t>
      </w:r>
      <w:r>
        <w:rPr>
          <w:b/>
          <w:bCs/>
          <w:color w:val="1F2937"/>
          <w:sz w:val="21"/>
          <w:szCs w:val="21"/>
        </w:rPr>
        <w:t xml:space="preserve">Tdanklousgdmt/DISTRIB</w:t>
      </w:r>
      <w:r>
        <w:rPr>
          <w:color w:val="1F2937"/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Itération 1 — Fondations (Sprint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Scaffold Next.js 16 + Tailwind v4 + Prisma 7 (client généré dans le repo, adapter Postgres).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Schéma de données complet en un bloc</w:t>
      </w:r>
      <w:r>
        <w:rPr>
          <w:color w:val="1F2937"/>
          <w:sz w:val="21"/>
          <w:szCs w:val="21"/>
        </w:rPr>
        <w:t xml:space="preserve"> : 10 tables métier (projects, versions, vault_files, contributors, splits, approvals, concerts, sacem_declarations, claims, fingerprints, notifications) + 4 tables NextAuth.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3 migrations SQL écrites hors-ligne (sans BDD provisionnée), dont un </w:t>
      </w:r>
      <w:r>
        <w:rPr>
          <w:b/>
          <w:bCs/>
          <w:color w:val="1F2937"/>
          <w:sz w:val="21"/>
          <w:szCs w:val="21"/>
        </w:rPr>
        <w:t xml:space="preserve">trigger de contrainte différé garantissant « somme des splits = 100 % »</w:t>
      </w:r>
      <w:r>
        <w:rPr>
          <w:color w:val="1F2937"/>
          <w:sz w:val="21"/>
          <w:szCs w:val="21"/>
        </w:rPr>
        <w:t xml:space="preserve"> au niveau de la base — un simple CHECK ne sait pas valider une règle multi-lignes.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Authentification par magic link (Auth.js v5 + Resend), pages de connexion/vérification.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Stockage S3 avec </w:t>
      </w:r>
      <w:r>
        <w:rPr>
          <w:b/>
          <w:bCs/>
          <w:color w:val="1F2937"/>
          <w:sz w:val="21"/>
          <w:szCs w:val="21"/>
        </w:rPr>
        <w:t xml:space="preserve">Object Lock COMPLIANCE + legal hold</w:t>
      </w:r>
      <w:r>
        <w:rPr>
          <w:color w:val="1F2937"/>
          <w:sz w:val="21"/>
          <w:szCs w:val="21"/>
        </w:rPr>
        <w:t xml:space="preserve"> posés à l'écriture ; API refusant tout DELETE (403).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Itération 2 — Vault collaboratif (Sprint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Flux d'approbation multi-parties : au dépôt d'une version, une approbation est créée par contributeur (créateur auto-approuvé) ; unanimité → version approuvée, courante, ancrée on-chain ; un refus → version rejetée. Cas solo : finalisation immédiate.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Éditeur de répartition des droits validé trois fois (interface, serveur, trigger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Invitations par e-mail (le compte est créé à vide, le magic link le récupère), notifications in-app avec badge de non-lues.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Itération 3 — Smart contract (Sprint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DistribRegistry.sol : exactement 5 fonctions</w:t>
      </w:r>
      <w:r>
        <w:rPr>
          <w:color w:val="1F2937"/>
          <w:sz w:val="21"/>
          <w:szCs w:val="21"/>
        </w:rPr>
        <w:t xml:space="preserve"> — registerProject, approveVersion, canPublish, setPendingClaim, resolveClaim. Erreurs typées, events pour l'audit public, OpenZeppelin Ownable + ReentrancyGuard, immuabilité des versions ancrées (ré-ancrage refusé).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19 tests Hardhat, tous verts</w:t>
      </w:r>
      <w:r>
        <w:rPr>
          <w:color w:val="1F2937"/>
          <w:sz w:val="21"/>
          <w:szCs w:val="21"/>
        </w:rPr>
        <w:t xml:space="preserve"> : contrôle d'accès sur chaque fonction, doubles enregistrements, hash nul, cycle claim → blocage → résolution, isolation entre projets.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Intégration serveur ethers.js v6 : identifiants on-chain dérivés (keccak256 des identifiants BDD), ancrage d'antériorité par calldata, synchronisation canPublish, et la règle « </w:t>
      </w:r>
      <w:r>
        <w:rPr>
          <w:b/>
          <w:bCs/>
          <w:color w:val="1F2937"/>
          <w:sz w:val="21"/>
          <w:szCs w:val="21"/>
        </w:rPr>
        <w:t xml:space="preserve">jamais faire échouer un flux artiste</w:t>
      </w:r>
      <w:r>
        <w:rPr>
          <w:color w:val="1F2937"/>
          <w:sz w:val="21"/>
          <w:szCs w:val="21"/>
        </w:rPr>
        <w:t xml:space="preserve"> » (erreur RPC → journalisée, rejouable).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Module de déploiement Ignition avec garde-fous testnet → mainnet.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Itération 4 — SACEM, concerts &amp; revenus (Sprint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Bulletins PDF générés depuis les données du vault : déclaration d'œuvre (ayants droit, parts, hashs, transaction Polygon) et programme de concert (setlist, jauge).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Calendrier concerts avec </w:t>
      </w:r>
      <w:r>
        <w:rPr>
          <w:b/>
          <w:bCs/>
          <w:color w:val="1F2937"/>
          <w:sz w:val="21"/>
          <w:szCs w:val="21"/>
        </w:rPr>
        <w:t xml:space="preserve">rappels automatiques J-15 / J-5 / J+1</w:t>
      </w:r>
      <w:r>
        <w:rPr>
          <w:color w:val="1F2937"/>
          <w:sz w:val="21"/>
          <w:szCs w:val="21"/>
        </w:rPr>
        <w:t xml:space="preserve"> : cron quotidien idempotent sécurisé par secret, notification in-app + e-mail.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Dashboard revenus unifié : totaux œuvres/live, suivi des déclarations (à signer → transmise → payée), saisie des versements.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Signatures Yousign intégrées en mode dégradable : sans clé API, l'artiste télécharge, signe et confirme manuellement.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Itération 5 — Empreinte acoustique &amp; claims (Sprint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Empreinte Chromaprint calculée </w:t>
      </w:r>
      <w:r>
        <w:rPr>
          <w:b/>
          <w:bCs/>
          <w:color w:val="1F2937"/>
          <w:sz w:val="21"/>
          <w:szCs w:val="21"/>
        </w:rPr>
        <w:t xml:space="preserve">après la réponse HTTP</w:t>
      </w:r>
      <w:r>
        <w:rPr>
          <w:color w:val="1F2937"/>
          <w:sz w:val="21"/>
          <w:szCs w:val="21"/>
        </w:rPr>
        <w:t xml:space="preserve"> (l'artiste n'attend jamais) ; table ExternalMatch ajoutée par 4e migration, comme anticipé par le doc.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Détection interne : similarité par distance de Hamming avec tolérance d'alignement (±40 fenêtres), seuil 85 % → </w:t>
      </w:r>
      <w:r>
        <w:rPr>
          <w:b/>
          <w:bCs/>
          <w:color w:val="1F2937"/>
          <w:sz w:val="21"/>
          <w:szCs w:val="21"/>
        </w:rPr>
        <w:t xml:space="preserve">claim automatique, publication du nouveau dépôt bloquée (base + on-chain), les deux artistes notifiés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Interface de résolution conforme au doc : autoriser (déblocage on-chain), négocier un split, ou signaler le litige.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Scan externe AudD (Spotify, Apple Music, Deezer) via URL S3 présignée, plafonné à 10 fichiers/jour pour tenir le quota gratuit.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Itération 6 — Mise en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Configuration Railway (migrations au démarrage, healthcheck, redémarrage sur échec), trustHost derrière proxy, génération Prisma en post-install.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Route /api/health : état de la base et de chaque service externe, sans révéler de 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Checklist de provisioning pas-à-pas dans le README ; app Alchemy créée et testée (chainId Amoy vérifié), wallet serveur généré localement.</w:t>
      </w:r>
    </w:p>
    <w:p>
      <w:pPr>
        <w:pStyle w:val="Heading1"/>
        <w:spacing w:after="160" w:before="320"/>
      </w:pPr>
      <w:r>
        <w:rPr>
          <w:b/>
          <w:bCs/>
          <w:color w:val="6D28D9"/>
          <w:sz w:val="30"/>
          <w:szCs w:val="30"/>
        </w:rPr>
        <w:t xml:space="preserve">7. État d'avancement et prochaines étapes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7.1 Où en est le projet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400"/>
      </w:tblGrid>
      <w:tr>
        <w:tc>
          <w:tcPr>
            <w:tcW w:type="dxa" w:w="4700"/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4400"/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Code des 5 sprints (app + contrat)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Terminé, typé, build vert, 19 tests contrat verts</w:t>
            </w:r>
          </w:p>
        </w:tc>
      </w:tr>
      <w:tr>
        <w:tc>
          <w:tcPr>
            <w:tcW w:type="dxa" w:w="47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Dépôt GitHub privé + 6 commits structurés</w:t>
            </w:r>
          </w:p>
        </w:tc>
        <w:tc>
          <w:tcPr>
            <w:tcW w:type="dxa" w:w="4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RPC Alchemy (Polygon Amoy)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Configuré et testé</w:t>
            </w:r>
          </w:p>
        </w:tc>
      </w:tr>
      <w:tr>
        <w:tc>
          <w:tcPr>
            <w:tcW w:type="dxa" w:w="47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Wallet serveur</w:t>
            </w:r>
          </w:p>
        </w:tc>
        <w:tc>
          <w:tcPr>
            <w:tcW w:type="dxa" w:w="4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Généré (clé locale, jamais commitée)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POL de testnet (faucet)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 attente — bloque le déploiement Amoy</w:t>
            </w:r>
          </w:p>
        </w:tc>
      </w:tr>
      <w:tr>
        <w:tc>
          <w:tcPr>
            <w:tcW w:type="dxa" w:w="47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Supabase / Resend / S3 / Railway</w:t>
            </w:r>
          </w:p>
        </w:tc>
        <w:tc>
          <w:tcPr>
            <w:tcW w:type="dxa" w:w="4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À provisionner (checklist prête)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Déploiement contrat sur Amoy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Dès réception des POL</w:t>
            </w:r>
          </w:p>
        </w:tc>
      </w:tr>
      <w:tr>
        <w:tc>
          <w:tcPr>
            <w:tcW w:type="dxa" w:w="47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Observation testnet (non négociable)</w:t>
            </w:r>
          </w:p>
        </w:tc>
        <w:tc>
          <w:tcPr>
            <w:tcW w:type="dxa" w:w="4400"/>
            <w:shd w:fill="F7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semaines minimum avant mainnet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7.2 Fonctionnalités de la spec reportées après le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Détection rétroactive des concerts non déclarés sur 12 mois ; diff visuel entre versions ; extraits 15 s côte à côte sur les claims ; page publique de vérification par transaction ; certificat PDF exportable ; guides d'inscription ADAMI/SCPP/SDRM ; relances automatiques de signature (72 h) ; médiation 30 jours ; intégrations directes Content ID / API Spotify (AudD couvre le besoin MVP).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7.3 Budget (rappel du Master Document)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~15 €/mois d'infrastructure (Railway + S3), ~90 € de coûts one-shot (déploiement du contrat, POL, domaine, premières signatures Yousign), soit </w:t>
      </w:r>
      <w:r>
        <w:rPr>
          <w:b/>
          <w:bCs/>
          <w:color w:val="1F2937"/>
          <w:sz w:val="21"/>
          <w:szCs w:val="21"/>
        </w:rPr>
        <w:t xml:space="preserve">~210 € minimum sur 8 mois, 300 à 500 € avec marge</w:t>
      </w:r>
      <w:r>
        <w:rPr>
          <w:color w:val="1F2937"/>
          <w:sz w:val="21"/>
          <w:szCs w:val="21"/>
        </w:rPr>
        <w:t xml:space="preserve">. Le seul coût qui montera avec l'usage est la reconnaissance externe (ACRCloud ~20 $/mois au-delà de 1 000 scans).</w:t>
      </w:r>
    </w:p>
    <w:p>
      <w:pPr>
        <w:pBdr>
          <w:bottom w:val="single" w:color="D9D2EE" w:sz="6"/>
        </w:pBdr>
        <w:spacing w:after="160" w:before="60"/>
      </w:pPr>
    </w:p>
    <w:p>
      <w:pPr>
        <w:spacing w:after="120"/>
        <w:jc w:val="center"/>
      </w:pPr>
      <w:r>
        <w:rPr>
          <w:color w:val="6B7280"/>
          <w:sz w:val="18"/>
          <w:szCs w:val="18"/>
        </w:rPr>
        <w:t xml:space="preserve">DISTRIB · Synthèse du projet v1.0 · 24 juillet 2026 · Confidentiel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2026-07-24T16:42:45.238Z</dcterms:created>
  <dcterms:modified xsi:type="dcterms:W3CDTF">2026-07-24T16:42:45.239Z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