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E132BE" w14:textId="5BF3542D" w:rsidR="008639C1" w:rsidRPr="008639C1" w:rsidRDefault="008639C1" w:rsidP="008639C1">
      <w:pPr>
        <w:ind w:left="720" w:hanging="360"/>
        <w:jc w:val="center"/>
        <w:rPr>
          <w:rFonts w:ascii="Garamond" w:hAnsi="Garamond"/>
          <w:b/>
          <w:bCs/>
        </w:rPr>
      </w:pPr>
      <w:r w:rsidRPr="008639C1">
        <w:rPr>
          <w:rFonts w:ascii="Garamond" w:hAnsi="Garamond"/>
          <w:b/>
          <w:bCs/>
        </w:rPr>
        <w:t>Home</w:t>
      </w:r>
    </w:p>
    <w:p w14:paraId="6C89BEC1" w14:textId="4D6E8873" w:rsidR="008639C1" w:rsidRDefault="008639C1" w:rsidP="008639C1">
      <w:pPr>
        <w:rPr>
          <w:rFonts w:ascii="Garamond" w:eastAsia="Times New Roman" w:hAnsi="Garamond" w:cs="Times New Roman"/>
          <w:lang w:eastAsia="en-GB" w:bidi="hi-IN"/>
        </w:rPr>
      </w:pPr>
      <w:r w:rsidRPr="008639C1">
        <w:rPr>
          <w:rFonts w:ascii="Garamond" w:eastAsia="Times New Roman" w:hAnsi="Garamond" w:cs="Times New Roman"/>
          <w:lang w:eastAsia="en-GB" w:bidi="hi-IN"/>
        </w:rPr>
        <w:t>Exploring death, gender, and public health in a changing India</w:t>
      </w:r>
    </w:p>
    <w:p w14:paraId="49B9508B" w14:textId="6553B39E" w:rsidR="008639C1" w:rsidRDefault="008639C1" w:rsidP="008639C1">
      <w:pPr>
        <w:rPr>
          <w:rFonts w:ascii="Garamond" w:eastAsia="Times New Roman" w:hAnsi="Garamond" w:cs="Times New Roman"/>
          <w:lang w:eastAsia="en-GB" w:bidi="hi-IN"/>
        </w:rPr>
      </w:pPr>
    </w:p>
    <w:p w14:paraId="571EAD68" w14:textId="45BD288E" w:rsidR="008639C1" w:rsidRPr="008639C1" w:rsidRDefault="008639C1" w:rsidP="008639C1">
      <w:pPr>
        <w:jc w:val="center"/>
        <w:rPr>
          <w:rFonts w:ascii="Garamond" w:eastAsia="Times New Roman" w:hAnsi="Garamond" w:cs="Times New Roman"/>
          <w:b/>
          <w:bCs/>
          <w:lang w:eastAsia="en-GB" w:bidi="hi-IN"/>
        </w:rPr>
      </w:pPr>
      <w:r w:rsidRPr="008639C1">
        <w:rPr>
          <w:rFonts w:ascii="Garamond" w:eastAsia="Times New Roman" w:hAnsi="Garamond" w:cs="Times New Roman"/>
          <w:b/>
          <w:bCs/>
          <w:lang w:eastAsia="en-GB" w:bidi="hi-IN"/>
        </w:rPr>
        <w:t>About</w:t>
      </w:r>
    </w:p>
    <w:p w14:paraId="34F0A2AA" w14:textId="7CFD62D1" w:rsidR="008639C1" w:rsidRDefault="008639C1" w:rsidP="008639C1">
      <w:pPr>
        <w:rPr>
          <w:rFonts w:ascii="Garamond" w:eastAsia="Times New Roman" w:hAnsi="Garamond" w:cs="Times New Roman"/>
          <w:lang w:eastAsia="en-GB" w:bidi="hi-IN"/>
        </w:rPr>
      </w:pPr>
      <w:r w:rsidRPr="008639C1">
        <w:rPr>
          <w:rFonts w:ascii="Garamond" w:eastAsia="Times New Roman" w:hAnsi="Garamond" w:cs="Times New Roman"/>
          <w:lang w:eastAsia="en-GB" w:bidi="hi-IN"/>
        </w:rPr>
        <w:t>Researcher, author, and consultant working at the intersections of public health, gender, and social anthropology</w:t>
      </w:r>
    </w:p>
    <w:p w14:paraId="1FC4DDF8" w14:textId="71889016" w:rsidR="00385938" w:rsidRDefault="00385938" w:rsidP="00385938">
      <w:pPr>
        <w:jc w:val="center"/>
        <w:rPr>
          <w:rFonts w:ascii="Garamond" w:eastAsia="Times New Roman" w:hAnsi="Garamond" w:cs="Times New Roman"/>
          <w:b/>
          <w:bCs/>
          <w:lang w:eastAsia="en-GB" w:bidi="hi-IN"/>
        </w:rPr>
      </w:pPr>
      <w:r w:rsidRPr="00385938">
        <w:rPr>
          <w:rFonts w:ascii="Garamond" w:eastAsia="Times New Roman" w:hAnsi="Garamond" w:cs="Times New Roman"/>
          <w:b/>
          <w:bCs/>
          <w:lang w:eastAsia="en-GB" w:bidi="hi-IN"/>
        </w:rPr>
        <w:t>Books</w:t>
      </w:r>
    </w:p>
    <w:p w14:paraId="0974FEE9" w14:textId="0A744E7E" w:rsidR="00385938" w:rsidRDefault="00385938" w:rsidP="00385938">
      <w:pPr>
        <w:rPr>
          <w:rFonts w:ascii="Garamond" w:eastAsia="Times New Roman" w:hAnsi="Garamond" w:cs="Times New Roman"/>
          <w:lang w:eastAsia="en-GB" w:bidi="hi-IN"/>
        </w:rPr>
      </w:pPr>
      <w:r w:rsidRPr="00385938">
        <w:rPr>
          <w:rFonts w:ascii="Garamond" w:eastAsia="Times New Roman" w:hAnsi="Garamond" w:cs="Times New Roman"/>
          <w:lang w:eastAsia="en-GB" w:bidi="hi-IN"/>
        </w:rPr>
        <w:t>Exploring culture, society, and the human experience</w:t>
      </w:r>
    </w:p>
    <w:p w14:paraId="2AF3F3E6" w14:textId="77777777" w:rsidR="00385938" w:rsidRPr="00385938" w:rsidRDefault="00385938" w:rsidP="00385938">
      <w:pPr>
        <w:rPr>
          <w:rFonts w:ascii="Garamond" w:eastAsia="Times New Roman" w:hAnsi="Garamond" w:cs="Times New Roman"/>
          <w:lang w:eastAsia="en-GB" w:bidi="hi-IN"/>
        </w:rPr>
      </w:pPr>
    </w:p>
    <w:p w14:paraId="1F0C90F5" w14:textId="1E921D80" w:rsidR="00385938" w:rsidRDefault="00385938" w:rsidP="00385938">
      <w:pPr>
        <w:jc w:val="center"/>
        <w:rPr>
          <w:rFonts w:ascii="Garamond" w:eastAsia="Times New Roman" w:hAnsi="Garamond" w:cs="Times New Roman"/>
          <w:b/>
          <w:bCs/>
          <w:lang w:eastAsia="en-GB" w:bidi="hi-IN"/>
        </w:rPr>
      </w:pPr>
      <w:r>
        <w:rPr>
          <w:rFonts w:ascii="Garamond" w:eastAsia="Times New Roman" w:hAnsi="Garamond" w:cs="Times New Roman"/>
          <w:b/>
          <w:bCs/>
          <w:lang w:eastAsia="en-GB" w:bidi="hi-IN"/>
        </w:rPr>
        <w:t>Podcasts and Interviews</w:t>
      </w:r>
    </w:p>
    <w:p w14:paraId="0070E640" w14:textId="6BE09AFF" w:rsidR="00385938" w:rsidRDefault="00385938" w:rsidP="00385938">
      <w:pPr>
        <w:rPr>
          <w:rFonts w:ascii="Garamond" w:eastAsia="Times New Roman" w:hAnsi="Garamond" w:cs="Times New Roman"/>
          <w:lang w:eastAsia="en-GB" w:bidi="hi-IN"/>
        </w:rPr>
      </w:pPr>
      <w:r w:rsidRPr="00385938">
        <w:rPr>
          <w:rFonts w:ascii="Garamond" w:eastAsia="Times New Roman" w:hAnsi="Garamond" w:cs="Times New Roman"/>
          <w:lang w:eastAsia="en-GB" w:bidi="hi-IN"/>
        </w:rPr>
        <w:t>I</w:t>
      </w:r>
      <w:r w:rsidRPr="00385938">
        <w:rPr>
          <w:rFonts w:ascii="Garamond" w:eastAsia="Times New Roman" w:hAnsi="Garamond" w:cs="Times New Roman"/>
          <w:lang w:eastAsia="en-GB" w:bidi="hi-IN"/>
        </w:rPr>
        <w:t>n conversation: interviews and long-form discussions with Minakshi Dewan</w:t>
      </w:r>
    </w:p>
    <w:p w14:paraId="22A70FE4" w14:textId="77777777" w:rsidR="00385938" w:rsidRPr="00385938" w:rsidRDefault="00385938" w:rsidP="00385938">
      <w:pPr>
        <w:rPr>
          <w:rFonts w:ascii="Garamond" w:eastAsia="Times New Roman" w:hAnsi="Garamond" w:cs="Times New Roman"/>
          <w:lang w:eastAsia="en-GB" w:bidi="hi-IN"/>
        </w:rPr>
      </w:pPr>
    </w:p>
    <w:p w14:paraId="66827098" w14:textId="532501C9" w:rsidR="00385938" w:rsidRDefault="00385938" w:rsidP="00385938">
      <w:pPr>
        <w:jc w:val="center"/>
        <w:rPr>
          <w:rFonts w:ascii="Garamond" w:eastAsia="Times New Roman" w:hAnsi="Garamond" w:cs="Times New Roman"/>
          <w:b/>
          <w:bCs/>
          <w:lang w:eastAsia="en-GB" w:bidi="hi-IN"/>
        </w:rPr>
      </w:pPr>
      <w:r>
        <w:rPr>
          <w:rFonts w:ascii="Garamond" w:eastAsia="Times New Roman" w:hAnsi="Garamond" w:cs="Times New Roman"/>
          <w:b/>
          <w:bCs/>
          <w:lang w:eastAsia="en-GB" w:bidi="hi-IN"/>
        </w:rPr>
        <w:t>Media &amp; Press</w:t>
      </w:r>
    </w:p>
    <w:p w14:paraId="28A4AE21" w14:textId="428B0335" w:rsidR="00385938" w:rsidRDefault="00385938" w:rsidP="00385938">
      <w:pPr>
        <w:rPr>
          <w:rFonts w:ascii="Garamond" w:eastAsia="Times New Roman" w:hAnsi="Garamond" w:cs="Times New Roman"/>
          <w:lang w:eastAsia="en-GB" w:bidi="hi-IN"/>
        </w:rPr>
      </w:pPr>
      <w:r w:rsidRPr="00385938">
        <w:rPr>
          <w:rFonts w:ascii="Garamond" w:eastAsia="Times New Roman" w:hAnsi="Garamond" w:cs="Times New Roman"/>
          <w:lang w:eastAsia="en-GB" w:bidi="hi-IN"/>
        </w:rPr>
        <w:t>I</w:t>
      </w:r>
      <w:r w:rsidRPr="00385938">
        <w:rPr>
          <w:rFonts w:ascii="Garamond" w:eastAsia="Times New Roman" w:hAnsi="Garamond" w:cs="Times New Roman"/>
          <w:lang w:eastAsia="en-GB" w:bidi="hi-IN"/>
        </w:rPr>
        <w:t>nterviews and media coverage across print and broadcast platforms</w:t>
      </w:r>
    </w:p>
    <w:p w14:paraId="6A06F293" w14:textId="77777777" w:rsidR="00A461A0" w:rsidRDefault="00A461A0" w:rsidP="00385938">
      <w:pPr>
        <w:rPr>
          <w:rFonts w:ascii="Garamond" w:eastAsia="Times New Roman" w:hAnsi="Garamond" w:cs="Times New Roman"/>
          <w:lang w:eastAsia="en-GB" w:bidi="hi-IN"/>
        </w:rPr>
      </w:pPr>
    </w:p>
    <w:p w14:paraId="75A47E37" w14:textId="77777777" w:rsidR="00A461A0" w:rsidRPr="00A461A0" w:rsidRDefault="00385938" w:rsidP="00A461A0">
      <w:pPr>
        <w:jc w:val="center"/>
        <w:rPr>
          <w:rFonts w:ascii="Garamond" w:eastAsia="Times New Roman" w:hAnsi="Garamond" w:cs="Times New Roman"/>
          <w:b/>
          <w:bCs/>
          <w:lang w:eastAsia="en-GB" w:bidi="hi-IN"/>
        </w:rPr>
      </w:pPr>
      <w:r w:rsidRPr="00A461A0">
        <w:rPr>
          <w:rFonts w:ascii="Garamond" w:eastAsia="Times New Roman" w:hAnsi="Garamond" w:cs="Times New Roman"/>
          <w:b/>
          <w:bCs/>
          <w:lang w:eastAsia="en-GB" w:bidi="hi-IN"/>
        </w:rPr>
        <w:t xml:space="preserve">Consulting </w:t>
      </w:r>
      <w:r w:rsidR="00A461A0" w:rsidRPr="00A461A0">
        <w:rPr>
          <w:rFonts w:ascii="Garamond" w:eastAsia="Times New Roman" w:hAnsi="Garamond" w:cs="Times New Roman"/>
          <w:b/>
          <w:bCs/>
          <w:lang w:eastAsia="en-GB" w:bidi="hi-IN"/>
        </w:rPr>
        <w:t>&amp; Collaborations</w:t>
      </w:r>
    </w:p>
    <w:p w14:paraId="4DC25782" w14:textId="2794E7F1" w:rsidR="00385938" w:rsidRPr="00385938" w:rsidRDefault="00A461A0" w:rsidP="00385938">
      <w:pPr>
        <w:rPr>
          <w:rFonts w:ascii="Garamond" w:eastAsia="Times New Roman" w:hAnsi="Garamond" w:cs="Times New Roman"/>
          <w:b/>
          <w:bCs/>
          <w:lang w:eastAsia="en-GB" w:bidi="hi-IN"/>
        </w:rPr>
      </w:pPr>
      <w:r w:rsidRPr="00A461A0">
        <w:rPr>
          <w:rFonts w:ascii="Garamond" w:hAnsi="Garamond"/>
        </w:rPr>
        <w:t>Policy, research, and interdisciplinary collaborations spanning development, health, and media</w:t>
      </w:r>
    </w:p>
    <w:p w14:paraId="66BFD349" w14:textId="5FB30E00" w:rsidR="00BF060F" w:rsidRDefault="00BF060F" w:rsidP="008639C1"/>
    <w:p w14:paraId="11BEBC76" w14:textId="77777777" w:rsidR="00230FF6" w:rsidRDefault="00230FF6" w:rsidP="00BF060F">
      <w:pPr>
        <w:ind w:left="720" w:hanging="360"/>
        <w:jc w:val="center"/>
        <w:rPr>
          <w:rFonts w:ascii="Garamond" w:hAnsi="Garamond"/>
          <w:b/>
          <w:bCs/>
        </w:rPr>
      </w:pPr>
    </w:p>
    <w:p w14:paraId="7BA4B2FB" w14:textId="77777777" w:rsidR="00230FF6" w:rsidRDefault="00230FF6" w:rsidP="00BF060F">
      <w:pPr>
        <w:ind w:left="720" w:hanging="360"/>
        <w:jc w:val="center"/>
        <w:rPr>
          <w:rFonts w:ascii="Garamond" w:hAnsi="Garamond"/>
          <w:b/>
          <w:bCs/>
        </w:rPr>
      </w:pPr>
    </w:p>
    <w:p w14:paraId="70EE1F09" w14:textId="5D50B10A" w:rsidR="00BF060F" w:rsidRPr="008639C1" w:rsidRDefault="00BF060F" w:rsidP="00BF060F">
      <w:pPr>
        <w:ind w:left="720" w:hanging="360"/>
        <w:jc w:val="center"/>
        <w:rPr>
          <w:rFonts w:ascii="Garamond" w:hAnsi="Garamond"/>
          <w:b/>
          <w:bCs/>
        </w:rPr>
      </w:pPr>
      <w:r w:rsidRPr="008639C1">
        <w:rPr>
          <w:rFonts w:ascii="Garamond" w:hAnsi="Garamond"/>
          <w:b/>
          <w:bCs/>
        </w:rPr>
        <w:t>Media and Press</w:t>
      </w:r>
    </w:p>
    <w:p w14:paraId="79FE5A35" w14:textId="77777777" w:rsidR="00BF060F" w:rsidRPr="008639C1" w:rsidRDefault="00BF060F" w:rsidP="008639C1">
      <w:pPr>
        <w:rPr>
          <w:rFonts w:ascii="Garamond" w:hAnsi="Garamond"/>
        </w:rPr>
      </w:pPr>
    </w:p>
    <w:p w14:paraId="115D7307" w14:textId="68198C2E" w:rsidR="00BF060F" w:rsidRPr="00BF060F" w:rsidRDefault="00BF060F" w:rsidP="00BF060F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  <w:lang w:eastAsia="en-GB" w:bidi="hi-IN"/>
        </w:rPr>
      </w:pPr>
      <w:r w:rsidRPr="00BF060F">
        <w:rPr>
          <w:rFonts w:ascii="Garamond" w:hAnsi="Garamond"/>
          <w:b/>
          <w:bCs/>
          <w:color w:val="1A1A1A"/>
        </w:rPr>
        <w:t>Talking Death over Coffee and Cake</w:t>
      </w:r>
    </w:p>
    <w:p w14:paraId="1D6737F0" w14:textId="491295B4" w:rsidR="00BF060F" w:rsidRPr="00BF060F" w:rsidRDefault="00BF060F" w:rsidP="00BF060F">
      <w:pPr>
        <w:pStyle w:val="ListParagraph"/>
        <w:rPr>
          <w:rFonts w:ascii="Garamond" w:eastAsia="Times New Roman" w:hAnsi="Garamond" w:cs="Times New Roman"/>
          <w:b/>
          <w:bCs/>
          <w:lang w:eastAsia="en-GB" w:bidi="hi-IN"/>
        </w:rPr>
      </w:pPr>
      <w:r w:rsidRPr="00BF060F">
        <w:rPr>
          <w:rFonts w:ascii="Garamond" w:eastAsia="Times New Roman" w:hAnsi="Garamond" w:cs="Times New Roman"/>
          <w:b/>
          <w:bCs/>
          <w:lang w:eastAsia="en-GB" w:bidi="hi-IN"/>
        </w:rPr>
        <w:t>Sunday Times, TOI</w:t>
      </w:r>
    </w:p>
    <w:p w14:paraId="1BD9BBFF" w14:textId="62A9A892" w:rsidR="00BF060F" w:rsidRDefault="00230FF6" w:rsidP="00BF060F">
      <w:pPr>
        <w:rPr>
          <w:rStyle w:val="Hyperlink"/>
          <w:rFonts w:ascii="Garamond" w:eastAsia="Times New Roman" w:hAnsi="Garamond" w:cs="Times New Roman"/>
          <w:sz w:val="20"/>
          <w:szCs w:val="20"/>
          <w:shd w:val="clear" w:color="auto" w:fill="FFFFFF"/>
          <w:lang w:eastAsia="en-GB" w:bidi="hi-IN"/>
        </w:rPr>
      </w:pPr>
      <w:hyperlink r:id="rId5" w:history="1">
        <w:r w:rsidR="00BF060F" w:rsidRPr="00BF060F">
          <w:rPr>
            <w:rStyle w:val="Hyperlink"/>
            <w:rFonts w:ascii="Garamond" w:eastAsia="Times New Roman" w:hAnsi="Garamond" w:cs="Times New Roman"/>
            <w:sz w:val="20"/>
            <w:szCs w:val="20"/>
            <w:shd w:val="clear" w:color="auto" w:fill="FFFFFF"/>
            <w:lang w:eastAsia="en-GB" w:bidi="hi-IN"/>
          </w:rPr>
          <w:t>https://timesofindia.indiatimes.com/toi-plus/society-culture/talking-death-over-coffee-and-cake/articleshow/130978363.cms?utm_source=app&amp;utm_medium=share&amp;utm_campaign=social_share</w:t>
        </w:r>
      </w:hyperlink>
    </w:p>
    <w:p w14:paraId="21B4E340" w14:textId="77777777" w:rsidR="00BF060F" w:rsidRPr="00BF060F" w:rsidRDefault="00BF060F" w:rsidP="00BF060F">
      <w:pPr>
        <w:rPr>
          <w:rFonts w:ascii="Garamond" w:eastAsia="Times New Roman" w:hAnsi="Garamond" w:cs="Times New Roman"/>
          <w:color w:val="1D2228"/>
          <w:sz w:val="20"/>
          <w:szCs w:val="20"/>
          <w:shd w:val="clear" w:color="auto" w:fill="FFFFFF"/>
          <w:lang w:eastAsia="en-GB" w:bidi="hi-IN"/>
        </w:rPr>
      </w:pPr>
    </w:p>
    <w:p w14:paraId="0827C035" w14:textId="7960D06E" w:rsidR="00BF060F" w:rsidRPr="00BF060F" w:rsidRDefault="00BF060F" w:rsidP="00BF060F">
      <w:pPr>
        <w:pStyle w:val="ListParagraph"/>
        <w:numPr>
          <w:ilvl w:val="0"/>
          <w:numId w:val="2"/>
        </w:numPr>
        <w:shd w:val="clear" w:color="auto" w:fill="FFFFFF"/>
        <w:spacing w:line="288" w:lineRule="atLeast"/>
        <w:outlineLvl w:val="0"/>
        <w:rPr>
          <w:rFonts w:ascii="Garamond" w:eastAsia="Times New Roman" w:hAnsi="Garamond" w:cs="Times New Roman"/>
          <w:b/>
          <w:bCs/>
          <w:color w:val="000000"/>
          <w:spacing w:val="-1"/>
          <w:kern w:val="36"/>
          <w:lang w:eastAsia="en-GB" w:bidi="hi-IN"/>
        </w:rPr>
      </w:pPr>
      <w:r w:rsidRPr="00BF060F">
        <w:rPr>
          <w:rFonts w:ascii="Garamond" w:eastAsia="Times New Roman" w:hAnsi="Garamond" w:cs="Times New Roman"/>
          <w:b/>
          <w:bCs/>
          <w:color w:val="000000"/>
          <w:spacing w:val="-1"/>
          <w:kern w:val="36"/>
          <w:lang w:eastAsia="en-GB" w:bidi="hi-IN"/>
        </w:rPr>
        <w:t>The internet is where we live now. It’s also where we go when we die</w:t>
      </w:r>
      <w:r w:rsidR="008639C1">
        <w:rPr>
          <w:rFonts w:ascii="Garamond" w:eastAsia="Times New Roman" w:hAnsi="Garamond" w:cs="Times New Roman"/>
          <w:b/>
          <w:bCs/>
          <w:color w:val="000000"/>
          <w:spacing w:val="-1"/>
          <w:kern w:val="36"/>
          <w:lang w:eastAsia="en-GB" w:bidi="hi-IN"/>
        </w:rPr>
        <w:t xml:space="preserve"> </w:t>
      </w:r>
      <w:r w:rsidR="008639C1">
        <w:rPr>
          <w:rFonts w:ascii="Garamond" w:eastAsia="Times New Roman" w:hAnsi="Garamond" w:cs="Times New Roman"/>
          <w:b/>
          <w:bCs/>
          <w:lang w:eastAsia="en-GB" w:bidi="hi-IN"/>
        </w:rPr>
        <w:t>(already there)</w:t>
      </w:r>
    </w:p>
    <w:p w14:paraId="42D8574F" w14:textId="0E99D71F" w:rsidR="00BF060F" w:rsidRPr="00BF060F" w:rsidRDefault="00BF060F" w:rsidP="00BF060F">
      <w:pPr>
        <w:pStyle w:val="ListParagraph"/>
        <w:rPr>
          <w:rFonts w:ascii="Garamond" w:eastAsia="Times New Roman" w:hAnsi="Garamond" w:cs="Times New Roman"/>
          <w:b/>
          <w:bCs/>
          <w:lang w:eastAsia="en-GB" w:bidi="hi-IN"/>
        </w:rPr>
      </w:pPr>
      <w:r w:rsidRPr="00BF060F">
        <w:rPr>
          <w:rFonts w:ascii="Garamond" w:eastAsia="Times New Roman" w:hAnsi="Garamond" w:cs="Times New Roman"/>
          <w:b/>
          <w:bCs/>
          <w:lang w:eastAsia="en-GB" w:bidi="hi-IN"/>
        </w:rPr>
        <w:t>Vogue, India</w:t>
      </w:r>
      <w:r w:rsidR="008639C1">
        <w:rPr>
          <w:rFonts w:ascii="Garamond" w:eastAsia="Times New Roman" w:hAnsi="Garamond" w:cs="Times New Roman"/>
          <w:b/>
          <w:bCs/>
          <w:lang w:eastAsia="en-GB" w:bidi="hi-IN"/>
        </w:rPr>
        <w:t xml:space="preserve"> </w:t>
      </w:r>
    </w:p>
    <w:p w14:paraId="21F530D1" w14:textId="32259E23" w:rsidR="00BF060F" w:rsidRPr="00BF060F" w:rsidRDefault="00230FF6" w:rsidP="00BF060F">
      <w:pPr>
        <w:rPr>
          <w:rFonts w:ascii="Garamond" w:eastAsia="Times New Roman" w:hAnsi="Garamond" w:cs="Times New Roman"/>
          <w:lang w:eastAsia="en-GB" w:bidi="hi-IN"/>
        </w:rPr>
      </w:pPr>
      <w:hyperlink r:id="rId6" w:history="1">
        <w:r w:rsidR="00BF060F" w:rsidRPr="00BF060F">
          <w:rPr>
            <w:rStyle w:val="Hyperlink"/>
            <w:rFonts w:ascii="Garamond" w:eastAsia="Times New Roman" w:hAnsi="Garamond" w:cs="Times New Roman"/>
            <w:lang w:eastAsia="en-GB" w:bidi="hi-IN"/>
          </w:rPr>
          <w:t>https://www.vogue.in/content/the-internet-is-where-we-live-now-its-also-where-we-go-when-we-die-digital-afterlife</w:t>
        </w:r>
      </w:hyperlink>
    </w:p>
    <w:p w14:paraId="68308226" w14:textId="27FDD90D" w:rsidR="00BF060F" w:rsidRDefault="00BF060F" w:rsidP="00BF060F">
      <w:pPr>
        <w:rPr>
          <w:rFonts w:ascii="Times New Roman" w:eastAsia="Times New Roman" w:hAnsi="Times New Roman" w:cs="Times New Roman"/>
          <w:lang w:eastAsia="en-GB" w:bidi="hi-IN"/>
        </w:rPr>
      </w:pPr>
    </w:p>
    <w:p w14:paraId="12BD02E4" w14:textId="7888A3FA" w:rsidR="00BF060F" w:rsidRDefault="00BF060F" w:rsidP="00BF060F">
      <w:pPr>
        <w:pStyle w:val="ListParagraph"/>
        <w:numPr>
          <w:ilvl w:val="0"/>
          <w:numId w:val="2"/>
        </w:numPr>
        <w:shd w:val="clear" w:color="auto" w:fill="FFFFFF"/>
        <w:spacing w:before="150" w:after="150"/>
        <w:outlineLvl w:val="0"/>
        <w:rPr>
          <w:rFonts w:ascii="Garamond" w:eastAsia="Times New Roman" w:hAnsi="Garamond" w:cs="Times New Roman"/>
          <w:b/>
          <w:bCs/>
          <w:color w:val="000000"/>
          <w:kern w:val="36"/>
          <w:lang w:eastAsia="en-GB" w:bidi="hi-IN"/>
        </w:rPr>
      </w:pPr>
      <w:r w:rsidRPr="00BF060F">
        <w:rPr>
          <w:rFonts w:ascii="Garamond" w:eastAsia="Times New Roman" w:hAnsi="Garamond" w:cs="Times New Roman"/>
          <w:b/>
          <w:bCs/>
          <w:color w:val="000000"/>
          <w:kern w:val="36"/>
          <w:lang w:eastAsia="en-GB" w:bidi="hi-IN"/>
        </w:rPr>
        <w:t>Ever been to a death cafe in India? | Tracking recent initiatives around death literacy in the country </w:t>
      </w:r>
    </w:p>
    <w:p w14:paraId="2D07B2D2" w14:textId="33DC4189" w:rsidR="00BF060F" w:rsidRDefault="00BF060F" w:rsidP="00BF060F">
      <w:pPr>
        <w:pStyle w:val="ListParagraph"/>
        <w:shd w:val="clear" w:color="auto" w:fill="FFFFFF"/>
        <w:spacing w:before="150" w:after="150"/>
        <w:outlineLvl w:val="0"/>
        <w:rPr>
          <w:rFonts w:ascii="Garamond" w:eastAsia="Times New Roman" w:hAnsi="Garamond" w:cs="Times New Roman"/>
          <w:b/>
          <w:bCs/>
          <w:color w:val="000000"/>
          <w:kern w:val="36"/>
          <w:lang w:eastAsia="en-GB" w:bidi="hi-IN"/>
        </w:rPr>
      </w:pPr>
      <w:r>
        <w:rPr>
          <w:rFonts w:ascii="Garamond" w:eastAsia="Times New Roman" w:hAnsi="Garamond" w:cs="Times New Roman"/>
          <w:b/>
          <w:bCs/>
          <w:color w:val="000000"/>
          <w:kern w:val="36"/>
          <w:lang w:eastAsia="en-GB" w:bidi="hi-IN"/>
        </w:rPr>
        <w:t>The Hindu</w:t>
      </w:r>
    </w:p>
    <w:p w14:paraId="23CAFC70" w14:textId="738A16D6" w:rsidR="00BF060F" w:rsidRDefault="00230FF6" w:rsidP="00BF060F">
      <w:pPr>
        <w:shd w:val="clear" w:color="auto" w:fill="FFFFFF"/>
        <w:spacing w:before="150" w:after="150"/>
        <w:outlineLvl w:val="0"/>
        <w:rPr>
          <w:rFonts w:ascii="Garamond" w:eastAsia="Times New Roman" w:hAnsi="Garamond" w:cs="Times New Roman"/>
          <w:b/>
          <w:bCs/>
          <w:color w:val="000000"/>
          <w:kern w:val="36"/>
          <w:lang w:eastAsia="en-GB" w:bidi="hi-IN"/>
        </w:rPr>
      </w:pPr>
      <w:hyperlink r:id="rId7" w:history="1">
        <w:r w:rsidR="00BF060F" w:rsidRPr="00203B43">
          <w:rPr>
            <w:rStyle w:val="Hyperlink"/>
            <w:rFonts w:ascii="Garamond" w:eastAsia="Times New Roman" w:hAnsi="Garamond" w:cs="Times New Roman"/>
            <w:b/>
            <w:bCs/>
            <w:kern w:val="36"/>
            <w:lang w:eastAsia="en-GB" w:bidi="hi-IN"/>
          </w:rPr>
          <w:t>https://www.thehindu.com/society/death-literacy-tracking-new-initiatives-india-death-cafe-bereavement-counselling-ipm-kerala/article68625342.ece</w:t>
        </w:r>
      </w:hyperlink>
    </w:p>
    <w:p w14:paraId="4DF940FD" w14:textId="0726D5F7" w:rsidR="00BF060F" w:rsidRPr="00BF060F" w:rsidRDefault="00BF060F" w:rsidP="00BF060F">
      <w:pPr>
        <w:pStyle w:val="ListParagraph"/>
        <w:numPr>
          <w:ilvl w:val="0"/>
          <w:numId w:val="2"/>
        </w:numPr>
        <w:shd w:val="clear" w:color="auto" w:fill="FFFFFF"/>
        <w:spacing w:line="600" w:lineRule="atLeast"/>
        <w:outlineLvl w:val="0"/>
        <w:rPr>
          <w:rFonts w:ascii="Garamond" w:eastAsia="Times New Roman" w:hAnsi="Garamond" w:cs="Times New Roman"/>
          <w:b/>
          <w:bCs/>
          <w:color w:val="000000"/>
          <w:kern w:val="36"/>
          <w:lang w:eastAsia="en-GB" w:bidi="hi-IN"/>
        </w:rPr>
      </w:pPr>
      <w:r w:rsidRPr="00BF060F">
        <w:rPr>
          <w:rFonts w:ascii="Garamond" w:eastAsia="Times New Roman" w:hAnsi="Garamond" w:cs="Times New Roman"/>
          <w:b/>
          <w:bCs/>
          <w:color w:val="000000"/>
          <w:kern w:val="36"/>
          <w:lang w:eastAsia="en-GB" w:bidi="hi-IN"/>
        </w:rPr>
        <w:t>V for vaccine: Telling children the story of the pandemic</w:t>
      </w:r>
      <w:r w:rsidR="008639C1">
        <w:rPr>
          <w:rFonts w:ascii="Garamond" w:eastAsia="Times New Roman" w:hAnsi="Garamond" w:cs="Times New Roman"/>
          <w:b/>
          <w:bCs/>
          <w:color w:val="000000"/>
          <w:kern w:val="36"/>
          <w:lang w:eastAsia="en-GB" w:bidi="hi-IN"/>
        </w:rPr>
        <w:t xml:space="preserve"> (already there)</w:t>
      </w:r>
    </w:p>
    <w:p w14:paraId="4E78CBCC" w14:textId="41A2F2A3" w:rsidR="00BF060F" w:rsidRDefault="00BF060F" w:rsidP="00BF060F">
      <w:pPr>
        <w:pStyle w:val="ListParagraph"/>
        <w:shd w:val="clear" w:color="auto" w:fill="FFFFFF"/>
        <w:spacing w:before="150" w:after="150"/>
        <w:outlineLvl w:val="0"/>
        <w:rPr>
          <w:rFonts w:ascii="Garamond" w:eastAsia="Times New Roman" w:hAnsi="Garamond" w:cs="Times New Roman"/>
          <w:b/>
          <w:bCs/>
          <w:color w:val="000000"/>
          <w:kern w:val="36"/>
          <w:lang w:eastAsia="en-GB" w:bidi="hi-IN"/>
        </w:rPr>
      </w:pPr>
      <w:r>
        <w:rPr>
          <w:rFonts w:ascii="Garamond" w:eastAsia="Times New Roman" w:hAnsi="Garamond" w:cs="Times New Roman"/>
          <w:b/>
          <w:bCs/>
          <w:color w:val="000000"/>
          <w:kern w:val="36"/>
          <w:lang w:eastAsia="en-GB" w:bidi="hi-IN"/>
        </w:rPr>
        <w:t>TO</w:t>
      </w:r>
      <w:r w:rsidR="00B40739">
        <w:rPr>
          <w:rFonts w:ascii="Garamond" w:eastAsia="Times New Roman" w:hAnsi="Garamond" w:cs="Times New Roman"/>
          <w:b/>
          <w:bCs/>
          <w:color w:val="000000"/>
          <w:kern w:val="36"/>
          <w:lang w:eastAsia="en-GB" w:bidi="hi-IN"/>
        </w:rPr>
        <w:t>I</w:t>
      </w:r>
    </w:p>
    <w:p w14:paraId="23432A76" w14:textId="7F9F8051" w:rsidR="00B40739" w:rsidRDefault="00230FF6" w:rsidP="00BF060F">
      <w:pPr>
        <w:pStyle w:val="ListParagraph"/>
        <w:shd w:val="clear" w:color="auto" w:fill="FFFFFF"/>
        <w:spacing w:before="150" w:after="150"/>
        <w:outlineLvl w:val="0"/>
        <w:rPr>
          <w:rFonts w:ascii="Garamond" w:eastAsia="Times New Roman" w:hAnsi="Garamond" w:cs="Times New Roman"/>
          <w:b/>
          <w:bCs/>
          <w:color w:val="000000"/>
          <w:kern w:val="36"/>
          <w:lang w:eastAsia="en-GB" w:bidi="hi-IN"/>
        </w:rPr>
      </w:pPr>
      <w:hyperlink r:id="rId8" w:history="1">
        <w:r w:rsidR="008639C1" w:rsidRPr="00203B43">
          <w:rPr>
            <w:rStyle w:val="Hyperlink"/>
            <w:rFonts w:ascii="Garamond" w:eastAsia="Times New Roman" w:hAnsi="Garamond" w:cs="Times New Roman"/>
            <w:b/>
            <w:bCs/>
            <w:kern w:val="36"/>
            <w:lang w:eastAsia="en-GB" w:bidi="hi-IN"/>
          </w:rPr>
          <w:t>https://timesofindia.indiatimes.com/life-style/books/features/v-for-vaccine-telling-children-the-story-of-the-pandemic/articleshow/83111611.cms</w:t>
        </w:r>
      </w:hyperlink>
    </w:p>
    <w:p w14:paraId="20C87C73" w14:textId="77777777" w:rsidR="008639C1" w:rsidRPr="00BF060F" w:rsidRDefault="008639C1" w:rsidP="00BF060F">
      <w:pPr>
        <w:pStyle w:val="ListParagraph"/>
        <w:shd w:val="clear" w:color="auto" w:fill="FFFFFF"/>
        <w:spacing w:before="150" w:after="150"/>
        <w:outlineLvl w:val="0"/>
        <w:rPr>
          <w:rFonts w:ascii="Garamond" w:eastAsia="Times New Roman" w:hAnsi="Garamond" w:cs="Times New Roman"/>
          <w:b/>
          <w:bCs/>
          <w:color w:val="000000"/>
          <w:kern w:val="36"/>
          <w:lang w:eastAsia="en-GB" w:bidi="hi-IN"/>
        </w:rPr>
      </w:pPr>
    </w:p>
    <w:p w14:paraId="507C9B1E" w14:textId="3B0CCB87" w:rsidR="00BF060F" w:rsidRPr="00BF060F" w:rsidRDefault="00BF060F" w:rsidP="00BF060F">
      <w:pPr>
        <w:rPr>
          <w:rFonts w:ascii="Times New Roman" w:eastAsia="Times New Roman" w:hAnsi="Times New Roman" w:cs="Times New Roman"/>
          <w:lang w:eastAsia="en-GB" w:bidi="hi-IN"/>
        </w:rPr>
      </w:pPr>
    </w:p>
    <w:p w14:paraId="6EEC7682" w14:textId="77777777" w:rsidR="00BF060F" w:rsidRPr="00BF060F" w:rsidRDefault="00BF060F" w:rsidP="00BF060F">
      <w:pPr>
        <w:rPr>
          <w:rFonts w:ascii="Times New Roman" w:eastAsia="Times New Roman" w:hAnsi="Times New Roman" w:cs="Times New Roman"/>
          <w:lang w:eastAsia="en-GB" w:bidi="hi-IN"/>
        </w:rPr>
      </w:pPr>
    </w:p>
    <w:p w14:paraId="2CD364C5" w14:textId="77777777" w:rsidR="00BF060F" w:rsidRPr="004A4E69" w:rsidRDefault="00BF060F" w:rsidP="00BF060F">
      <w:pPr>
        <w:spacing w:line="360" w:lineRule="auto"/>
        <w:rPr>
          <w:rFonts w:ascii="Garamond" w:hAnsi="Garamond"/>
          <w:b/>
          <w:bCs/>
        </w:rPr>
      </w:pPr>
    </w:p>
    <w:p w14:paraId="2932BD41" w14:textId="77777777" w:rsidR="003C5467" w:rsidRDefault="00230FF6"/>
    <w:sectPr w:rsidR="003C5467" w:rsidSect="00A32C7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F60A32"/>
    <w:multiLevelType w:val="hybridMultilevel"/>
    <w:tmpl w:val="C946159C"/>
    <w:lvl w:ilvl="0" w:tplc="7AC0A808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theme="minorBidi" w:hint="default"/>
        <w:b/>
        <w:color w:val="1A1A1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91FF0"/>
    <w:multiLevelType w:val="hybridMultilevel"/>
    <w:tmpl w:val="31FE59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60F"/>
    <w:rsid w:val="00230FF6"/>
    <w:rsid w:val="00385938"/>
    <w:rsid w:val="006C1F71"/>
    <w:rsid w:val="007872E6"/>
    <w:rsid w:val="008639C1"/>
    <w:rsid w:val="00A32C73"/>
    <w:rsid w:val="00A461A0"/>
    <w:rsid w:val="00B40739"/>
    <w:rsid w:val="00BF0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4791E0"/>
  <w15:chartTrackingRefBased/>
  <w15:docId w15:val="{A014D124-271F-9941-9018-547ED95EC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60F"/>
  </w:style>
  <w:style w:type="paragraph" w:styleId="Heading1">
    <w:name w:val="heading 1"/>
    <w:basedOn w:val="Normal"/>
    <w:next w:val="Normal"/>
    <w:link w:val="Heading1Char"/>
    <w:uiPriority w:val="9"/>
    <w:qFormat/>
    <w:rsid w:val="00BF060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BF060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F060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F060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461A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4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7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84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242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mesofindia.indiatimes.com/life-style/books/features/v-for-vaccine-telling-children-the-story-of-the-pandemic/articleshow/83111611.cm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hehindu.com/society/death-literacy-tracking-new-initiatives-india-death-cafe-bereavement-counselling-ipm-kerala/article68625342.e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ogue.in/content/the-internet-is-where-we-live-now-its-also-where-we-go-when-we-die-digital-afterlife" TargetMode="External"/><Relationship Id="rId5" Type="http://schemas.openxmlformats.org/officeDocument/2006/relationships/hyperlink" Target="https://timesofindia.indiatimes.com/toi-plus/society-culture/talking-death-over-coffee-and-cake/articleshow/130978363.cms?utm_source=app&amp;utm_medium=share&amp;utm_campaign=social_shar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2026-06-17T14:18:00Z</dcterms:created>
  <dcterms:modified xsi:type="dcterms:W3CDTF">2026-06-17T16:23:00Z</dcterms:modified>
</cp:coreProperties>
</file>