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20" w:type="dxa"/>
        <w:jc w:val="center"/>
        <w:tblLayout w:type="fixed"/>
        <w:tblCellMar>
          <w:left w:w="70" w:type="dxa"/>
          <w:right w:w="70" w:type="dxa"/>
        </w:tblCellMar>
        <w:tblLook w:val="04A0" w:firstRow="1" w:lastRow="0" w:firstColumn="1" w:lastColumn="0" w:noHBand="0" w:noVBand="1"/>
      </w:tblPr>
      <w:tblGrid>
        <w:gridCol w:w="4486"/>
        <w:gridCol w:w="1943"/>
        <w:gridCol w:w="4491"/>
      </w:tblGrid>
      <w:tr w:rsidR="00C22E4E" w14:paraId="7A346BE3" w14:textId="77777777" w:rsidTr="00C22E4E">
        <w:trPr>
          <w:jc w:val="center"/>
        </w:trPr>
        <w:tc>
          <w:tcPr>
            <w:tcW w:w="4483" w:type="dxa"/>
            <w:vAlign w:val="center"/>
            <w:hideMark/>
          </w:tcPr>
          <w:p w14:paraId="238B8D8E" w14:textId="77777777" w:rsidR="00C22E4E" w:rsidRDefault="00C22E4E">
            <w:pPr>
              <w:tabs>
                <w:tab w:val="center" w:pos="4680"/>
                <w:tab w:val="right" w:pos="9360"/>
              </w:tabs>
              <w:spacing w:line="240" w:lineRule="auto"/>
              <w:jc w:val="center"/>
              <w:rPr>
                <w:rFonts w:ascii="ZapfHumnst BT" w:hAnsi="ZapfHumnst BT"/>
                <w:sz w:val="22"/>
                <w:lang w:val="en-US"/>
              </w:rPr>
            </w:pPr>
            <w:r>
              <w:rPr>
                <w:rFonts w:ascii="ZapfHumnst BT" w:hAnsi="ZapfHumnst BT"/>
                <w:lang w:val="en-US"/>
              </w:rPr>
              <w:t xml:space="preserve">UNION INTERPARLEMENTAIRE </w:t>
            </w:r>
          </w:p>
        </w:tc>
        <w:tc>
          <w:tcPr>
            <w:tcW w:w="1942" w:type="dxa"/>
            <w:hideMark/>
          </w:tcPr>
          <w:p w14:paraId="3BC25089" w14:textId="1BE40872" w:rsidR="00C22E4E" w:rsidRDefault="00C22E4E">
            <w:pPr>
              <w:tabs>
                <w:tab w:val="center" w:pos="4680"/>
                <w:tab w:val="right" w:pos="9360"/>
              </w:tabs>
              <w:spacing w:line="240" w:lineRule="auto"/>
              <w:jc w:val="center"/>
              <w:rPr>
                <w:rFonts w:ascii="Calibri" w:hAnsi="Calibri"/>
                <w:lang w:val="en-US"/>
              </w:rPr>
            </w:pPr>
            <w:r>
              <w:rPr>
                <w:rFonts w:ascii="CG Times (W1)" w:hAnsi="CG Times (W1)"/>
                <w:noProof/>
                <w:sz w:val="20"/>
                <w:lang w:val="en-GB" w:eastAsia="en-GB"/>
              </w:rPr>
              <w:drawing>
                <wp:inline distT="0" distB="0" distL="0" distR="0" wp14:anchorId="7F4F62BB" wp14:editId="460DD653">
                  <wp:extent cx="1057275" cy="762000"/>
                  <wp:effectExtent l="0" t="0" r="9525" b="0"/>
                  <wp:docPr id="1" name="Picture 1" descr="IPU_English_logo_without end line_Black for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U_English_logo_without end line_Black for u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762000"/>
                          </a:xfrm>
                          <a:prstGeom prst="rect">
                            <a:avLst/>
                          </a:prstGeom>
                          <a:noFill/>
                          <a:ln>
                            <a:noFill/>
                          </a:ln>
                        </pic:spPr>
                      </pic:pic>
                    </a:graphicData>
                  </a:graphic>
                </wp:inline>
              </w:drawing>
            </w:r>
          </w:p>
        </w:tc>
        <w:tc>
          <w:tcPr>
            <w:tcW w:w="4488" w:type="dxa"/>
            <w:vAlign w:val="center"/>
            <w:hideMark/>
          </w:tcPr>
          <w:p w14:paraId="28986A58" w14:textId="77777777" w:rsidR="00C22E4E" w:rsidRDefault="00C22E4E">
            <w:pPr>
              <w:tabs>
                <w:tab w:val="center" w:pos="4680"/>
                <w:tab w:val="right" w:pos="9360"/>
              </w:tabs>
              <w:spacing w:line="240" w:lineRule="auto"/>
              <w:jc w:val="center"/>
              <w:rPr>
                <w:rFonts w:ascii="ZapfHumnst BT" w:hAnsi="ZapfHumnst BT"/>
                <w:lang w:val="en-US"/>
              </w:rPr>
            </w:pPr>
            <w:r>
              <w:rPr>
                <w:rFonts w:ascii="ZapfHumnst BT" w:hAnsi="ZapfHumnst BT"/>
                <w:lang w:val="en-US"/>
              </w:rPr>
              <w:t>INTER-PARLIAMENTARY UNION</w:t>
            </w:r>
          </w:p>
        </w:tc>
      </w:tr>
    </w:tbl>
    <w:p w14:paraId="481BCCF7" w14:textId="77777777" w:rsidR="00C22E4E" w:rsidRDefault="00C22E4E" w:rsidP="00C22E4E">
      <w:pPr>
        <w:keepNext/>
        <w:spacing w:line="240" w:lineRule="auto"/>
        <w:jc w:val="center"/>
        <w:outlineLvl w:val="0"/>
        <w:rPr>
          <w:rFonts w:ascii="Calibri" w:hAnsi="Calibri" w:cs="Arial"/>
          <w:b/>
          <w:bCs/>
          <w:kern w:val="32"/>
          <w:sz w:val="32"/>
          <w:szCs w:val="32"/>
          <w:lang w:val="en-GB" w:eastAsia="fr-FR"/>
        </w:rPr>
      </w:pPr>
    </w:p>
    <w:p w14:paraId="6D92EFFA" w14:textId="77777777" w:rsidR="00C22E4E" w:rsidRDefault="00C22E4E" w:rsidP="00C22E4E">
      <w:pPr>
        <w:keepNext/>
        <w:spacing w:line="240" w:lineRule="auto"/>
        <w:jc w:val="center"/>
        <w:outlineLvl w:val="0"/>
        <w:rPr>
          <w:rFonts w:asciiTheme="minorHAnsi" w:hAnsiTheme="minorHAnsi" w:cs="Arial"/>
          <w:b/>
          <w:bCs/>
          <w:kern w:val="32"/>
          <w:sz w:val="32"/>
          <w:szCs w:val="32"/>
          <w:lang w:val="nl-NL" w:eastAsia="fr-FR"/>
        </w:rPr>
      </w:pPr>
    </w:p>
    <w:p w14:paraId="390D3844" w14:textId="77777777" w:rsidR="00C22E4E" w:rsidRDefault="00C22E4E" w:rsidP="00C22E4E">
      <w:pPr>
        <w:keepNext/>
        <w:spacing w:line="240" w:lineRule="auto"/>
        <w:jc w:val="center"/>
        <w:outlineLvl w:val="0"/>
        <w:rPr>
          <w:rFonts w:cs="Arial"/>
          <w:b/>
          <w:bCs/>
          <w:kern w:val="32"/>
          <w:sz w:val="32"/>
          <w:szCs w:val="32"/>
          <w:lang w:eastAsia="fr-FR"/>
        </w:rPr>
      </w:pPr>
      <w:r>
        <w:rPr>
          <w:rFonts w:cs="Arial"/>
          <w:b/>
          <w:bCs/>
          <w:kern w:val="32"/>
          <w:sz w:val="32"/>
          <w:szCs w:val="32"/>
          <w:lang w:eastAsia="fr-FR"/>
        </w:rPr>
        <w:t>Association of Secretaries General of Parliaments</w:t>
      </w:r>
    </w:p>
    <w:p w14:paraId="4B3458A7" w14:textId="77777777" w:rsidR="00C22E4E" w:rsidRDefault="00C22E4E" w:rsidP="00C22E4E">
      <w:pPr>
        <w:pStyle w:val="NormalWeb"/>
        <w:spacing w:before="0" w:beforeAutospacing="0" w:after="0" w:afterAutospacing="0"/>
        <w:jc w:val="center"/>
        <w:rPr>
          <w:rFonts w:ascii="Century Gothic" w:hAnsi="Century Gothic" w:cs="Aharoni"/>
          <w:b/>
          <w:color w:val="000000"/>
          <w:kern w:val="24"/>
          <w:sz w:val="28"/>
          <w:szCs w:val="28"/>
        </w:rPr>
      </w:pPr>
    </w:p>
    <w:p w14:paraId="3239D13D" w14:textId="77777777" w:rsidR="00C22E4E" w:rsidRDefault="00C22E4E" w:rsidP="00C22E4E">
      <w:pPr>
        <w:pStyle w:val="NormalWeb"/>
        <w:spacing w:before="0" w:beforeAutospacing="0" w:after="0" w:afterAutospacing="0"/>
        <w:jc w:val="center"/>
        <w:rPr>
          <w:rFonts w:ascii="Century Gothic" w:hAnsi="Century Gothic" w:cs="Aharoni"/>
          <w:b/>
          <w:color w:val="000000"/>
          <w:kern w:val="24"/>
          <w:sz w:val="28"/>
          <w:szCs w:val="28"/>
        </w:rPr>
      </w:pPr>
    </w:p>
    <w:p w14:paraId="6F1CF171" w14:textId="77777777" w:rsidR="00C22E4E" w:rsidRDefault="00C22E4E" w:rsidP="00C22E4E">
      <w:pPr>
        <w:pStyle w:val="NormalWeb"/>
        <w:spacing w:before="0" w:beforeAutospacing="0" w:after="0" w:afterAutospacing="0"/>
        <w:jc w:val="center"/>
        <w:rPr>
          <w:rFonts w:ascii="Century Gothic" w:hAnsi="Century Gothic" w:cs="Aharoni"/>
          <w:b/>
          <w:color w:val="000000"/>
          <w:kern w:val="24"/>
          <w:sz w:val="28"/>
          <w:szCs w:val="28"/>
        </w:rPr>
      </w:pPr>
    </w:p>
    <w:p w14:paraId="4467658D" w14:textId="77777777" w:rsidR="00C22E4E" w:rsidRDefault="00C22E4E" w:rsidP="00C22E4E">
      <w:pPr>
        <w:pStyle w:val="NormalWeb"/>
        <w:spacing w:before="0" w:beforeAutospacing="0" w:after="0" w:afterAutospacing="0"/>
        <w:jc w:val="center"/>
        <w:rPr>
          <w:rFonts w:ascii="Century Gothic" w:hAnsi="Century Gothic" w:cs="Aharoni"/>
          <w:b/>
          <w:color w:val="000000"/>
          <w:kern w:val="24"/>
          <w:sz w:val="28"/>
          <w:szCs w:val="28"/>
        </w:rPr>
      </w:pPr>
    </w:p>
    <w:p w14:paraId="4DAFA278" w14:textId="1A03B4C8"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r>
        <w:rPr>
          <w:rFonts w:ascii="Arial Narrow" w:hAnsi="Arial Narrow" w:cs="Aharoni"/>
          <w:b/>
          <w:color w:val="000000"/>
          <w:kern w:val="24"/>
          <w:sz w:val="28"/>
          <w:szCs w:val="28"/>
        </w:rPr>
        <w:t>CO</w:t>
      </w:r>
      <w:r>
        <w:rPr>
          <w:rFonts w:ascii="Arial Narrow" w:hAnsi="Arial Narrow" w:cs="Aharoni"/>
          <w:b/>
          <w:color w:val="000000"/>
          <w:kern w:val="24"/>
          <w:sz w:val="28"/>
          <w:szCs w:val="28"/>
        </w:rPr>
        <w:t>NTRIBUT</w:t>
      </w:r>
      <w:r>
        <w:rPr>
          <w:rFonts w:ascii="Arial Narrow" w:hAnsi="Arial Narrow" w:cs="Aharoni"/>
          <w:b/>
          <w:color w:val="000000"/>
          <w:kern w:val="24"/>
          <w:sz w:val="28"/>
          <w:szCs w:val="28"/>
        </w:rPr>
        <w:t>ION</w:t>
      </w:r>
    </w:p>
    <w:p w14:paraId="65F8C409"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1385836F"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040FFDF6"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748E8887"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1B188BCC"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r>
        <w:rPr>
          <w:rFonts w:ascii="Arial Narrow" w:hAnsi="Arial Narrow" w:cs="Aharoni"/>
          <w:b/>
          <w:color w:val="000000"/>
          <w:kern w:val="24"/>
          <w:sz w:val="28"/>
          <w:szCs w:val="28"/>
        </w:rPr>
        <w:t>from</w:t>
      </w:r>
    </w:p>
    <w:p w14:paraId="17B7C231"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7FA1844D"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725D6825" w14:textId="543078AC"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r>
        <w:rPr>
          <w:rFonts w:ascii="Arial Narrow" w:hAnsi="Arial Narrow" w:cs="Aharoni"/>
          <w:b/>
          <w:color w:val="000000"/>
          <w:kern w:val="24"/>
          <w:sz w:val="28"/>
          <w:szCs w:val="28"/>
        </w:rPr>
        <w:t xml:space="preserve">Mrs. </w:t>
      </w:r>
      <w:r>
        <w:rPr>
          <w:rFonts w:ascii="Arial Narrow" w:hAnsi="Arial Narrow" w:cs="Aharoni"/>
          <w:b/>
          <w:color w:val="000000"/>
          <w:kern w:val="24"/>
          <w:sz w:val="28"/>
          <w:szCs w:val="28"/>
        </w:rPr>
        <w:t>Ewa POLKOWSKA</w:t>
      </w:r>
    </w:p>
    <w:p w14:paraId="04713C1F" w14:textId="01DA24DE"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r>
        <w:rPr>
          <w:rFonts w:ascii="Arial Narrow" w:hAnsi="Arial Narrow" w:cs="Aharoni"/>
          <w:b/>
          <w:color w:val="000000"/>
          <w:kern w:val="24"/>
          <w:sz w:val="28"/>
          <w:szCs w:val="28"/>
        </w:rPr>
        <w:t xml:space="preserve">Secretary General of the </w:t>
      </w:r>
      <w:r>
        <w:rPr>
          <w:rFonts w:ascii="Arial Narrow" w:hAnsi="Arial Narrow" w:cs="Aharoni"/>
          <w:b/>
          <w:color w:val="000000"/>
          <w:kern w:val="24"/>
          <w:sz w:val="28"/>
          <w:szCs w:val="28"/>
        </w:rPr>
        <w:t>Senate, Poland</w:t>
      </w:r>
    </w:p>
    <w:p w14:paraId="071C1B4D"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28C5072E" w14:textId="3D47550E"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r>
        <w:rPr>
          <w:rFonts w:ascii="Arial Narrow" w:hAnsi="Arial Narrow" w:cs="Aharoni"/>
          <w:b/>
          <w:color w:val="000000"/>
          <w:kern w:val="24"/>
          <w:sz w:val="28"/>
          <w:szCs w:val="28"/>
        </w:rPr>
        <w:t>and</w:t>
      </w:r>
    </w:p>
    <w:p w14:paraId="5C5008A0"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7496BC18" w14:textId="7E1261B9"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r>
        <w:rPr>
          <w:rFonts w:ascii="Arial Narrow" w:hAnsi="Arial Narrow" w:cs="Aharoni"/>
          <w:b/>
          <w:color w:val="000000"/>
          <w:kern w:val="24"/>
          <w:sz w:val="28"/>
          <w:szCs w:val="28"/>
        </w:rPr>
        <w:t>Mr. Lech CZAPLA</w:t>
      </w:r>
    </w:p>
    <w:p w14:paraId="223BE6C0" w14:textId="6F1026FE"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r>
        <w:rPr>
          <w:rFonts w:ascii="Arial Narrow" w:hAnsi="Arial Narrow" w:cs="Aharoni"/>
          <w:b/>
          <w:color w:val="000000"/>
          <w:kern w:val="24"/>
          <w:sz w:val="28"/>
          <w:szCs w:val="28"/>
        </w:rPr>
        <w:t>Secretary General of the Sejm, Poland</w:t>
      </w:r>
    </w:p>
    <w:p w14:paraId="59B4D6E8"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09A56D35"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2A5B4573"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0567D00C"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7AA521BD" w14:textId="0FAC5B6F"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r>
        <w:rPr>
          <w:rFonts w:ascii="Arial Narrow" w:hAnsi="Arial Narrow" w:cs="Aharoni"/>
          <w:b/>
          <w:color w:val="000000"/>
          <w:kern w:val="24"/>
          <w:sz w:val="28"/>
          <w:szCs w:val="28"/>
        </w:rPr>
        <w:t>to the General Debate on</w:t>
      </w:r>
    </w:p>
    <w:p w14:paraId="2C0C5782"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59697B1C" w14:textId="77777777" w:rsidR="00C22E4E" w:rsidRDefault="00C22E4E" w:rsidP="00C22E4E">
      <w:pPr>
        <w:pStyle w:val="NormalWeb"/>
        <w:spacing w:before="0" w:beforeAutospacing="0" w:after="0" w:afterAutospacing="0"/>
        <w:jc w:val="center"/>
        <w:rPr>
          <w:rFonts w:ascii="Arial Narrow" w:hAnsi="Arial Narrow" w:cs="Aharoni"/>
          <w:b/>
          <w:color w:val="000000"/>
          <w:kern w:val="24"/>
          <w:sz w:val="28"/>
          <w:szCs w:val="28"/>
        </w:rPr>
      </w:pPr>
    </w:p>
    <w:p w14:paraId="3EA4D17D" w14:textId="0EA7E456" w:rsidR="00C22E4E" w:rsidRDefault="00C22E4E" w:rsidP="00C22E4E">
      <w:pPr>
        <w:jc w:val="center"/>
        <w:rPr>
          <w:rFonts w:ascii="Arial Narrow" w:hAnsi="Arial Narrow"/>
          <w:b/>
          <w:sz w:val="28"/>
          <w:szCs w:val="28"/>
        </w:rPr>
      </w:pPr>
      <w:r>
        <w:rPr>
          <w:rFonts w:ascii="Arial Narrow" w:hAnsi="Arial Narrow"/>
          <w:b/>
          <w:sz w:val="28"/>
          <w:szCs w:val="28"/>
        </w:rPr>
        <w:t>“</w:t>
      </w:r>
      <w:r>
        <w:rPr>
          <w:rFonts w:ascii="Arial Narrow" w:hAnsi="Arial Narrow"/>
          <w:b/>
          <w:sz w:val="28"/>
          <w:szCs w:val="28"/>
        </w:rPr>
        <w:t>LOBBYISTS AND INTEREST GROUPS: THE OTHER ASPECT OF THE LEGISLATIVE PROCESS</w:t>
      </w:r>
      <w:r>
        <w:rPr>
          <w:rFonts w:ascii="Arial Narrow" w:hAnsi="Arial Narrow"/>
          <w:b/>
          <w:sz w:val="28"/>
          <w:szCs w:val="28"/>
        </w:rPr>
        <w:t>”</w:t>
      </w:r>
    </w:p>
    <w:p w14:paraId="38E21132" w14:textId="77777777" w:rsidR="00C22E4E" w:rsidRDefault="00C22E4E" w:rsidP="00C22E4E">
      <w:pPr>
        <w:jc w:val="center"/>
        <w:rPr>
          <w:rFonts w:ascii="Arial Narrow" w:hAnsi="Arial Narrow"/>
          <w:b/>
          <w:sz w:val="28"/>
          <w:szCs w:val="28"/>
        </w:rPr>
      </w:pPr>
    </w:p>
    <w:p w14:paraId="53BA76EA" w14:textId="77777777" w:rsidR="00C22E4E" w:rsidRDefault="00C22E4E" w:rsidP="00C22E4E">
      <w:pPr>
        <w:jc w:val="center"/>
        <w:rPr>
          <w:rFonts w:ascii="Arial Narrow" w:hAnsi="Arial Narrow"/>
          <w:b/>
          <w:sz w:val="28"/>
          <w:szCs w:val="28"/>
        </w:rPr>
      </w:pPr>
    </w:p>
    <w:p w14:paraId="3370E159" w14:textId="77777777" w:rsidR="00C22E4E" w:rsidRDefault="00C22E4E" w:rsidP="00C22E4E">
      <w:pPr>
        <w:jc w:val="center"/>
        <w:rPr>
          <w:rFonts w:ascii="Arial Narrow" w:hAnsi="Arial Narrow"/>
          <w:b/>
          <w:sz w:val="28"/>
          <w:szCs w:val="28"/>
        </w:rPr>
      </w:pPr>
    </w:p>
    <w:p w14:paraId="7082B67F" w14:textId="3F8BD1D6" w:rsidR="00C22E4E" w:rsidRPr="00C22E4E" w:rsidRDefault="00C22E4E" w:rsidP="00C22E4E">
      <w:pPr>
        <w:jc w:val="center"/>
        <w:rPr>
          <w:rFonts w:ascii="Arial Narrow" w:hAnsi="Arial Narrow"/>
          <w:b/>
          <w:sz w:val="28"/>
          <w:szCs w:val="28"/>
        </w:rPr>
      </w:pPr>
      <w:r>
        <w:rPr>
          <w:rFonts w:ascii="Arial Narrow" w:hAnsi="Arial Narrow"/>
          <w:b/>
          <w:sz w:val="28"/>
          <w:szCs w:val="28"/>
        </w:rPr>
        <w:t>March 2015</w:t>
      </w:r>
    </w:p>
    <w:p w14:paraId="706D185A" w14:textId="77777777" w:rsidR="008D022A" w:rsidRPr="00FF5340" w:rsidRDefault="008D022A" w:rsidP="008D022A">
      <w:pPr>
        <w:rPr>
          <w:szCs w:val="24"/>
          <w:lang w:val="en-GB"/>
        </w:rPr>
      </w:pPr>
    </w:p>
    <w:p w14:paraId="244C1AE6" w14:textId="4999F290" w:rsidR="008D022A" w:rsidRPr="008860D7" w:rsidRDefault="008D022A" w:rsidP="00CB5DD2">
      <w:pPr>
        <w:pStyle w:val="Heading1"/>
        <w:numPr>
          <w:ilvl w:val="0"/>
          <w:numId w:val="15"/>
        </w:numPr>
        <w:rPr>
          <w:rFonts w:ascii="Times New Roman" w:hAnsi="Times New Roman" w:cs="Times New Roman"/>
          <w:sz w:val="24"/>
          <w:szCs w:val="24"/>
          <w:lang w:val="en-GB"/>
        </w:rPr>
      </w:pPr>
      <w:r w:rsidRPr="008860D7">
        <w:rPr>
          <w:rFonts w:ascii="Times New Roman" w:hAnsi="Times New Roman" w:cs="Times New Roman"/>
          <w:sz w:val="24"/>
          <w:szCs w:val="24"/>
          <w:lang w:val="en-GB"/>
        </w:rPr>
        <w:lastRenderedPageBreak/>
        <w:t>General remarks</w:t>
      </w:r>
    </w:p>
    <w:p w14:paraId="16B0BA1B" w14:textId="1335190C" w:rsidR="008D022A" w:rsidRPr="00736DCB" w:rsidRDefault="006E6A8C" w:rsidP="00CB5DD2">
      <w:pPr>
        <w:ind w:firstLine="708"/>
        <w:jc w:val="both"/>
        <w:rPr>
          <w:lang w:val="en-GB"/>
        </w:rPr>
      </w:pPr>
      <w:r w:rsidRPr="00736DCB">
        <w:rPr>
          <w:lang w:val="en-GB"/>
        </w:rPr>
        <w:t xml:space="preserve">Lobbying </w:t>
      </w:r>
      <w:r w:rsidR="008D022A" w:rsidRPr="00736DCB">
        <w:rPr>
          <w:lang w:val="en-GB"/>
        </w:rPr>
        <w:t xml:space="preserve">activity in this parliament is an unquestionable fact not only because the origins of lobbying are strictly connected to parliamentary ‘lobbies’, but also because the task of contemporary lobbyists is to secure </w:t>
      </w:r>
      <w:r w:rsidRPr="00736DCB">
        <w:rPr>
          <w:lang w:val="en-GB"/>
        </w:rPr>
        <w:t xml:space="preserve">the </w:t>
      </w:r>
      <w:r w:rsidR="008D022A" w:rsidRPr="00736DCB">
        <w:rPr>
          <w:lang w:val="en-GB"/>
        </w:rPr>
        <w:t xml:space="preserve">interests of a growing number of social groups in the parliament. </w:t>
      </w:r>
    </w:p>
    <w:p w14:paraId="14E05B67" w14:textId="34710D7A" w:rsidR="008D022A" w:rsidRPr="00736DCB" w:rsidRDefault="008D022A" w:rsidP="00CB5DD2">
      <w:pPr>
        <w:ind w:firstLine="708"/>
        <w:jc w:val="both"/>
        <w:rPr>
          <w:lang w:val="en-GB"/>
        </w:rPr>
      </w:pPr>
      <w:r w:rsidRPr="00736DCB">
        <w:rPr>
          <w:lang w:val="en-GB"/>
        </w:rPr>
        <w:t>Parliamentary administrations have applied</w:t>
      </w:r>
      <w:r w:rsidR="006E6A8C" w:rsidRPr="00736DCB">
        <w:rPr>
          <w:lang w:val="en-GB"/>
        </w:rPr>
        <w:t xml:space="preserve"> the</w:t>
      </w:r>
      <w:r w:rsidRPr="00736DCB">
        <w:rPr>
          <w:lang w:val="en-GB"/>
        </w:rPr>
        <w:t xml:space="preserve"> registration method in their attempts to regulate </w:t>
      </w:r>
      <w:r w:rsidR="006E6A8C" w:rsidRPr="00736DCB">
        <w:rPr>
          <w:lang w:val="en-GB"/>
        </w:rPr>
        <w:t xml:space="preserve">lobbying </w:t>
      </w:r>
      <w:r w:rsidRPr="00736DCB">
        <w:rPr>
          <w:lang w:val="en-GB"/>
        </w:rPr>
        <w:t xml:space="preserve">activity, </w:t>
      </w:r>
      <w:r w:rsidR="006E6A8C" w:rsidRPr="00736DCB">
        <w:rPr>
          <w:lang w:val="en-GB"/>
        </w:rPr>
        <w:t xml:space="preserve">thus </w:t>
      </w:r>
      <w:r w:rsidRPr="00736DCB">
        <w:rPr>
          <w:lang w:val="en-GB"/>
        </w:rPr>
        <w:t>meeting the basic requirement of transparency in parliamentary work. However, this kind of regulation has brought moderate success – at least in Poland. Other kinds of legal regulations are less frequent. Here is why.</w:t>
      </w:r>
    </w:p>
    <w:p w14:paraId="7E1F3DBB" w14:textId="3F1EA33C" w:rsidR="008D022A" w:rsidRPr="00736DCB" w:rsidRDefault="008D022A" w:rsidP="00CB5DD2">
      <w:pPr>
        <w:ind w:firstLine="708"/>
        <w:jc w:val="both"/>
        <w:rPr>
          <w:lang w:val="en-GB"/>
        </w:rPr>
      </w:pPr>
      <w:r w:rsidRPr="00736DCB">
        <w:rPr>
          <w:lang w:val="en-GB"/>
        </w:rPr>
        <w:t xml:space="preserve"> </w:t>
      </w:r>
      <w:r w:rsidRPr="00736DCB">
        <w:rPr>
          <w:b/>
          <w:lang w:val="en-GB"/>
        </w:rPr>
        <w:t>First of all</w:t>
      </w:r>
      <w:r w:rsidRPr="00736DCB">
        <w:rPr>
          <w:lang w:val="en-GB"/>
        </w:rPr>
        <w:t xml:space="preserve">, lobbying is under stronger pressure from normative systems </w:t>
      </w:r>
      <w:r w:rsidR="0006345B" w:rsidRPr="00736DCB">
        <w:rPr>
          <w:lang w:val="en-GB"/>
        </w:rPr>
        <w:t xml:space="preserve">other </w:t>
      </w:r>
      <w:r w:rsidRPr="00736DCB">
        <w:rPr>
          <w:lang w:val="en-GB"/>
        </w:rPr>
        <w:t xml:space="preserve">than legal norms. As a result, provisions of </w:t>
      </w:r>
      <w:r w:rsidR="006E6A8C" w:rsidRPr="00736DCB">
        <w:rPr>
          <w:lang w:val="en-GB"/>
        </w:rPr>
        <w:t xml:space="preserve">the </w:t>
      </w:r>
      <w:r w:rsidRPr="00736DCB">
        <w:rPr>
          <w:lang w:val="en-GB"/>
        </w:rPr>
        <w:t>law have little regulatory impact on this phenomenon. Effective lobbying depends on binding legal regulations</w:t>
      </w:r>
      <w:r w:rsidR="006E6A8C" w:rsidRPr="00736DCB">
        <w:rPr>
          <w:lang w:val="en-GB"/>
        </w:rPr>
        <w:t xml:space="preserve"> only to a limited extent</w:t>
      </w:r>
      <w:r w:rsidRPr="00736DCB">
        <w:rPr>
          <w:lang w:val="en-GB"/>
        </w:rPr>
        <w:t>. However</w:t>
      </w:r>
      <w:r w:rsidR="006E6A8C" w:rsidRPr="00736DCB">
        <w:rPr>
          <w:lang w:val="en-GB"/>
        </w:rPr>
        <w:t>,</w:t>
      </w:r>
      <w:r w:rsidRPr="00736DCB">
        <w:rPr>
          <w:lang w:val="en-GB"/>
        </w:rPr>
        <w:t xml:space="preserve"> it is strongly contingent on the legal culture and political practice, as well as on </w:t>
      </w:r>
      <w:r w:rsidR="006E6A8C" w:rsidRPr="00736DCB">
        <w:rPr>
          <w:lang w:val="en-GB"/>
        </w:rPr>
        <w:t xml:space="preserve">the </w:t>
      </w:r>
      <w:r w:rsidRPr="00736DCB">
        <w:rPr>
          <w:lang w:val="en-GB"/>
        </w:rPr>
        <w:t>ethical standards</w:t>
      </w:r>
      <w:r w:rsidR="006E6A8C" w:rsidRPr="00736DCB">
        <w:rPr>
          <w:lang w:val="en-GB"/>
        </w:rPr>
        <w:t xml:space="preserve"> of politicians</w:t>
      </w:r>
      <w:r w:rsidRPr="00736DCB">
        <w:rPr>
          <w:lang w:val="en-GB"/>
        </w:rPr>
        <w:t xml:space="preserve">. </w:t>
      </w:r>
    </w:p>
    <w:p w14:paraId="0F901B6F" w14:textId="0DE6861A" w:rsidR="008D022A" w:rsidRPr="00736DCB" w:rsidRDefault="008D022A" w:rsidP="00CB5DD2">
      <w:pPr>
        <w:ind w:firstLine="708"/>
        <w:jc w:val="both"/>
        <w:rPr>
          <w:lang w:val="en-GB"/>
        </w:rPr>
      </w:pPr>
      <w:r w:rsidRPr="00736DCB">
        <w:rPr>
          <w:b/>
          <w:lang w:val="en-GB"/>
        </w:rPr>
        <w:t>Second</w:t>
      </w:r>
      <w:r w:rsidR="006E6A8C" w:rsidRPr="00736DCB">
        <w:rPr>
          <w:b/>
          <w:lang w:val="en-GB"/>
        </w:rPr>
        <w:t>ly</w:t>
      </w:r>
      <w:r w:rsidRPr="00736DCB">
        <w:rPr>
          <w:lang w:val="en-GB"/>
        </w:rPr>
        <w:t xml:space="preserve">, it is impossible to regulate all aspects of lobbying activity due to the very nature of lobbying; legal regulations have to focus on selected issues. It is difficult to legally describe all forms of </w:t>
      </w:r>
      <w:r w:rsidR="0006345B" w:rsidRPr="00736DCB">
        <w:rPr>
          <w:lang w:val="en-GB"/>
        </w:rPr>
        <w:t xml:space="preserve">exerting </w:t>
      </w:r>
      <w:r w:rsidR="006E6A8C" w:rsidRPr="00736DCB">
        <w:rPr>
          <w:lang w:val="en-GB"/>
        </w:rPr>
        <w:t>influence</w:t>
      </w:r>
      <w:r w:rsidRPr="00736DCB">
        <w:rPr>
          <w:lang w:val="en-GB"/>
        </w:rPr>
        <w:t xml:space="preserve"> on the decision-making body. In this case we are dealing with a phenomenon described in the sociology of law as the </w:t>
      </w:r>
      <w:r w:rsidRPr="00736DCB">
        <w:rPr>
          <w:i/>
          <w:lang w:val="en-GB"/>
        </w:rPr>
        <w:t>limits of law</w:t>
      </w:r>
      <w:r w:rsidRPr="00736DCB">
        <w:rPr>
          <w:lang w:val="en-GB"/>
        </w:rPr>
        <w:t xml:space="preserve">. </w:t>
      </w:r>
    </w:p>
    <w:p w14:paraId="26792567" w14:textId="64BCF342" w:rsidR="008D022A" w:rsidRPr="00736DCB" w:rsidRDefault="008D022A" w:rsidP="00CB5DD2">
      <w:pPr>
        <w:ind w:firstLine="708"/>
        <w:jc w:val="both"/>
        <w:rPr>
          <w:lang w:val="en-GB"/>
        </w:rPr>
      </w:pPr>
      <w:r w:rsidRPr="00736DCB">
        <w:rPr>
          <w:b/>
          <w:lang w:val="en-GB"/>
        </w:rPr>
        <w:t>Third</w:t>
      </w:r>
      <w:r w:rsidR="006E6A8C" w:rsidRPr="00736DCB">
        <w:rPr>
          <w:b/>
          <w:lang w:val="en-GB"/>
        </w:rPr>
        <w:t>ly</w:t>
      </w:r>
      <w:r w:rsidRPr="00736DCB">
        <w:rPr>
          <w:lang w:val="en-GB"/>
        </w:rPr>
        <w:t xml:space="preserve">, the essence of lobbying lies in exerting informal </w:t>
      </w:r>
      <w:r w:rsidR="006E6A8C" w:rsidRPr="00736DCB">
        <w:rPr>
          <w:lang w:val="en-GB"/>
        </w:rPr>
        <w:t>influence</w:t>
      </w:r>
      <w:r w:rsidRPr="00736DCB">
        <w:rPr>
          <w:lang w:val="en-GB"/>
        </w:rPr>
        <w:t xml:space="preserve"> on decision-making bodies. </w:t>
      </w:r>
      <w:r w:rsidR="006E6A8C" w:rsidRPr="00736DCB">
        <w:rPr>
          <w:lang w:val="en-GB"/>
        </w:rPr>
        <w:t xml:space="preserve">It </w:t>
      </w:r>
      <w:r w:rsidRPr="00736DCB">
        <w:rPr>
          <w:lang w:val="en-GB"/>
        </w:rPr>
        <w:t>is very difficult and to a large extent pointless</w:t>
      </w:r>
      <w:r w:rsidR="006E6A8C" w:rsidRPr="00736DCB">
        <w:rPr>
          <w:lang w:val="en-GB"/>
        </w:rPr>
        <w:t xml:space="preserve"> to formulate a legal definition of forms of such influence in procedural norms</w:t>
      </w:r>
      <w:r w:rsidRPr="00736DCB">
        <w:rPr>
          <w:lang w:val="en-GB"/>
        </w:rPr>
        <w:t xml:space="preserve">. </w:t>
      </w:r>
    </w:p>
    <w:p w14:paraId="109C9D1D" w14:textId="5DBA073A" w:rsidR="008D022A" w:rsidRPr="00736DCB" w:rsidRDefault="008D022A" w:rsidP="00CB5DD2">
      <w:pPr>
        <w:ind w:firstLine="708"/>
        <w:jc w:val="both"/>
        <w:rPr>
          <w:lang w:val="en-GB"/>
        </w:rPr>
      </w:pPr>
      <w:r w:rsidRPr="00736DCB">
        <w:rPr>
          <w:b/>
          <w:lang w:val="en-GB"/>
        </w:rPr>
        <w:t>Fourth</w:t>
      </w:r>
      <w:r w:rsidR="006E6A8C" w:rsidRPr="00736DCB">
        <w:rPr>
          <w:b/>
          <w:lang w:val="en-GB"/>
        </w:rPr>
        <w:t>ly</w:t>
      </w:r>
      <w:r w:rsidRPr="00736DCB">
        <w:rPr>
          <w:lang w:val="en-GB"/>
        </w:rPr>
        <w:t xml:space="preserve">, a major part of the lobbying activity is secret </w:t>
      </w:r>
      <w:r w:rsidR="006E6A8C" w:rsidRPr="00736DCB">
        <w:rPr>
          <w:lang w:val="en-GB"/>
        </w:rPr>
        <w:t>–</w:t>
      </w:r>
      <w:r w:rsidRPr="00736DCB">
        <w:rPr>
          <w:lang w:val="en-GB"/>
        </w:rPr>
        <w:t xml:space="preserve"> it is not disclosed to the public, because keeping </w:t>
      </w:r>
      <w:r w:rsidR="00B92476" w:rsidRPr="00736DCB">
        <w:rPr>
          <w:lang w:val="en-GB"/>
        </w:rPr>
        <w:t xml:space="preserve">it </w:t>
      </w:r>
      <w:r w:rsidRPr="00736DCB">
        <w:rPr>
          <w:lang w:val="en-GB"/>
        </w:rPr>
        <w:t xml:space="preserve">confidential is a condition of success. It is complicated to regulate a phenomenon that is not readily perceptible, and by the same token difficult to be socially controlled.  </w:t>
      </w:r>
      <w:r w:rsidR="00B92476" w:rsidRPr="00736DCB">
        <w:rPr>
          <w:lang w:val="en-GB"/>
        </w:rPr>
        <w:t>The l</w:t>
      </w:r>
      <w:r w:rsidRPr="00736DCB">
        <w:rPr>
          <w:lang w:val="en-GB"/>
        </w:rPr>
        <w:t xml:space="preserve">ack of efficient social control over lobbying </w:t>
      </w:r>
      <w:r w:rsidR="00B92476" w:rsidRPr="00736DCB">
        <w:rPr>
          <w:lang w:val="en-GB"/>
        </w:rPr>
        <w:t>–</w:t>
      </w:r>
      <w:r w:rsidRPr="00736DCB">
        <w:rPr>
          <w:lang w:val="en-GB"/>
        </w:rPr>
        <w:t xml:space="preserve"> both legal and informal </w:t>
      </w:r>
      <w:r w:rsidR="00B92476" w:rsidRPr="00736DCB">
        <w:rPr>
          <w:lang w:val="en-GB"/>
        </w:rPr>
        <w:t>–</w:t>
      </w:r>
      <w:r w:rsidRPr="00736DCB">
        <w:rPr>
          <w:lang w:val="en-GB"/>
        </w:rPr>
        <w:t xml:space="preserve"> leads to regular negative assessments of </w:t>
      </w:r>
      <w:r w:rsidR="00B92476" w:rsidRPr="00736DCB">
        <w:rPr>
          <w:lang w:val="en-GB"/>
        </w:rPr>
        <w:t xml:space="preserve">the </w:t>
      </w:r>
      <w:r w:rsidRPr="00736DCB">
        <w:rPr>
          <w:lang w:val="en-GB"/>
        </w:rPr>
        <w:t>lobbying activity and lobbying mechanism</w:t>
      </w:r>
      <w:r w:rsidR="00B92476" w:rsidRPr="00736DCB">
        <w:rPr>
          <w:lang w:val="en-GB"/>
        </w:rPr>
        <w:t>s</w:t>
      </w:r>
      <w:r w:rsidRPr="00736DCB">
        <w:rPr>
          <w:lang w:val="en-GB"/>
        </w:rPr>
        <w:t xml:space="preserve"> in the society.</w:t>
      </w:r>
    </w:p>
    <w:p w14:paraId="634419F4" w14:textId="149D5ADC" w:rsidR="008D022A" w:rsidRPr="00736DCB" w:rsidRDefault="008D022A" w:rsidP="00CB5DD2">
      <w:pPr>
        <w:ind w:firstLine="708"/>
        <w:jc w:val="both"/>
        <w:rPr>
          <w:lang w:val="en-GB"/>
        </w:rPr>
      </w:pPr>
      <w:r w:rsidRPr="00736DCB">
        <w:rPr>
          <w:lang w:val="en-GB"/>
        </w:rPr>
        <w:t xml:space="preserve"> </w:t>
      </w:r>
      <w:r w:rsidRPr="00736DCB">
        <w:rPr>
          <w:b/>
          <w:lang w:val="en-GB"/>
        </w:rPr>
        <w:t>Fifth</w:t>
      </w:r>
      <w:r w:rsidR="00B92476" w:rsidRPr="00736DCB">
        <w:rPr>
          <w:b/>
          <w:lang w:val="en-GB"/>
        </w:rPr>
        <w:t>ly</w:t>
      </w:r>
      <w:r w:rsidRPr="00736DCB">
        <w:rPr>
          <w:lang w:val="en-GB"/>
        </w:rPr>
        <w:t xml:space="preserve">, </w:t>
      </w:r>
      <w:r w:rsidR="00B92476" w:rsidRPr="00736DCB">
        <w:rPr>
          <w:lang w:val="en-GB"/>
        </w:rPr>
        <w:t xml:space="preserve">the </w:t>
      </w:r>
      <w:r w:rsidRPr="00736DCB">
        <w:rPr>
          <w:lang w:val="en-GB"/>
        </w:rPr>
        <w:t xml:space="preserve">discreet activity </w:t>
      </w:r>
      <w:r w:rsidR="00B92476" w:rsidRPr="00736DCB">
        <w:rPr>
          <w:lang w:val="en-GB"/>
        </w:rPr>
        <w:t xml:space="preserve">of lobbyists </w:t>
      </w:r>
      <w:r w:rsidRPr="00736DCB">
        <w:rPr>
          <w:lang w:val="en-GB"/>
        </w:rPr>
        <w:t>breeds suspicions of corruption, and their work is often perceived by the society as favou</w:t>
      </w:r>
      <w:bookmarkStart w:id="0" w:name="_GoBack"/>
      <w:bookmarkEnd w:id="0"/>
      <w:r w:rsidRPr="00736DCB">
        <w:rPr>
          <w:lang w:val="en-GB"/>
        </w:rPr>
        <w:t>ring corruption. In practice</w:t>
      </w:r>
      <w:r w:rsidR="00B92476" w:rsidRPr="00736DCB">
        <w:rPr>
          <w:lang w:val="en-GB"/>
        </w:rPr>
        <w:t>,</w:t>
      </w:r>
      <w:r w:rsidRPr="00736DCB">
        <w:rPr>
          <w:lang w:val="en-GB"/>
        </w:rPr>
        <w:t xml:space="preserve"> it is </w:t>
      </w:r>
      <w:r w:rsidR="00B92476" w:rsidRPr="00736DCB">
        <w:rPr>
          <w:lang w:val="en-GB"/>
        </w:rPr>
        <w:t>some</w:t>
      </w:r>
      <w:r w:rsidRPr="00736DCB">
        <w:rPr>
          <w:lang w:val="en-GB"/>
        </w:rPr>
        <w:t xml:space="preserve">times difficult to draw a line between lobbying activity and corruption, even though differentiating between the two phenomena in legal regulations may seem an easy task for the legislator. </w:t>
      </w:r>
    </w:p>
    <w:p w14:paraId="46A49D3A" w14:textId="6C83A120" w:rsidR="008D022A" w:rsidRPr="00736DCB" w:rsidRDefault="008D022A" w:rsidP="00CB5DD2">
      <w:pPr>
        <w:ind w:firstLine="708"/>
        <w:jc w:val="both"/>
        <w:rPr>
          <w:lang w:val="en-GB"/>
        </w:rPr>
      </w:pPr>
      <w:r w:rsidRPr="00736DCB">
        <w:rPr>
          <w:lang w:val="en-GB"/>
        </w:rPr>
        <w:t xml:space="preserve">Distinguishing between corruption and lobbying is particularly difficult in societies that </w:t>
      </w:r>
      <w:r w:rsidR="0006345B" w:rsidRPr="00736DCB">
        <w:rPr>
          <w:lang w:val="en-GB"/>
        </w:rPr>
        <w:t>have no</w:t>
      </w:r>
      <w:r w:rsidRPr="00736DCB">
        <w:rPr>
          <w:lang w:val="en-GB"/>
        </w:rPr>
        <w:t xml:space="preserve"> tradition of respect for the ‘common good’, ‘public interest’ and a precisely defined public sphere</w:t>
      </w:r>
      <w:r w:rsidR="00B92476" w:rsidRPr="00736DCB">
        <w:rPr>
          <w:lang w:val="en-GB"/>
        </w:rPr>
        <w:t>,</w:t>
      </w:r>
      <w:r w:rsidRPr="00736DCB">
        <w:rPr>
          <w:lang w:val="en-GB"/>
        </w:rPr>
        <w:t xml:space="preserve"> and where political parties do not have clearly defined program</w:t>
      </w:r>
      <w:r w:rsidR="0006345B" w:rsidRPr="00736DCB">
        <w:rPr>
          <w:lang w:val="en-GB"/>
        </w:rPr>
        <w:t>me</w:t>
      </w:r>
      <w:r w:rsidRPr="00736DCB">
        <w:rPr>
          <w:lang w:val="en-GB"/>
        </w:rPr>
        <w:t xml:space="preserve">s. </w:t>
      </w:r>
      <w:r w:rsidRPr="00736DCB">
        <w:rPr>
          <w:lang w:val="en-GB"/>
        </w:rPr>
        <w:lastRenderedPageBreak/>
        <w:t xml:space="preserve">The essence of lobbying activity </w:t>
      </w:r>
      <w:r w:rsidR="00B92476" w:rsidRPr="00736DCB">
        <w:rPr>
          <w:lang w:val="en-GB"/>
        </w:rPr>
        <w:t xml:space="preserve">lies </w:t>
      </w:r>
      <w:r w:rsidRPr="00736DCB">
        <w:rPr>
          <w:lang w:val="en-GB"/>
        </w:rPr>
        <w:t xml:space="preserve">is exercising influence on representatives of public institutions (and not on private entities), officials and </w:t>
      </w:r>
      <w:r w:rsidR="0006345B" w:rsidRPr="00736DCB">
        <w:rPr>
          <w:lang w:val="en-GB"/>
        </w:rPr>
        <w:t>civil servants</w:t>
      </w:r>
      <w:r w:rsidRPr="00736DCB">
        <w:rPr>
          <w:lang w:val="en-GB"/>
        </w:rPr>
        <w:t xml:space="preserve"> – guardians and executors of the public interest. They should have a crystal-clear idea of what values they should respect and defend.  </w:t>
      </w:r>
    </w:p>
    <w:p w14:paraId="34309004" w14:textId="3BB8ADA9" w:rsidR="008D022A" w:rsidRPr="00736DCB" w:rsidRDefault="00832A20" w:rsidP="00CB5DD2">
      <w:pPr>
        <w:ind w:firstLine="708"/>
        <w:jc w:val="both"/>
        <w:rPr>
          <w:lang w:val="en-GB"/>
        </w:rPr>
      </w:pPr>
      <w:r>
        <w:rPr>
          <w:b/>
          <w:lang w:val="en-GB"/>
        </w:rPr>
        <w:t>In the sixth</w:t>
      </w:r>
      <w:r w:rsidR="00D437FE" w:rsidRPr="00736DCB">
        <w:rPr>
          <w:b/>
          <w:lang w:val="en-GB"/>
        </w:rPr>
        <w:t xml:space="preserve"> place</w:t>
      </w:r>
      <w:r w:rsidR="008D022A" w:rsidRPr="00736DCB">
        <w:rPr>
          <w:lang w:val="en-GB"/>
        </w:rPr>
        <w:t>, lobbying as an institution may function only in pluralist and democratic societies that allow for a full representation of interests; only such conditions make confrontation between public interest and private, particular (local)</w:t>
      </w:r>
      <w:r w:rsidR="00C92D84" w:rsidRPr="00736DCB">
        <w:rPr>
          <w:lang w:val="en-GB"/>
        </w:rPr>
        <w:t>,</w:t>
      </w:r>
      <w:r w:rsidR="008D022A" w:rsidRPr="00736DCB">
        <w:rPr>
          <w:lang w:val="en-GB"/>
        </w:rPr>
        <w:t xml:space="preserve"> business (corporate) and party interests possible. </w:t>
      </w:r>
    </w:p>
    <w:p w14:paraId="4611AA0B" w14:textId="16D9CCBE" w:rsidR="008D022A" w:rsidRPr="00736DCB" w:rsidRDefault="00832A20" w:rsidP="00CB5DD2">
      <w:pPr>
        <w:ind w:firstLine="708"/>
        <w:jc w:val="both"/>
        <w:rPr>
          <w:lang w:val="en-GB"/>
        </w:rPr>
      </w:pPr>
      <w:r>
        <w:rPr>
          <w:b/>
          <w:lang w:val="en-GB"/>
        </w:rPr>
        <w:t>In the seventh</w:t>
      </w:r>
      <w:r w:rsidR="00D437FE" w:rsidRPr="00736DCB">
        <w:rPr>
          <w:b/>
          <w:lang w:val="en-GB"/>
        </w:rPr>
        <w:t xml:space="preserve"> place</w:t>
      </w:r>
      <w:r w:rsidR="008D022A" w:rsidRPr="00736DCB">
        <w:rPr>
          <w:bCs/>
          <w:lang w:val="en-GB"/>
        </w:rPr>
        <w:t>, lobbying activity is visibly more effective in societies undergoing transformation. In such circumstances</w:t>
      </w:r>
      <w:r w:rsidR="00F665EF" w:rsidRPr="00736DCB">
        <w:rPr>
          <w:bCs/>
          <w:lang w:val="en-GB"/>
        </w:rPr>
        <w:t>,</w:t>
      </w:r>
      <w:r w:rsidR="008D022A" w:rsidRPr="00736DCB">
        <w:rPr>
          <w:bCs/>
          <w:lang w:val="en-GB"/>
        </w:rPr>
        <w:t xml:space="preserve"> results are achieved with substantially lower own costs than in mature democracies. It is possible due to </w:t>
      </w:r>
      <w:r w:rsidR="008D022A" w:rsidRPr="00CC613A">
        <w:rPr>
          <w:bCs/>
          <w:lang w:val="en-GB"/>
        </w:rPr>
        <w:t>anomie</w:t>
      </w:r>
      <w:r w:rsidR="008D022A" w:rsidRPr="00736DCB">
        <w:rPr>
          <w:bCs/>
          <w:lang w:val="en-GB"/>
        </w:rPr>
        <w:t xml:space="preserve">, </w:t>
      </w:r>
      <w:r w:rsidR="00304BEF" w:rsidRPr="00736DCB">
        <w:rPr>
          <w:bCs/>
          <w:lang w:val="en-GB"/>
        </w:rPr>
        <w:t>poor</w:t>
      </w:r>
      <w:r w:rsidR="00F665EF" w:rsidRPr="00736DCB">
        <w:rPr>
          <w:bCs/>
          <w:lang w:val="en-GB"/>
        </w:rPr>
        <w:t xml:space="preserve"> </w:t>
      </w:r>
      <w:r w:rsidR="008D022A" w:rsidRPr="00736DCB">
        <w:rPr>
          <w:bCs/>
          <w:lang w:val="en-GB"/>
        </w:rPr>
        <w:t xml:space="preserve">mechanisms of social and state control, </w:t>
      </w:r>
      <w:r w:rsidR="00F665EF" w:rsidRPr="00736DCB">
        <w:rPr>
          <w:bCs/>
          <w:lang w:val="en-GB"/>
        </w:rPr>
        <w:t xml:space="preserve">the </w:t>
      </w:r>
      <w:r w:rsidR="008D022A" w:rsidRPr="00736DCB">
        <w:rPr>
          <w:bCs/>
          <w:lang w:val="en-GB"/>
        </w:rPr>
        <w:t>lack of clarity with respect to goals that should be pursued in the public sphere, large-scale privatisation of public goods and</w:t>
      </w:r>
      <w:r w:rsidR="00304BEF" w:rsidRPr="00736DCB">
        <w:rPr>
          <w:bCs/>
          <w:lang w:val="en-GB"/>
        </w:rPr>
        <w:t>,</w:t>
      </w:r>
      <w:r w:rsidR="008D022A" w:rsidRPr="00736DCB">
        <w:rPr>
          <w:bCs/>
          <w:lang w:val="en-GB"/>
        </w:rPr>
        <w:t xml:space="preserve"> </w:t>
      </w:r>
      <w:r w:rsidR="00F665EF" w:rsidRPr="00736DCB">
        <w:rPr>
          <w:bCs/>
          <w:lang w:val="en-GB"/>
        </w:rPr>
        <w:t>frequent</w:t>
      </w:r>
      <w:r w:rsidR="00304BEF" w:rsidRPr="00736DCB">
        <w:rPr>
          <w:bCs/>
          <w:lang w:val="en-GB"/>
        </w:rPr>
        <w:t>ly,</w:t>
      </w:r>
      <w:r w:rsidR="00F665EF" w:rsidRPr="00736DCB">
        <w:rPr>
          <w:bCs/>
          <w:lang w:val="en-GB"/>
        </w:rPr>
        <w:t xml:space="preserve"> </w:t>
      </w:r>
      <w:r w:rsidR="008D022A" w:rsidRPr="00736DCB">
        <w:rPr>
          <w:bCs/>
          <w:lang w:val="en-GB"/>
        </w:rPr>
        <w:t>lack</w:t>
      </w:r>
      <w:r w:rsidR="00F665EF" w:rsidRPr="00736DCB">
        <w:rPr>
          <w:bCs/>
          <w:lang w:val="en-GB"/>
        </w:rPr>
        <w:t xml:space="preserve"> of </w:t>
      </w:r>
      <w:r w:rsidR="008D022A" w:rsidRPr="00736DCB">
        <w:rPr>
          <w:bCs/>
          <w:lang w:val="en-GB"/>
        </w:rPr>
        <w:t xml:space="preserve">regulations </w:t>
      </w:r>
      <w:r w:rsidR="00F665EF" w:rsidRPr="00736DCB">
        <w:rPr>
          <w:bCs/>
          <w:lang w:val="en-GB"/>
        </w:rPr>
        <w:t xml:space="preserve">governing </w:t>
      </w:r>
      <w:r w:rsidR="008D022A" w:rsidRPr="00736DCB">
        <w:rPr>
          <w:bCs/>
          <w:lang w:val="en-GB"/>
        </w:rPr>
        <w:t>the lobbying process.</w:t>
      </w:r>
      <w:r w:rsidR="008D022A" w:rsidRPr="00736DCB">
        <w:rPr>
          <w:lang w:val="en-GB"/>
        </w:rPr>
        <w:t xml:space="preserve"> </w:t>
      </w:r>
    </w:p>
    <w:p w14:paraId="2EB53181" w14:textId="77777777" w:rsidR="008D022A" w:rsidRPr="00736DCB" w:rsidRDefault="008D022A" w:rsidP="008D022A">
      <w:pPr>
        <w:ind w:firstLine="708"/>
        <w:jc w:val="both"/>
        <w:rPr>
          <w:lang w:val="en-GB"/>
        </w:rPr>
      </w:pPr>
    </w:p>
    <w:p w14:paraId="7838DC9B" w14:textId="226464D8" w:rsidR="008D022A" w:rsidRPr="00736DCB" w:rsidRDefault="008D022A" w:rsidP="00CB5DD2">
      <w:pPr>
        <w:ind w:firstLine="708"/>
        <w:jc w:val="both"/>
        <w:rPr>
          <w:lang w:val="en-GB"/>
        </w:rPr>
      </w:pPr>
      <w:r w:rsidRPr="00736DCB">
        <w:rPr>
          <w:lang w:val="en-GB"/>
        </w:rPr>
        <w:t>Specialist publications most often point out that the most important aspect of lobbying activity is persuasion as well as providing and obtain</w:t>
      </w:r>
      <w:r w:rsidR="00F665EF" w:rsidRPr="00736DCB">
        <w:rPr>
          <w:lang w:val="en-GB"/>
        </w:rPr>
        <w:t>in</w:t>
      </w:r>
      <w:r w:rsidRPr="00736DCB">
        <w:rPr>
          <w:lang w:val="en-GB"/>
        </w:rPr>
        <w:t>g information that is supposed to promote given decisions. However</w:t>
      </w:r>
      <w:r w:rsidR="00F665EF" w:rsidRPr="00736DCB">
        <w:rPr>
          <w:lang w:val="en-GB"/>
        </w:rPr>
        <w:t>,</w:t>
      </w:r>
      <w:r w:rsidRPr="00736DCB">
        <w:rPr>
          <w:lang w:val="en-GB"/>
        </w:rPr>
        <w:t xml:space="preserve"> it is not so obvious from the perspective of the lobbyist’s goals. Successful lobbying activity does not consist in solely providing information, but in forcing through a decision </w:t>
      </w:r>
      <w:r w:rsidR="00304BEF" w:rsidRPr="00736DCB">
        <w:rPr>
          <w:lang w:val="en-GB"/>
        </w:rPr>
        <w:t xml:space="preserve">advantageous </w:t>
      </w:r>
      <w:r w:rsidRPr="00736DCB">
        <w:rPr>
          <w:lang w:val="en-GB"/>
        </w:rPr>
        <w:t xml:space="preserve">for </w:t>
      </w:r>
      <w:r w:rsidR="00304BEF" w:rsidRPr="00736DCB">
        <w:rPr>
          <w:lang w:val="en-GB"/>
        </w:rPr>
        <w:t>the mandator</w:t>
      </w:r>
      <w:r w:rsidRPr="00736DCB">
        <w:rPr>
          <w:lang w:val="en-GB"/>
        </w:rPr>
        <w:t xml:space="preserve"> in the form of desired content of a legal regulation or a specific political decision. Very often the desired outcome of lobbying activity (what is frequently forgotten) is to prevent a political decision on a given issue or killing a specific bill. T</w:t>
      </w:r>
      <w:r w:rsidR="00F665EF" w:rsidRPr="00736DCB">
        <w:rPr>
          <w:lang w:val="en-GB"/>
        </w:rPr>
        <w:t>he t</w:t>
      </w:r>
      <w:r w:rsidRPr="00736DCB">
        <w:rPr>
          <w:lang w:val="en-GB"/>
        </w:rPr>
        <w:t xml:space="preserve">actics and strategy of lobbying activity is a separate subject and there are </w:t>
      </w:r>
      <w:r w:rsidRPr="002A13B5">
        <w:rPr>
          <w:lang w:val="en-GB"/>
        </w:rPr>
        <w:t>books</w:t>
      </w:r>
      <w:r w:rsidRPr="00736DCB">
        <w:rPr>
          <w:lang w:val="en-GB"/>
        </w:rPr>
        <w:t xml:space="preserve"> dedicated to these issues. It is also important to decide whether legal regulations on lobbying should pertain only to persons who are professional lobbyists, or </w:t>
      </w:r>
      <w:r w:rsidR="001F495E" w:rsidRPr="00736DCB">
        <w:rPr>
          <w:lang w:val="en-GB"/>
        </w:rPr>
        <w:t xml:space="preserve">they should </w:t>
      </w:r>
      <w:r w:rsidRPr="00736DCB">
        <w:rPr>
          <w:lang w:val="en-GB"/>
        </w:rPr>
        <w:t xml:space="preserve">also </w:t>
      </w:r>
      <w:r w:rsidR="001F495E" w:rsidRPr="00736DCB">
        <w:rPr>
          <w:lang w:val="en-GB"/>
        </w:rPr>
        <w:t xml:space="preserve">apply </w:t>
      </w:r>
      <w:r w:rsidRPr="00736DCB">
        <w:rPr>
          <w:lang w:val="en-GB"/>
        </w:rPr>
        <w:t xml:space="preserve">to </w:t>
      </w:r>
      <w:r w:rsidR="001F495E" w:rsidRPr="00736DCB">
        <w:rPr>
          <w:lang w:val="en-GB"/>
        </w:rPr>
        <w:t xml:space="preserve">operators </w:t>
      </w:r>
      <w:r w:rsidRPr="00736DCB">
        <w:rPr>
          <w:lang w:val="en-GB"/>
        </w:rPr>
        <w:t xml:space="preserve">that only perform tasks assigned to them (executive tasks) in the strategic programme of lobbying agencies (media, </w:t>
      </w:r>
      <w:r w:rsidRPr="00736DCB">
        <w:rPr>
          <w:iCs/>
          <w:lang w:val="en-GB"/>
        </w:rPr>
        <w:t xml:space="preserve">public affairs </w:t>
      </w:r>
      <w:r w:rsidR="00F665EF" w:rsidRPr="00736DCB">
        <w:rPr>
          <w:iCs/>
          <w:lang w:val="en-GB"/>
        </w:rPr>
        <w:t>and</w:t>
      </w:r>
      <w:r w:rsidRPr="00736DCB">
        <w:rPr>
          <w:iCs/>
          <w:lang w:val="en-GB"/>
        </w:rPr>
        <w:t xml:space="preserve"> public relations</w:t>
      </w:r>
      <w:r w:rsidR="00F665EF" w:rsidRPr="00736DCB">
        <w:rPr>
          <w:iCs/>
          <w:lang w:val="en-GB"/>
        </w:rPr>
        <w:t xml:space="preserve"> agencies</w:t>
      </w:r>
      <w:r w:rsidRPr="00736DCB">
        <w:rPr>
          <w:lang w:val="en-GB"/>
        </w:rPr>
        <w:t xml:space="preserve">, advertising agencies, legal firms). Is the legal regulation supposed to cover those interest groups whose representatives do engage in professional lobbying in their activity in the public life spheres that are of interest to those groups, </w:t>
      </w:r>
      <w:r w:rsidR="001F495E" w:rsidRPr="00736DCB">
        <w:rPr>
          <w:lang w:val="en-GB"/>
        </w:rPr>
        <w:t>but they do not deploy</w:t>
      </w:r>
      <w:r w:rsidRPr="00736DCB">
        <w:rPr>
          <w:lang w:val="en-GB"/>
        </w:rPr>
        <w:t xml:space="preserve"> permanent </w:t>
      </w:r>
      <w:r w:rsidR="001F495E" w:rsidRPr="00736DCB">
        <w:rPr>
          <w:lang w:val="en-GB"/>
        </w:rPr>
        <w:t xml:space="preserve">efforts </w:t>
      </w:r>
      <w:r w:rsidRPr="00736DCB">
        <w:rPr>
          <w:lang w:val="en-GB"/>
        </w:rPr>
        <w:t>targeted at desired goals (association</w:t>
      </w:r>
      <w:r w:rsidR="00F665EF" w:rsidRPr="00736DCB">
        <w:rPr>
          <w:lang w:val="en-GB"/>
        </w:rPr>
        <w:t>s</w:t>
      </w:r>
      <w:r w:rsidRPr="00736DCB">
        <w:rPr>
          <w:lang w:val="en-GB"/>
        </w:rPr>
        <w:t>, social foundation</w:t>
      </w:r>
      <w:r w:rsidR="00F665EF" w:rsidRPr="00736DCB">
        <w:rPr>
          <w:lang w:val="en-GB"/>
        </w:rPr>
        <w:t>s</w:t>
      </w:r>
      <w:r w:rsidRPr="00736DCB">
        <w:rPr>
          <w:lang w:val="en-GB"/>
        </w:rPr>
        <w:t xml:space="preserve">, civic </w:t>
      </w:r>
      <w:r w:rsidR="00F665EF" w:rsidRPr="00736DCB">
        <w:rPr>
          <w:lang w:val="en-GB"/>
        </w:rPr>
        <w:t>movements</w:t>
      </w:r>
      <w:r w:rsidRPr="00736DCB">
        <w:rPr>
          <w:lang w:val="en-GB"/>
        </w:rPr>
        <w:t xml:space="preserve">)?  </w:t>
      </w:r>
    </w:p>
    <w:p w14:paraId="38740FBC" w14:textId="77777777" w:rsidR="008D022A" w:rsidRPr="00736DCB" w:rsidRDefault="008D022A" w:rsidP="008D022A">
      <w:pPr>
        <w:ind w:firstLine="708"/>
        <w:jc w:val="both"/>
        <w:rPr>
          <w:lang w:val="en-GB"/>
        </w:rPr>
      </w:pPr>
    </w:p>
    <w:p w14:paraId="578C68A7" w14:textId="347DE1C2" w:rsidR="008D022A" w:rsidRPr="00736DCB" w:rsidRDefault="00F665EF" w:rsidP="00CB5DD2">
      <w:pPr>
        <w:ind w:firstLine="708"/>
        <w:jc w:val="both"/>
        <w:rPr>
          <w:lang w:val="en-GB"/>
        </w:rPr>
      </w:pPr>
      <w:r w:rsidRPr="00736DCB">
        <w:rPr>
          <w:lang w:val="en-GB"/>
        </w:rPr>
        <w:t>P</w:t>
      </w:r>
      <w:r w:rsidR="008D022A" w:rsidRPr="00736DCB">
        <w:rPr>
          <w:lang w:val="en-GB"/>
        </w:rPr>
        <w:t xml:space="preserve">olish experience with lobbying </w:t>
      </w:r>
      <w:r w:rsidR="001F495E" w:rsidRPr="00736DCB">
        <w:rPr>
          <w:lang w:val="en-GB"/>
        </w:rPr>
        <w:t xml:space="preserve">is </w:t>
      </w:r>
      <w:r w:rsidR="008D022A" w:rsidRPr="00736DCB">
        <w:rPr>
          <w:lang w:val="en-GB"/>
        </w:rPr>
        <w:t xml:space="preserve">only twenty years </w:t>
      </w:r>
      <w:r w:rsidR="001F495E" w:rsidRPr="00736DCB">
        <w:rPr>
          <w:lang w:val="en-GB"/>
        </w:rPr>
        <w:t>old</w:t>
      </w:r>
      <w:r w:rsidR="008D022A" w:rsidRPr="00736DCB">
        <w:rPr>
          <w:lang w:val="en-GB"/>
        </w:rPr>
        <w:t>. In 1992</w:t>
      </w:r>
      <w:r w:rsidRPr="00736DCB">
        <w:rPr>
          <w:lang w:val="en-GB"/>
        </w:rPr>
        <w:t>,</w:t>
      </w:r>
      <w:r w:rsidR="008D022A" w:rsidRPr="00736DCB">
        <w:rPr>
          <w:lang w:val="en-GB"/>
        </w:rPr>
        <w:t xml:space="preserve"> there was no research in this area and typical lobbying activit</w:t>
      </w:r>
      <w:r w:rsidR="00643945" w:rsidRPr="00736DCB">
        <w:rPr>
          <w:lang w:val="en-GB"/>
        </w:rPr>
        <w:t>ies</w:t>
      </w:r>
      <w:r w:rsidR="008D022A" w:rsidRPr="00736DCB">
        <w:rPr>
          <w:lang w:val="en-GB"/>
        </w:rPr>
        <w:t xml:space="preserve"> were perceived as positive developments </w:t>
      </w:r>
      <w:r w:rsidR="008D022A" w:rsidRPr="00736DCB">
        <w:rPr>
          <w:lang w:val="en-GB"/>
        </w:rPr>
        <w:lastRenderedPageBreak/>
        <w:t xml:space="preserve">and a sign of democratisation of social life. The situation has </w:t>
      </w:r>
      <w:r w:rsidR="001F495E" w:rsidRPr="00736DCB">
        <w:rPr>
          <w:lang w:val="en-GB"/>
        </w:rPr>
        <w:t xml:space="preserve">drastically </w:t>
      </w:r>
      <w:r w:rsidR="008D022A" w:rsidRPr="00736DCB">
        <w:rPr>
          <w:lang w:val="en-GB"/>
        </w:rPr>
        <w:t xml:space="preserve">changed in the following years, when conflicts of interest among </w:t>
      </w:r>
      <w:r w:rsidR="00643945" w:rsidRPr="00736DCB">
        <w:rPr>
          <w:lang w:val="en-GB"/>
        </w:rPr>
        <w:t>parliamentarians</w:t>
      </w:r>
      <w:r w:rsidR="008D022A" w:rsidRPr="00736DCB">
        <w:rPr>
          <w:lang w:val="en-GB"/>
        </w:rPr>
        <w:t xml:space="preserve"> supporting bills drafted by MPs (at that time MPs were submitting more bills than the government) and defending particular and corporate interests became more apparent. </w:t>
      </w:r>
      <w:r w:rsidR="00643945" w:rsidRPr="00736DCB">
        <w:rPr>
          <w:lang w:val="en-GB"/>
        </w:rPr>
        <w:t xml:space="preserve">It seems justified to </w:t>
      </w:r>
      <w:r w:rsidR="00692D42" w:rsidRPr="00736DCB">
        <w:rPr>
          <w:lang w:val="en-GB"/>
        </w:rPr>
        <w:t>believe</w:t>
      </w:r>
      <w:r w:rsidR="008D022A" w:rsidRPr="00736DCB">
        <w:rPr>
          <w:lang w:val="en-GB"/>
        </w:rPr>
        <w:t xml:space="preserve"> that </w:t>
      </w:r>
      <w:r w:rsidR="00643945" w:rsidRPr="00736DCB">
        <w:rPr>
          <w:lang w:val="en-GB"/>
        </w:rPr>
        <w:t xml:space="preserve">a large number of bills </w:t>
      </w:r>
      <w:r w:rsidR="008D022A" w:rsidRPr="00736DCB">
        <w:rPr>
          <w:lang w:val="en-GB"/>
        </w:rPr>
        <w:t xml:space="preserve">in the 1990s </w:t>
      </w:r>
      <w:r w:rsidR="00692D42" w:rsidRPr="00736DCB">
        <w:rPr>
          <w:lang w:val="en-GB"/>
        </w:rPr>
        <w:t>were</w:t>
      </w:r>
      <w:r w:rsidR="00643945" w:rsidRPr="00736DCB">
        <w:rPr>
          <w:lang w:val="en-GB"/>
        </w:rPr>
        <w:t xml:space="preserve"> </w:t>
      </w:r>
      <w:r w:rsidR="008D022A" w:rsidRPr="00736DCB">
        <w:rPr>
          <w:lang w:val="en-GB"/>
        </w:rPr>
        <w:t xml:space="preserve">passed with </w:t>
      </w:r>
      <w:r w:rsidR="00643945" w:rsidRPr="00736DCB">
        <w:rPr>
          <w:lang w:val="en-GB"/>
        </w:rPr>
        <w:t xml:space="preserve">the </w:t>
      </w:r>
      <w:r w:rsidR="008D022A" w:rsidRPr="00736DCB">
        <w:rPr>
          <w:lang w:val="en-GB"/>
        </w:rPr>
        <w:t xml:space="preserve">active participation of </w:t>
      </w:r>
      <w:r w:rsidR="00692D42" w:rsidRPr="00736DCB">
        <w:rPr>
          <w:lang w:val="en-GB"/>
        </w:rPr>
        <w:t xml:space="preserve">covert </w:t>
      </w:r>
      <w:r w:rsidR="008D022A" w:rsidRPr="00736DCB">
        <w:rPr>
          <w:lang w:val="en-GB"/>
        </w:rPr>
        <w:t xml:space="preserve">lobbyists. </w:t>
      </w:r>
    </w:p>
    <w:p w14:paraId="4097A1D7" w14:textId="68FCDD73" w:rsidR="008D022A" w:rsidRPr="00736DCB" w:rsidRDefault="008D022A" w:rsidP="00CB5DD2">
      <w:pPr>
        <w:ind w:firstLine="708"/>
        <w:jc w:val="both"/>
        <w:rPr>
          <w:lang w:val="en-GB"/>
        </w:rPr>
      </w:pPr>
      <w:r w:rsidRPr="00736DCB">
        <w:rPr>
          <w:lang w:val="en-GB"/>
        </w:rPr>
        <w:t xml:space="preserve">First research on regulating lobbying was prepared not by the </w:t>
      </w:r>
      <w:r w:rsidRPr="002A13B5">
        <w:rPr>
          <w:lang w:val="en-GB"/>
        </w:rPr>
        <w:t>academia</w:t>
      </w:r>
      <w:r w:rsidRPr="00736DCB">
        <w:rPr>
          <w:lang w:val="en-GB"/>
        </w:rPr>
        <w:t xml:space="preserve">, but by public offices: Senate </w:t>
      </w:r>
      <w:r w:rsidR="00CB5DD2">
        <w:rPr>
          <w:lang w:val="en-GB"/>
        </w:rPr>
        <w:t>Research and Analyses Office</w:t>
      </w:r>
      <w:r w:rsidRPr="00736DCB">
        <w:rPr>
          <w:lang w:val="en-GB"/>
        </w:rPr>
        <w:t xml:space="preserve"> and Sejm </w:t>
      </w:r>
      <w:r w:rsidR="00CB5DD2">
        <w:rPr>
          <w:lang w:val="en-GB"/>
        </w:rPr>
        <w:t>Bureau of Research</w:t>
      </w:r>
      <w:r w:rsidRPr="00736DCB">
        <w:rPr>
          <w:lang w:val="en-GB"/>
        </w:rPr>
        <w:t xml:space="preserve">, which also commissioned </w:t>
      </w:r>
      <w:r w:rsidR="00643945" w:rsidRPr="00736DCB">
        <w:rPr>
          <w:lang w:val="en-GB"/>
        </w:rPr>
        <w:t xml:space="preserve">the </w:t>
      </w:r>
      <w:r w:rsidRPr="00736DCB">
        <w:rPr>
          <w:lang w:val="en-GB"/>
        </w:rPr>
        <w:t xml:space="preserve">translation of American </w:t>
      </w:r>
      <w:r w:rsidR="0039014E">
        <w:rPr>
          <w:lang w:val="en-GB"/>
        </w:rPr>
        <w:t xml:space="preserve">and Canadian </w:t>
      </w:r>
      <w:r w:rsidRPr="00736DCB">
        <w:rPr>
          <w:lang w:val="en-GB"/>
        </w:rPr>
        <w:t xml:space="preserve">legislation in this area. </w:t>
      </w:r>
      <w:r w:rsidR="00643945" w:rsidRPr="00736DCB">
        <w:rPr>
          <w:lang w:val="en-GB"/>
        </w:rPr>
        <w:t xml:space="preserve">In the 1990s, </w:t>
      </w:r>
      <w:r w:rsidR="00692D42" w:rsidRPr="00736DCB">
        <w:rPr>
          <w:lang w:val="en-GB"/>
        </w:rPr>
        <w:t xml:space="preserve">a number of </w:t>
      </w:r>
      <w:r w:rsidR="00643945" w:rsidRPr="00736DCB">
        <w:rPr>
          <w:lang w:val="en-GB"/>
        </w:rPr>
        <w:t xml:space="preserve">steps </w:t>
      </w:r>
      <w:r w:rsidR="00692D42" w:rsidRPr="00736DCB">
        <w:rPr>
          <w:lang w:val="en-GB"/>
        </w:rPr>
        <w:t xml:space="preserve">were </w:t>
      </w:r>
      <w:r w:rsidRPr="00736DCB">
        <w:rPr>
          <w:lang w:val="en-GB"/>
        </w:rPr>
        <w:t xml:space="preserve">taken in </w:t>
      </w:r>
      <w:r w:rsidR="00692D42" w:rsidRPr="00736DCB">
        <w:rPr>
          <w:lang w:val="en-GB"/>
        </w:rPr>
        <w:t xml:space="preserve">the </w:t>
      </w:r>
      <w:r w:rsidRPr="00736DCB">
        <w:rPr>
          <w:lang w:val="en-GB"/>
        </w:rPr>
        <w:t xml:space="preserve">parliament in order to increase transparency of law-making </w:t>
      </w:r>
      <w:r w:rsidR="00692D42" w:rsidRPr="00736DCB">
        <w:rPr>
          <w:lang w:val="en-GB"/>
        </w:rPr>
        <w:t>by amending</w:t>
      </w:r>
      <w:r w:rsidRPr="00736DCB">
        <w:rPr>
          <w:lang w:val="en-GB"/>
        </w:rPr>
        <w:t xml:space="preserve"> the </w:t>
      </w:r>
      <w:r w:rsidR="00C54C63" w:rsidRPr="00C337B1">
        <w:rPr>
          <w:lang w:val="en-GB"/>
        </w:rPr>
        <w:t>Act on Exercising the Mandate of a Deputy and Senator</w:t>
      </w:r>
      <w:r w:rsidRPr="00736DCB">
        <w:rPr>
          <w:lang w:val="en-GB"/>
        </w:rPr>
        <w:t>, introducing declarations</w:t>
      </w:r>
      <w:r w:rsidR="00CB42DF" w:rsidRPr="00736DCB">
        <w:rPr>
          <w:lang w:val="en-GB"/>
        </w:rPr>
        <w:t xml:space="preserve"> of</w:t>
      </w:r>
      <w:r w:rsidR="00AF2D9C" w:rsidRPr="00736DCB">
        <w:rPr>
          <w:lang w:val="en-GB"/>
        </w:rPr>
        <w:t xml:space="preserve"> financial </w:t>
      </w:r>
      <w:r w:rsidR="00CB42DF" w:rsidRPr="00736DCB">
        <w:rPr>
          <w:lang w:val="en-GB"/>
        </w:rPr>
        <w:t>interest</w:t>
      </w:r>
      <w:r w:rsidR="00AF2D9C" w:rsidRPr="00736DCB">
        <w:rPr>
          <w:lang w:val="en-GB"/>
        </w:rPr>
        <w:t>s</w:t>
      </w:r>
      <w:r w:rsidRPr="00736DCB">
        <w:rPr>
          <w:lang w:val="en-GB"/>
        </w:rPr>
        <w:t xml:space="preserve"> and drafting principles of parliamentary ethics. </w:t>
      </w:r>
      <w:r w:rsidR="00692D42" w:rsidRPr="00736DCB">
        <w:rPr>
          <w:lang w:val="en-GB"/>
        </w:rPr>
        <w:t>During its</w:t>
      </w:r>
      <w:r w:rsidRPr="00736DCB">
        <w:rPr>
          <w:lang w:val="en-GB"/>
        </w:rPr>
        <w:t xml:space="preserve"> 6</w:t>
      </w:r>
      <w:r w:rsidRPr="00736DCB">
        <w:rPr>
          <w:vertAlign w:val="superscript"/>
          <w:lang w:val="en-GB"/>
        </w:rPr>
        <w:t>th</w:t>
      </w:r>
      <w:r w:rsidRPr="00736DCB">
        <w:rPr>
          <w:lang w:val="en-GB"/>
        </w:rPr>
        <w:t xml:space="preserve"> term of office </w:t>
      </w:r>
      <w:r w:rsidR="00692D42" w:rsidRPr="00736DCB">
        <w:rPr>
          <w:lang w:val="en-GB"/>
        </w:rPr>
        <w:t xml:space="preserve">Sejm </w:t>
      </w:r>
      <w:r w:rsidR="00643945" w:rsidRPr="00736DCB">
        <w:rPr>
          <w:lang w:val="en-GB"/>
        </w:rPr>
        <w:t xml:space="preserve">began </w:t>
      </w:r>
      <w:r w:rsidRPr="00736DCB">
        <w:rPr>
          <w:lang w:val="en-GB"/>
        </w:rPr>
        <w:t>to investigate lobbying-related problems. On 27 October 2003</w:t>
      </w:r>
      <w:r w:rsidR="00643945" w:rsidRPr="00736DCB">
        <w:rPr>
          <w:lang w:val="en-GB"/>
        </w:rPr>
        <w:t>,</w:t>
      </w:r>
      <w:r w:rsidRPr="00736DCB">
        <w:rPr>
          <w:lang w:val="en-GB"/>
        </w:rPr>
        <w:t xml:space="preserve"> the government submitted a bill on that matter to the Sejm (</w:t>
      </w:r>
      <w:r w:rsidR="007321D3">
        <w:rPr>
          <w:lang w:val="en-GB"/>
        </w:rPr>
        <w:t xml:space="preserve">print </w:t>
      </w:r>
      <w:r w:rsidRPr="00736DCB">
        <w:rPr>
          <w:lang w:val="en-GB"/>
        </w:rPr>
        <w:t>no</w:t>
      </w:r>
      <w:r w:rsidR="00643945" w:rsidRPr="00736DCB">
        <w:rPr>
          <w:lang w:val="en-GB"/>
        </w:rPr>
        <w:t>.</w:t>
      </w:r>
      <w:r w:rsidRPr="00736DCB">
        <w:rPr>
          <w:lang w:val="en-GB"/>
        </w:rPr>
        <w:t xml:space="preserve"> 2188). Three regulat</w:t>
      </w:r>
      <w:r w:rsidR="00692D42" w:rsidRPr="00736DCB">
        <w:rPr>
          <w:lang w:val="en-GB"/>
        </w:rPr>
        <w:t>ory</w:t>
      </w:r>
      <w:r w:rsidRPr="00736DCB">
        <w:rPr>
          <w:lang w:val="en-GB"/>
        </w:rPr>
        <w:t xml:space="preserve"> proposals dominated the political and academic discussion on lobbying</w:t>
      </w:r>
      <w:r w:rsidR="00692D42" w:rsidRPr="00736DCB">
        <w:rPr>
          <w:lang w:val="en-GB"/>
        </w:rPr>
        <w:t xml:space="preserve"> in Poland</w:t>
      </w:r>
      <w:r w:rsidRPr="00736DCB">
        <w:rPr>
          <w:lang w:val="en-GB"/>
        </w:rPr>
        <w:t xml:space="preserve">. The first proposal related to regulating </w:t>
      </w:r>
      <w:r w:rsidR="00643945" w:rsidRPr="00736DCB">
        <w:rPr>
          <w:lang w:val="en-GB"/>
        </w:rPr>
        <w:t xml:space="preserve">the </w:t>
      </w:r>
      <w:r w:rsidRPr="00736DCB">
        <w:rPr>
          <w:lang w:val="en-GB"/>
        </w:rPr>
        <w:t xml:space="preserve">conduct of high-ranking state officials. The second proposal put forward dedicated legislation on lobbying, while the third called upon self-regulation </w:t>
      </w:r>
      <w:r w:rsidR="00CB42DF" w:rsidRPr="00736DCB">
        <w:rPr>
          <w:lang w:val="en-GB"/>
        </w:rPr>
        <w:t>by the profession</w:t>
      </w:r>
      <w:r w:rsidRPr="00736DCB">
        <w:rPr>
          <w:lang w:val="en-GB"/>
        </w:rPr>
        <w:t xml:space="preserve">. The idea of </w:t>
      </w:r>
      <w:r w:rsidR="000B3D1F" w:rsidRPr="00736DCB">
        <w:rPr>
          <w:lang w:val="en-GB"/>
        </w:rPr>
        <w:t xml:space="preserve">providing a </w:t>
      </w:r>
      <w:r w:rsidRPr="00736DCB">
        <w:rPr>
          <w:lang w:val="en-GB"/>
        </w:rPr>
        <w:t xml:space="preserve">legal framework </w:t>
      </w:r>
      <w:r w:rsidR="00CB42DF" w:rsidRPr="00736DCB">
        <w:rPr>
          <w:lang w:val="en-GB"/>
        </w:rPr>
        <w:t xml:space="preserve">for </w:t>
      </w:r>
      <w:r w:rsidRPr="00736DCB">
        <w:rPr>
          <w:lang w:val="en-GB"/>
        </w:rPr>
        <w:t xml:space="preserve">the lobbying activity prevailed. After almost two years of debates in the parliamentary committee, on 7 July 2005 the Polish Sejm passed </w:t>
      </w:r>
      <w:r w:rsidR="00CB42DF" w:rsidRPr="00736DCB">
        <w:rPr>
          <w:lang w:val="en-GB"/>
        </w:rPr>
        <w:t xml:space="preserve">the </w:t>
      </w:r>
      <w:r w:rsidR="00CB42DF" w:rsidRPr="007321D3">
        <w:rPr>
          <w:lang w:val="en-GB"/>
        </w:rPr>
        <w:t>Act</w:t>
      </w:r>
      <w:r w:rsidRPr="007321D3">
        <w:rPr>
          <w:lang w:val="en-GB"/>
        </w:rPr>
        <w:t xml:space="preserve"> on </w:t>
      </w:r>
      <w:r w:rsidR="00CD14ED" w:rsidRPr="007321D3">
        <w:rPr>
          <w:lang w:val="en-GB"/>
        </w:rPr>
        <w:t xml:space="preserve">legislative </w:t>
      </w:r>
      <w:r w:rsidR="00CD14ED">
        <w:rPr>
          <w:lang w:val="en-GB"/>
        </w:rPr>
        <w:t xml:space="preserve">and regulatory </w:t>
      </w:r>
      <w:r w:rsidR="00C337B1" w:rsidRPr="007321D3">
        <w:rPr>
          <w:lang w:val="en-GB"/>
        </w:rPr>
        <w:t>l</w:t>
      </w:r>
      <w:r w:rsidR="00CB42DF" w:rsidRPr="007321D3">
        <w:rPr>
          <w:lang w:val="en-GB"/>
        </w:rPr>
        <w:t xml:space="preserve">obbying </w:t>
      </w:r>
      <w:r w:rsidRPr="00736DCB">
        <w:rPr>
          <w:lang w:val="en-GB"/>
        </w:rPr>
        <w:t xml:space="preserve">(399 MPs in favour, 4 </w:t>
      </w:r>
      <w:r w:rsidR="000B3D1F" w:rsidRPr="00736DCB">
        <w:rPr>
          <w:lang w:val="en-GB"/>
        </w:rPr>
        <w:t>abstentions</w:t>
      </w:r>
      <w:r w:rsidR="007C3905">
        <w:rPr>
          <w:lang w:val="en-GB"/>
        </w:rPr>
        <w:t xml:space="preserve">; there are 460 deputies in the Sejm </w:t>
      </w:r>
      <w:r w:rsidRPr="00736DCB">
        <w:rPr>
          <w:lang w:val="en-GB"/>
        </w:rPr>
        <w:t xml:space="preserve">). After 6 months’ </w:t>
      </w:r>
      <w:r w:rsidRPr="00736DCB">
        <w:rPr>
          <w:i/>
          <w:iCs/>
          <w:lang w:val="en-GB"/>
        </w:rPr>
        <w:t>vacatio legis</w:t>
      </w:r>
      <w:r w:rsidRPr="00736DCB">
        <w:rPr>
          <w:lang w:val="en-GB"/>
        </w:rPr>
        <w:t xml:space="preserve"> the </w:t>
      </w:r>
      <w:r w:rsidR="009060B3" w:rsidRPr="00736DCB">
        <w:rPr>
          <w:lang w:val="en-GB"/>
        </w:rPr>
        <w:t>A</w:t>
      </w:r>
      <w:r w:rsidRPr="00736DCB">
        <w:rPr>
          <w:lang w:val="en-GB"/>
        </w:rPr>
        <w:t xml:space="preserve">ct took legal effect in March 2006. As its name indicates, it </w:t>
      </w:r>
      <w:r w:rsidR="00CB42DF" w:rsidRPr="00736DCB">
        <w:rPr>
          <w:lang w:val="en-GB"/>
        </w:rPr>
        <w:t xml:space="preserve">only </w:t>
      </w:r>
      <w:r w:rsidRPr="00736DCB">
        <w:rPr>
          <w:lang w:val="en-GB"/>
        </w:rPr>
        <w:t xml:space="preserve">regulates lobbying activity in the law-making process and </w:t>
      </w:r>
      <w:r w:rsidR="00CB42DF" w:rsidRPr="00736DCB">
        <w:rPr>
          <w:lang w:val="en-GB"/>
        </w:rPr>
        <w:t xml:space="preserve">only </w:t>
      </w:r>
      <w:r w:rsidRPr="00736DCB">
        <w:rPr>
          <w:lang w:val="en-GB"/>
        </w:rPr>
        <w:t xml:space="preserve">relates to </w:t>
      </w:r>
      <w:r w:rsidR="00CB42DF" w:rsidRPr="00736DCB">
        <w:rPr>
          <w:lang w:val="en-GB"/>
        </w:rPr>
        <w:t>general provisions of</w:t>
      </w:r>
      <w:r w:rsidRPr="00736DCB">
        <w:rPr>
          <w:lang w:val="en-GB"/>
        </w:rPr>
        <w:t xml:space="preserve"> law. This </w:t>
      </w:r>
      <w:r w:rsidR="009060B3" w:rsidRPr="00736DCB">
        <w:rPr>
          <w:lang w:val="en-GB"/>
        </w:rPr>
        <w:t>A</w:t>
      </w:r>
      <w:r w:rsidRPr="00736DCB">
        <w:rPr>
          <w:lang w:val="en-GB"/>
        </w:rPr>
        <w:t>ct does not regulate local law, which is passed by local authorities.</w:t>
      </w:r>
    </w:p>
    <w:p w14:paraId="14288069" w14:textId="0CB8D4EC" w:rsidR="008D022A" w:rsidRPr="00736DCB" w:rsidRDefault="008D022A" w:rsidP="00CB5DD2">
      <w:pPr>
        <w:pStyle w:val="Heading1"/>
        <w:numPr>
          <w:ilvl w:val="0"/>
          <w:numId w:val="15"/>
        </w:numPr>
        <w:rPr>
          <w:rFonts w:ascii="Times New Roman" w:hAnsi="Times New Roman" w:cs="Times New Roman"/>
          <w:sz w:val="24"/>
          <w:szCs w:val="24"/>
          <w:lang w:val="en-GB"/>
        </w:rPr>
      </w:pPr>
      <w:r w:rsidRPr="00736DCB">
        <w:rPr>
          <w:rFonts w:ascii="Times New Roman" w:hAnsi="Times New Roman" w:cs="Times New Roman"/>
          <w:sz w:val="24"/>
          <w:szCs w:val="24"/>
          <w:lang w:val="en-GB"/>
        </w:rPr>
        <w:t xml:space="preserve">Act on </w:t>
      </w:r>
      <w:r w:rsidR="00C337B1">
        <w:rPr>
          <w:rFonts w:ascii="Times New Roman" w:hAnsi="Times New Roman" w:cs="Times New Roman"/>
          <w:sz w:val="24"/>
          <w:szCs w:val="24"/>
          <w:lang w:val="en-GB"/>
        </w:rPr>
        <w:t xml:space="preserve">legislative </w:t>
      </w:r>
      <w:r w:rsidR="00CD14ED">
        <w:rPr>
          <w:rFonts w:ascii="Times New Roman" w:hAnsi="Times New Roman" w:cs="Times New Roman"/>
          <w:sz w:val="24"/>
          <w:szCs w:val="24"/>
          <w:lang w:val="en-GB"/>
        </w:rPr>
        <w:t>and regulatory l</w:t>
      </w:r>
      <w:r w:rsidR="00CD14ED" w:rsidRPr="00736DCB">
        <w:rPr>
          <w:rFonts w:ascii="Times New Roman" w:hAnsi="Times New Roman" w:cs="Times New Roman"/>
          <w:sz w:val="24"/>
          <w:szCs w:val="24"/>
          <w:lang w:val="en-GB"/>
        </w:rPr>
        <w:t xml:space="preserve">obbying </w:t>
      </w:r>
    </w:p>
    <w:p w14:paraId="70D304AC" w14:textId="3020C430" w:rsidR="008D022A" w:rsidRPr="00736DCB" w:rsidRDefault="008D022A" w:rsidP="00CB5DD2">
      <w:pPr>
        <w:jc w:val="both"/>
        <w:rPr>
          <w:szCs w:val="24"/>
          <w:lang w:val="en-GB"/>
        </w:rPr>
      </w:pPr>
      <w:r w:rsidRPr="00736DCB">
        <w:rPr>
          <w:szCs w:val="24"/>
          <w:lang w:val="en-GB"/>
        </w:rPr>
        <w:tab/>
        <w:t>Th</w:t>
      </w:r>
      <w:r w:rsidR="00CB42DF" w:rsidRPr="00736DCB">
        <w:rPr>
          <w:szCs w:val="24"/>
          <w:lang w:val="en-GB"/>
        </w:rPr>
        <w:t>e</w:t>
      </w:r>
      <w:r w:rsidRPr="00736DCB">
        <w:rPr>
          <w:szCs w:val="24"/>
          <w:lang w:val="en-GB"/>
        </w:rPr>
        <w:t xml:space="preserve"> </w:t>
      </w:r>
      <w:r w:rsidR="001C20CD" w:rsidRPr="00736DCB">
        <w:rPr>
          <w:szCs w:val="24"/>
          <w:lang w:val="en-GB"/>
        </w:rPr>
        <w:t>A</w:t>
      </w:r>
      <w:r w:rsidRPr="00736DCB">
        <w:rPr>
          <w:szCs w:val="24"/>
          <w:lang w:val="en-GB"/>
        </w:rPr>
        <w:t xml:space="preserve">ct regulates the principles of open lobbying activity in the law-making process, principles of exercising professional lobbying activity, </w:t>
      </w:r>
      <w:r w:rsidR="00621040" w:rsidRPr="00736DCB">
        <w:rPr>
          <w:szCs w:val="24"/>
          <w:lang w:val="en-GB"/>
        </w:rPr>
        <w:t xml:space="preserve">mechanisms of </w:t>
      </w:r>
      <w:r w:rsidR="00AF2D9C" w:rsidRPr="00736DCB">
        <w:rPr>
          <w:szCs w:val="24"/>
          <w:lang w:val="en-GB"/>
        </w:rPr>
        <w:t>supervision</w:t>
      </w:r>
      <w:r w:rsidR="00621040" w:rsidRPr="00736DCB">
        <w:rPr>
          <w:szCs w:val="24"/>
          <w:lang w:val="en-GB"/>
        </w:rPr>
        <w:t xml:space="preserve"> over lobbying</w:t>
      </w:r>
      <w:r w:rsidRPr="00736DCB">
        <w:rPr>
          <w:szCs w:val="24"/>
          <w:lang w:val="en-GB"/>
        </w:rPr>
        <w:t xml:space="preserve">, rules </w:t>
      </w:r>
      <w:r w:rsidR="00CB42DF" w:rsidRPr="00736DCB">
        <w:rPr>
          <w:szCs w:val="24"/>
          <w:lang w:val="en-GB"/>
        </w:rPr>
        <w:t xml:space="preserve">for </w:t>
      </w:r>
      <w:r w:rsidRPr="00736DCB">
        <w:rPr>
          <w:szCs w:val="24"/>
          <w:lang w:val="en-GB"/>
        </w:rPr>
        <w:t xml:space="preserve">keeping a register of </w:t>
      </w:r>
      <w:r w:rsidR="00CB42DF" w:rsidRPr="00736DCB">
        <w:rPr>
          <w:szCs w:val="24"/>
          <w:lang w:val="en-GB"/>
        </w:rPr>
        <w:t>professional lobbyists</w:t>
      </w:r>
      <w:r w:rsidRPr="00736DCB">
        <w:rPr>
          <w:szCs w:val="24"/>
          <w:lang w:val="en-GB"/>
        </w:rPr>
        <w:t xml:space="preserve"> and sanctions for breaching the </w:t>
      </w:r>
      <w:r w:rsidR="009060B3" w:rsidRPr="00736DCB">
        <w:rPr>
          <w:szCs w:val="24"/>
          <w:lang w:val="en-GB"/>
        </w:rPr>
        <w:t>A</w:t>
      </w:r>
      <w:r w:rsidR="000B3D1F" w:rsidRPr="00736DCB">
        <w:rPr>
          <w:szCs w:val="24"/>
          <w:lang w:val="en-GB"/>
        </w:rPr>
        <w:t>ct’s provisions</w:t>
      </w:r>
      <w:r w:rsidRPr="00736DCB">
        <w:rPr>
          <w:szCs w:val="24"/>
          <w:lang w:val="en-GB"/>
        </w:rPr>
        <w:t>.</w:t>
      </w:r>
    </w:p>
    <w:p w14:paraId="6A673417" w14:textId="60532FFD" w:rsidR="008D022A" w:rsidRPr="00736DCB" w:rsidRDefault="008D022A" w:rsidP="00CB5DD2">
      <w:pPr>
        <w:pStyle w:val="Heading1"/>
        <w:numPr>
          <w:ilvl w:val="1"/>
          <w:numId w:val="15"/>
        </w:numPr>
        <w:rPr>
          <w:rFonts w:ascii="Times New Roman" w:hAnsi="Times New Roman" w:cs="Times New Roman"/>
          <w:sz w:val="24"/>
          <w:szCs w:val="24"/>
          <w:lang w:val="en-GB"/>
        </w:rPr>
      </w:pPr>
      <w:r w:rsidRPr="00736DCB">
        <w:rPr>
          <w:rFonts w:ascii="Times New Roman" w:hAnsi="Times New Roman" w:cs="Times New Roman"/>
          <w:sz w:val="24"/>
          <w:szCs w:val="24"/>
          <w:lang w:val="en-GB"/>
        </w:rPr>
        <w:lastRenderedPageBreak/>
        <w:t xml:space="preserve">  Lobbying activity</w:t>
      </w:r>
    </w:p>
    <w:p w14:paraId="14464F11" w14:textId="0DFCE5DD" w:rsidR="008D022A" w:rsidRPr="00736DCB" w:rsidRDefault="008D022A" w:rsidP="00CB5DD2">
      <w:pPr>
        <w:ind w:firstLine="708"/>
        <w:jc w:val="both"/>
        <w:rPr>
          <w:szCs w:val="24"/>
          <w:lang w:val="en-GB"/>
        </w:rPr>
      </w:pPr>
      <w:r w:rsidRPr="00736DCB">
        <w:rPr>
          <w:szCs w:val="24"/>
          <w:lang w:val="en-GB"/>
        </w:rPr>
        <w:t xml:space="preserve">The </w:t>
      </w:r>
      <w:r w:rsidR="009060B3" w:rsidRPr="00736DCB">
        <w:rPr>
          <w:szCs w:val="24"/>
          <w:lang w:val="en-GB"/>
        </w:rPr>
        <w:t>A</w:t>
      </w:r>
      <w:r w:rsidRPr="00736DCB">
        <w:rPr>
          <w:szCs w:val="24"/>
          <w:lang w:val="en-GB"/>
        </w:rPr>
        <w:t xml:space="preserve">ct defines </w:t>
      </w:r>
      <w:r w:rsidRPr="007321D3">
        <w:rPr>
          <w:szCs w:val="24"/>
          <w:lang w:val="en-GB"/>
        </w:rPr>
        <w:t xml:space="preserve">the following </w:t>
      </w:r>
      <w:r w:rsidR="007321D3" w:rsidRPr="007321D3">
        <w:rPr>
          <w:szCs w:val="24"/>
          <w:lang w:val="en-GB"/>
        </w:rPr>
        <w:t>no</w:t>
      </w:r>
      <w:r w:rsidR="009060B3" w:rsidRPr="007321D3">
        <w:rPr>
          <w:szCs w:val="24"/>
          <w:lang w:val="en-GB"/>
        </w:rPr>
        <w:t>t</w:t>
      </w:r>
      <w:r w:rsidR="007321D3" w:rsidRPr="007321D3">
        <w:rPr>
          <w:szCs w:val="24"/>
          <w:lang w:val="en-GB"/>
        </w:rPr>
        <w:t>ion</w:t>
      </w:r>
      <w:r w:rsidR="009060B3" w:rsidRPr="007321D3">
        <w:rPr>
          <w:szCs w:val="24"/>
          <w:lang w:val="en-GB"/>
        </w:rPr>
        <w:t>s</w:t>
      </w:r>
      <w:r w:rsidRPr="00736DCB">
        <w:rPr>
          <w:szCs w:val="24"/>
          <w:lang w:val="en-GB"/>
        </w:rPr>
        <w:t>: lobbying activity and professional lobbying activity. Lobbying activity is any type of legal activity aimed at influencing public authorities in the law-making process. Professional lobbying activity is lobbying activity carried out in order to make profit, for the benefit of third parties</w:t>
      </w:r>
      <w:r w:rsidR="009060B3" w:rsidRPr="00736DCB">
        <w:rPr>
          <w:szCs w:val="24"/>
          <w:lang w:val="en-GB"/>
        </w:rPr>
        <w:t>, with the aim to make</w:t>
      </w:r>
      <w:r w:rsidRPr="00736DCB">
        <w:rPr>
          <w:szCs w:val="24"/>
          <w:lang w:val="en-GB"/>
        </w:rPr>
        <w:t xml:space="preserve"> the public authority recognize the interest of the parties in the law-making process. Professional lobbying activity may be carried out by an entrepreneur</w:t>
      </w:r>
      <w:r w:rsidR="009060B3" w:rsidRPr="00736DCB">
        <w:rPr>
          <w:szCs w:val="24"/>
          <w:lang w:val="en-GB"/>
        </w:rPr>
        <w:t>,</w:t>
      </w:r>
      <w:r w:rsidRPr="00736DCB">
        <w:rPr>
          <w:szCs w:val="24"/>
          <w:lang w:val="en-GB"/>
        </w:rPr>
        <w:t xml:space="preserve"> or by a natural person who is not an entrepreneur</w:t>
      </w:r>
      <w:r w:rsidR="009060B3" w:rsidRPr="00736DCB">
        <w:rPr>
          <w:szCs w:val="24"/>
          <w:lang w:val="en-GB"/>
        </w:rPr>
        <w:t>,</w:t>
      </w:r>
      <w:r w:rsidRPr="00736DCB">
        <w:rPr>
          <w:szCs w:val="24"/>
          <w:lang w:val="en-GB"/>
        </w:rPr>
        <w:t xml:space="preserve"> under a civil-law contract. </w:t>
      </w:r>
    </w:p>
    <w:p w14:paraId="68540A8D" w14:textId="29600C1F" w:rsidR="008D022A" w:rsidRPr="00736DCB" w:rsidRDefault="008D022A" w:rsidP="00CB5DD2">
      <w:pPr>
        <w:ind w:firstLine="708"/>
        <w:jc w:val="both"/>
        <w:rPr>
          <w:szCs w:val="24"/>
          <w:lang w:val="en-GB"/>
        </w:rPr>
      </w:pPr>
      <w:r w:rsidRPr="00736DCB">
        <w:rPr>
          <w:szCs w:val="24"/>
          <w:lang w:val="en-GB"/>
        </w:rPr>
        <w:t xml:space="preserve">Such </w:t>
      </w:r>
      <w:r w:rsidR="000B3D1F" w:rsidRPr="00736DCB">
        <w:rPr>
          <w:szCs w:val="24"/>
          <w:lang w:val="en-GB"/>
        </w:rPr>
        <w:t xml:space="preserve">a </w:t>
      </w:r>
      <w:r w:rsidRPr="00736DCB">
        <w:rPr>
          <w:szCs w:val="24"/>
          <w:lang w:val="en-GB"/>
        </w:rPr>
        <w:t xml:space="preserve">definition of lobbying activity excludes professional lobbying by, among others, legal persons that are not entrepreneurs (political parties, non-governmental organisations, employers’ organisations, trade unions) and natural persons who engage in lobbying activity without a civil-law contract or without remuneration. </w:t>
      </w:r>
    </w:p>
    <w:p w14:paraId="7B25B915" w14:textId="30F0B260" w:rsidR="008D022A" w:rsidRPr="00736DCB" w:rsidRDefault="008D022A" w:rsidP="00CB5DD2">
      <w:pPr>
        <w:ind w:firstLine="708"/>
        <w:jc w:val="both"/>
        <w:rPr>
          <w:szCs w:val="24"/>
          <w:lang w:val="en-GB"/>
        </w:rPr>
      </w:pPr>
      <w:r w:rsidRPr="00736DCB">
        <w:rPr>
          <w:szCs w:val="24"/>
          <w:lang w:val="en-GB"/>
        </w:rPr>
        <w:t xml:space="preserve">The </w:t>
      </w:r>
      <w:r w:rsidR="009060B3" w:rsidRPr="00736DCB">
        <w:rPr>
          <w:szCs w:val="24"/>
          <w:lang w:val="en-GB"/>
        </w:rPr>
        <w:t>A</w:t>
      </w:r>
      <w:r w:rsidRPr="00736DCB">
        <w:rPr>
          <w:szCs w:val="24"/>
          <w:lang w:val="en-GB"/>
        </w:rPr>
        <w:t xml:space="preserve">ct does not include a legal definition of a lobbyist. Lobbyist is any </w:t>
      </w:r>
      <w:r w:rsidR="00635D5A" w:rsidRPr="00736DCB">
        <w:rPr>
          <w:szCs w:val="24"/>
          <w:lang w:val="en-GB"/>
        </w:rPr>
        <w:t>operator</w:t>
      </w:r>
      <w:r w:rsidRPr="00736DCB">
        <w:rPr>
          <w:szCs w:val="24"/>
          <w:lang w:val="en-GB"/>
        </w:rPr>
        <w:t xml:space="preserve"> that is involved in lobbying activity and that influences</w:t>
      </w:r>
      <w:r w:rsidR="00635D5A" w:rsidRPr="00736DCB">
        <w:rPr>
          <w:szCs w:val="24"/>
          <w:lang w:val="en-GB"/>
        </w:rPr>
        <w:t>,</w:t>
      </w:r>
      <w:r w:rsidRPr="00736DCB">
        <w:rPr>
          <w:szCs w:val="24"/>
          <w:lang w:val="en-GB"/>
        </w:rPr>
        <w:t xml:space="preserve"> by legal </w:t>
      </w:r>
      <w:r w:rsidR="00635D5A" w:rsidRPr="00736DCB">
        <w:rPr>
          <w:szCs w:val="24"/>
          <w:lang w:val="en-GB"/>
        </w:rPr>
        <w:t>methods,</w:t>
      </w:r>
      <w:r w:rsidRPr="00736DCB">
        <w:rPr>
          <w:szCs w:val="24"/>
          <w:lang w:val="en-GB"/>
        </w:rPr>
        <w:t xml:space="preserve"> public authorities in the law-making process. </w:t>
      </w:r>
    </w:p>
    <w:p w14:paraId="713A501D" w14:textId="669E15E2" w:rsidR="008D022A" w:rsidRPr="00736DCB" w:rsidRDefault="008D022A" w:rsidP="00CB5DD2">
      <w:pPr>
        <w:ind w:firstLine="708"/>
        <w:jc w:val="both"/>
        <w:rPr>
          <w:szCs w:val="24"/>
          <w:lang w:val="en-GB"/>
        </w:rPr>
      </w:pPr>
      <w:r w:rsidRPr="00736DCB">
        <w:rPr>
          <w:szCs w:val="24"/>
          <w:lang w:val="en-GB"/>
        </w:rPr>
        <w:t xml:space="preserve">Professional lobbying activity may be carried out only once the </w:t>
      </w:r>
      <w:r w:rsidR="00635D5A" w:rsidRPr="00736DCB">
        <w:rPr>
          <w:szCs w:val="24"/>
          <w:lang w:val="en-GB"/>
        </w:rPr>
        <w:t xml:space="preserve">operator </w:t>
      </w:r>
      <w:r w:rsidRPr="00736DCB">
        <w:rPr>
          <w:szCs w:val="24"/>
          <w:lang w:val="en-GB"/>
        </w:rPr>
        <w:t xml:space="preserve">is entered into the register of </w:t>
      </w:r>
      <w:r w:rsidR="00635D5A" w:rsidRPr="00736DCB">
        <w:rPr>
          <w:szCs w:val="24"/>
          <w:lang w:val="en-GB"/>
        </w:rPr>
        <w:t>lobbyists</w:t>
      </w:r>
      <w:r w:rsidRPr="00736DCB">
        <w:rPr>
          <w:szCs w:val="24"/>
          <w:lang w:val="en-GB"/>
        </w:rPr>
        <w:t xml:space="preserve">. This is the main criterion to assess whether activities </w:t>
      </w:r>
      <w:r w:rsidR="00721F44" w:rsidRPr="00736DCB">
        <w:rPr>
          <w:szCs w:val="24"/>
          <w:lang w:val="en-GB"/>
        </w:rPr>
        <w:t>of</w:t>
      </w:r>
      <w:r w:rsidRPr="00736DCB">
        <w:rPr>
          <w:szCs w:val="24"/>
          <w:lang w:val="en-GB"/>
        </w:rPr>
        <w:t xml:space="preserve"> a lobbyist are legal</w:t>
      </w:r>
      <w:r w:rsidR="00721F44" w:rsidRPr="00736DCB">
        <w:rPr>
          <w:szCs w:val="24"/>
          <w:lang w:val="en-GB"/>
        </w:rPr>
        <w:t xml:space="preserve"> or not</w:t>
      </w:r>
      <w:r w:rsidRPr="00736DCB">
        <w:rPr>
          <w:szCs w:val="24"/>
          <w:lang w:val="en-GB"/>
        </w:rPr>
        <w:t xml:space="preserve">. A lobbyist is also obliged to provide </w:t>
      </w:r>
      <w:r w:rsidR="00DB2B2D" w:rsidRPr="00736DCB">
        <w:rPr>
          <w:szCs w:val="24"/>
          <w:lang w:val="en-GB"/>
        </w:rPr>
        <w:t>the</w:t>
      </w:r>
      <w:r w:rsidRPr="00736DCB">
        <w:rPr>
          <w:szCs w:val="24"/>
          <w:lang w:val="en-GB"/>
        </w:rPr>
        <w:t xml:space="preserve"> public authority before which he appears with a certificate confirming that he is entered in the register. Lobbyists involved in non-professional lobbying activity (e.g. occasional lobbying) do not have to meet the requirement of being entered in the register.</w:t>
      </w:r>
    </w:p>
    <w:p w14:paraId="6520618B" w14:textId="168F4969" w:rsidR="008D022A" w:rsidRPr="00736DCB" w:rsidRDefault="008D022A" w:rsidP="00CB5DD2">
      <w:pPr>
        <w:ind w:firstLine="708"/>
        <w:jc w:val="both"/>
        <w:rPr>
          <w:i/>
          <w:szCs w:val="24"/>
          <w:lang w:val="en-GB"/>
        </w:rPr>
      </w:pPr>
      <w:r w:rsidRPr="00736DCB">
        <w:rPr>
          <w:szCs w:val="24"/>
          <w:lang w:val="en-GB"/>
        </w:rPr>
        <w:t xml:space="preserve">Professional lobbyists may carry out their lobbying activity in any given place. It results from the interpretation of the lobbying activity definition that the premises of the parliament and public authority offices are among the places where lobbying activity is authorised. </w:t>
      </w:r>
    </w:p>
    <w:p w14:paraId="264AF8D3" w14:textId="15137556" w:rsidR="008D022A" w:rsidRPr="00736DCB" w:rsidRDefault="008D022A" w:rsidP="00CB5DD2">
      <w:pPr>
        <w:pStyle w:val="Heading1"/>
        <w:numPr>
          <w:ilvl w:val="1"/>
          <w:numId w:val="15"/>
        </w:numPr>
        <w:rPr>
          <w:rFonts w:ascii="Times New Roman" w:hAnsi="Times New Roman" w:cs="Times New Roman"/>
          <w:sz w:val="24"/>
          <w:szCs w:val="24"/>
          <w:lang w:val="en-GB"/>
        </w:rPr>
      </w:pPr>
      <w:r w:rsidRPr="00736DCB">
        <w:rPr>
          <w:rFonts w:ascii="Times New Roman" w:hAnsi="Times New Roman" w:cs="Times New Roman"/>
          <w:sz w:val="24"/>
          <w:szCs w:val="24"/>
          <w:lang w:val="en-GB"/>
        </w:rPr>
        <w:t xml:space="preserve">  Register of professional lobbying activity</w:t>
      </w:r>
    </w:p>
    <w:p w14:paraId="25387CA3" w14:textId="5F3BE5AD" w:rsidR="008D022A" w:rsidRPr="00736DCB" w:rsidRDefault="008D022A" w:rsidP="00CB5DD2">
      <w:pPr>
        <w:ind w:firstLine="708"/>
        <w:jc w:val="both"/>
        <w:rPr>
          <w:szCs w:val="24"/>
          <w:lang w:val="en-GB"/>
        </w:rPr>
      </w:pPr>
      <w:r w:rsidRPr="00736DCB">
        <w:rPr>
          <w:szCs w:val="24"/>
          <w:lang w:val="en-GB"/>
        </w:rPr>
        <w:t xml:space="preserve">The register is open and kept in the form of a database stored on digital data carriers and in the Public Information Bulletin published on </w:t>
      </w:r>
      <w:r w:rsidR="00DB2B2D" w:rsidRPr="00736DCB">
        <w:rPr>
          <w:szCs w:val="24"/>
          <w:lang w:val="en-GB"/>
        </w:rPr>
        <w:t xml:space="preserve">the </w:t>
      </w:r>
      <w:r w:rsidRPr="00736DCB">
        <w:rPr>
          <w:szCs w:val="24"/>
          <w:lang w:val="en-GB"/>
        </w:rPr>
        <w:t xml:space="preserve">authority’s website. </w:t>
      </w:r>
      <w:r w:rsidR="000B3D1F" w:rsidRPr="00736DCB">
        <w:rPr>
          <w:szCs w:val="24"/>
          <w:lang w:val="en-GB"/>
        </w:rPr>
        <w:t>The m</w:t>
      </w:r>
      <w:r w:rsidRPr="00736DCB">
        <w:rPr>
          <w:szCs w:val="24"/>
          <w:lang w:val="en-GB"/>
        </w:rPr>
        <w:t xml:space="preserve">inister responsible for public administration is in charge of keeping the register. </w:t>
      </w:r>
    </w:p>
    <w:p w14:paraId="031245B8" w14:textId="56304516" w:rsidR="008D022A" w:rsidRPr="00736DCB" w:rsidRDefault="008D022A" w:rsidP="00CB5DD2">
      <w:pPr>
        <w:ind w:firstLine="708"/>
        <w:jc w:val="both"/>
        <w:rPr>
          <w:szCs w:val="24"/>
          <w:lang w:val="en-GB"/>
        </w:rPr>
      </w:pPr>
      <w:r w:rsidRPr="00736DCB">
        <w:rPr>
          <w:szCs w:val="24"/>
          <w:lang w:val="en-GB"/>
        </w:rPr>
        <w:t xml:space="preserve"> Entries to the register are made on the basis of application</w:t>
      </w:r>
      <w:r w:rsidR="00DB2B2D" w:rsidRPr="00736DCB">
        <w:rPr>
          <w:szCs w:val="24"/>
          <w:lang w:val="en-GB"/>
        </w:rPr>
        <w:t>s</w:t>
      </w:r>
      <w:r w:rsidRPr="00736DCB">
        <w:rPr>
          <w:szCs w:val="24"/>
          <w:lang w:val="en-GB"/>
        </w:rPr>
        <w:t xml:space="preserve"> submitted on </w:t>
      </w:r>
      <w:r w:rsidR="00DB2B2D" w:rsidRPr="00736DCB">
        <w:rPr>
          <w:szCs w:val="24"/>
          <w:lang w:val="en-GB"/>
        </w:rPr>
        <w:t>dedicated</w:t>
      </w:r>
      <w:r w:rsidRPr="00736DCB">
        <w:rPr>
          <w:szCs w:val="24"/>
          <w:lang w:val="en-GB"/>
        </w:rPr>
        <w:t xml:space="preserve"> form</w:t>
      </w:r>
      <w:r w:rsidR="00DB2B2D" w:rsidRPr="00736DCB">
        <w:rPr>
          <w:szCs w:val="24"/>
          <w:lang w:val="en-GB"/>
        </w:rPr>
        <w:t>s</w:t>
      </w:r>
      <w:r w:rsidRPr="00736DCB">
        <w:rPr>
          <w:szCs w:val="24"/>
          <w:lang w:val="en-GB"/>
        </w:rPr>
        <w:t xml:space="preserve">. Professional lobbyists are obliged to report within 7 days </w:t>
      </w:r>
      <w:r w:rsidR="00DB2B2D" w:rsidRPr="00736DCB">
        <w:rPr>
          <w:szCs w:val="24"/>
          <w:lang w:val="en-GB"/>
        </w:rPr>
        <w:t>any</w:t>
      </w:r>
      <w:r w:rsidRPr="00736DCB">
        <w:rPr>
          <w:szCs w:val="24"/>
          <w:lang w:val="en-GB"/>
        </w:rPr>
        <w:t xml:space="preserve"> changes in </w:t>
      </w:r>
      <w:r w:rsidR="00DB2B2D" w:rsidRPr="00736DCB">
        <w:rPr>
          <w:szCs w:val="24"/>
          <w:lang w:val="en-GB"/>
        </w:rPr>
        <w:t xml:space="preserve">the </w:t>
      </w:r>
      <w:r w:rsidRPr="00736DCB">
        <w:rPr>
          <w:szCs w:val="24"/>
          <w:lang w:val="en-GB"/>
        </w:rPr>
        <w:t xml:space="preserve">data that </w:t>
      </w:r>
      <w:r w:rsidR="00DB2B2D" w:rsidRPr="00736DCB">
        <w:rPr>
          <w:szCs w:val="24"/>
          <w:lang w:val="en-GB"/>
        </w:rPr>
        <w:t xml:space="preserve">they </w:t>
      </w:r>
      <w:r w:rsidRPr="00736DCB">
        <w:rPr>
          <w:szCs w:val="24"/>
          <w:lang w:val="en-GB"/>
        </w:rPr>
        <w:t xml:space="preserve">present to the register.  An entry can be deleted from the register ex </w:t>
      </w:r>
      <w:r w:rsidR="000B3D1F" w:rsidRPr="00736DCB">
        <w:rPr>
          <w:szCs w:val="24"/>
          <w:lang w:val="en-GB"/>
        </w:rPr>
        <w:t>o</w:t>
      </w:r>
      <w:r w:rsidRPr="00736DCB">
        <w:rPr>
          <w:szCs w:val="24"/>
          <w:lang w:val="en-GB"/>
        </w:rPr>
        <w:t xml:space="preserve">fficio or upon </w:t>
      </w:r>
      <w:r w:rsidRPr="00736DCB">
        <w:rPr>
          <w:szCs w:val="24"/>
          <w:lang w:val="en-GB"/>
        </w:rPr>
        <w:lastRenderedPageBreak/>
        <w:t xml:space="preserve">request of the lobbyist himself. </w:t>
      </w:r>
      <w:r w:rsidR="00DB2B2D" w:rsidRPr="00736DCB">
        <w:rPr>
          <w:szCs w:val="24"/>
          <w:lang w:val="en-GB"/>
        </w:rPr>
        <w:t xml:space="preserve">Such </w:t>
      </w:r>
      <w:r w:rsidRPr="00736DCB">
        <w:rPr>
          <w:szCs w:val="24"/>
          <w:lang w:val="en-GB"/>
        </w:rPr>
        <w:t xml:space="preserve">information is also included in the database. An entry is deleted ex </w:t>
      </w:r>
      <w:r w:rsidR="000B3D1F" w:rsidRPr="00736DCB">
        <w:rPr>
          <w:szCs w:val="24"/>
          <w:lang w:val="en-GB"/>
        </w:rPr>
        <w:t>o</w:t>
      </w:r>
      <w:r w:rsidRPr="00736DCB">
        <w:rPr>
          <w:szCs w:val="24"/>
          <w:lang w:val="en-GB"/>
        </w:rPr>
        <w:t>fficio if a court,</w:t>
      </w:r>
      <w:r w:rsidR="000B3D1F" w:rsidRPr="00736DCB">
        <w:rPr>
          <w:szCs w:val="24"/>
          <w:lang w:val="en-GB"/>
        </w:rPr>
        <w:t xml:space="preserve"> </w:t>
      </w:r>
      <w:r w:rsidRPr="00736DCB">
        <w:rPr>
          <w:szCs w:val="24"/>
          <w:lang w:val="en-GB"/>
        </w:rPr>
        <w:t>on the basis of penal law</w:t>
      </w:r>
      <w:r w:rsidR="00DB2B2D" w:rsidRPr="00736DCB">
        <w:rPr>
          <w:szCs w:val="24"/>
          <w:lang w:val="en-GB"/>
        </w:rPr>
        <w:t xml:space="preserve"> provisions</w:t>
      </w:r>
      <w:r w:rsidRPr="00736DCB">
        <w:rPr>
          <w:szCs w:val="24"/>
          <w:lang w:val="en-GB"/>
        </w:rPr>
        <w:t>, imposes a ban on performing professional lobbying activity for having committed a</w:t>
      </w:r>
      <w:r w:rsidR="00DB2B2D" w:rsidRPr="00736DCB">
        <w:rPr>
          <w:szCs w:val="24"/>
          <w:lang w:val="en-GB"/>
        </w:rPr>
        <w:t>n</w:t>
      </w:r>
      <w:r w:rsidRPr="00736DCB">
        <w:rPr>
          <w:szCs w:val="24"/>
          <w:lang w:val="en-GB"/>
        </w:rPr>
        <w:t xml:space="preserve"> </w:t>
      </w:r>
      <w:r w:rsidR="00DB2B2D" w:rsidRPr="00736DCB">
        <w:rPr>
          <w:szCs w:val="24"/>
          <w:lang w:val="en-GB"/>
        </w:rPr>
        <w:t xml:space="preserve">offence </w:t>
      </w:r>
      <w:r w:rsidRPr="00736DCB">
        <w:rPr>
          <w:szCs w:val="24"/>
          <w:lang w:val="en-GB"/>
        </w:rPr>
        <w:t xml:space="preserve">related to such activity. </w:t>
      </w:r>
    </w:p>
    <w:p w14:paraId="6F0968C6" w14:textId="53DD3EE1" w:rsidR="008D022A" w:rsidRPr="00736DCB" w:rsidRDefault="008D022A" w:rsidP="00CB5DD2">
      <w:pPr>
        <w:ind w:firstLine="708"/>
        <w:jc w:val="both"/>
        <w:rPr>
          <w:szCs w:val="24"/>
          <w:lang w:val="en-GB"/>
        </w:rPr>
      </w:pPr>
      <w:r w:rsidRPr="00736DCB">
        <w:rPr>
          <w:szCs w:val="24"/>
          <w:lang w:val="en-GB"/>
        </w:rPr>
        <w:t xml:space="preserve">An </w:t>
      </w:r>
      <w:r w:rsidR="00DB2B2D" w:rsidRPr="00736DCB">
        <w:rPr>
          <w:szCs w:val="24"/>
          <w:lang w:val="en-GB"/>
        </w:rPr>
        <w:t xml:space="preserve">operator which </w:t>
      </w:r>
      <w:r w:rsidRPr="00736DCB">
        <w:rPr>
          <w:szCs w:val="24"/>
          <w:lang w:val="en-GB"/>
        </w:rPr>
        <w:t xml:space="preserve">performs activities in the scope of professional lobbying activity and </w:t>
      </w:r>
      <w:r w:rsidR="00DB2B2D" w:rsidRPr="00736DCB">
        <w:rPr>
          <w:szCs w:val="24"/>
          <w:lang w:val="en-GB"/>
        </w:rPr>
        <w:t xml:space="preserve">which </w:t>
      </w:r>
      <w:r w:rsidRPr="00736DCB">
        <w:rPr>
          <w:szCs w:val="24"/>
          <w:lang w:val="en-GB"/>
        </w:rPr>
        <w:t xml:space="preserve">is not entered in the register </w:t>
      </w:r>
      <w:r w:rsidR="00DB2B2D" w:rsidRPr="00736DCB">
        <w:rPr>
          <w:szCs w:val="24"/>
          <w:lang w:val="en-GB"/>
        </w:rPr>
        <w:t>is</w:t>
      </w:r>
      <w:r w:rsidRPr="00736DCB">
        <w:rPr>
          <w:szCs w:val="24"/>
          <w:lang w:val="en-GB"/>
        </w:rPr>
        <w:t xml:space="preserve"> subject to a fine ranging from PLN 3000 to PLN 50 000 (</w:t>
      </w:r>
      <w:r w:rsidR="000B3D1F" w:rsidRPr="00736DCB">
        <w:rPr>
          <w:szCs w:val="24"/>
          <w:lang w:val="en-GB"/>
        </w:rPr>
        <w:t xml:space="preserve">ca. </w:t>
      </w:r>
      <w:r w:rsidRPr="00736DCB">
        <w:rPr>
          <w:szCs w:val="24"/>
          <w:lang w:val="en-GB"/>
        </w:rPr>
        <w:t xml:space="preserve">EUR 750 to </w:t>
      </w:r>
      <w:r w:rsidR="000B3D1F" w:rsidRPr="00736DCB">
        <w:rPr>
          <w:szCs w:val="24"/>
          <w:lang w:val="en-GB"/>
        </w:rPr>
        <w:t xml:space="preserve">ca. </w:t>
      </w:r>
      <w:r w:rsidRPr="00736DCB">
        <w:rPr>
          <w:szCs w:val="24"/>
          <w:lang w:val="en-GB"/>
        </w:rPr>
        <w:t xml:space="preserve">EUR 12 500).  </w:t>
      </w:r>
    </w:p>
    <w:p w14:paraId="57057854" w14:textId="2B826D3D" w:rsidR="008D022A" w:rsidRPr="00736DCB" w:rsidRDefault="008D022A" w:rsidP="00CB5DD2">
      <w:pPr>
        <w:pStyle w:val="Heading1"/>
        <w:numPr>
          <w:ilvl w:val="1"/>
          <w:numId w:val="15"/>
        </w:numPr>
        <w:rPr>
          <w:rFonts w:ascii="Times New Roman" w:hAnsi="Times New Roman" w:cs="Times New Roman"/>
          <w:sz w:val="24"/>
          <w:szCs w:val="24"/>
          <w:lang w:val="en-GB"/>
        </w:rPr>
      </w:pPr>
      <w:r w:rsidRPr="00736DCB">
        <w:rPr>
          <w:rFonts w:ascii="Times New Roman" w:hAnsi="Times New Roman" w:cs="Times New Roman"/>
          <w:sz w:val="24"/>
          <w:szCs w:val="24"/>
          <w:lang w:val="en-GB"/>
        </w:rPr>
        <w:t xml:space="preserve">  Principles of </w:t>
      </w:r>
      <w:r w:rsidR="00DB2B2D" w:rsidRPr="00736DCB">
        <w:rPr>
          <w:rFonts w:ascii="Times New Roman" w:hAnsi="Times New Roman" w:cs="Times New Roman"/>
          <w:sz w:val="24"/>
          <w:szCs w:val="24"/>
          <w:lang w:val="en-GB"/>
        </w:rPr>
        <w:t>open</w:t>
      </w:r>
      <w:r w:rsidRPr="00736DCB">
        <w:rPr>
          <w:rFonts w:ascii="Times New Roman" w:hAnsi="Times New Roman" w:cs="Times New Roman"/>
          <w:sz w:val="24"/>
          <w:szCs w:val="24"/>
          <w:lang w:val="en-GB"/>
        </w:rPr>
        <w:t xml:space="preserve"> lobbying activity in the law-making process</w:t>
      </w:r>
    </w:p>
    <w:p w14:paraId="07E61DCA" w14:textId="5D13F899" w:rsidR="008D022A" w:rsidRPr="00736DCB" w:rsidRDefault="008D022A" w:rsidP="00CB5DD2">
      <w:pPr>
        <w:ind w:firstLine="708"/>
        <w:jc w:val="both"/>
        <w:rPr>
          <w:szCs w:val="24"/>
          <w:lang w:val="en-GB"/>
        </w:rPr>
      </w:pPr>
      <w:r w:rsidRPr="00736DCB">
        <w:rPr>
          <w:szCs w:val="24"/>
          <w:lang w:val="en-GB"/>
        </w:rPr>
        <w:t xml:space="preserve">The so-called </w:t>
      </w:r>
      <w:r w:rsidR="00DB2B2D" w:rsidRPr="00736DCB">
        <w:rPr>
          <w:szCs w:val="24"/>
          <w:lang w:val="en-GB"/>
        </w:rPr>
        <w:t>L</w:t>
      </w:r>
      <w:r w:rsidRPr="00736DCB">
        <w:rPr>
          <w:szCs w:val="24"/>
          <w:lang w:val="en-GB"/>
        </w:rPr>
        <w:t xml:space="preserve">obbying </w:t>
      </w:r>
      <w:r w:rsidR="00DB2B2D" w:rsidRPr="00736DCB">
        <w:rPr>
          <w:szCs w:val="24"/>
          <w:lang w:val="en-GB"/>
        </w:rPr>
        <w:t xml:space="preserve">Act </w:t>
      </w:r>
      <w:r w:rsidRPr="00736DCB">
        <w:rPr>
          <w:szCs w:val="24"/>
          <w:lang w:val="en-GB"/>
        </w:rPr>
        <w:t>introduce</w:t>
      </w:r>
      <w:r w:rsidR="00DB2B2D" w:rsidRPr="00736DCB">
        <w:rPr>
          <w:szCs w:val="24"/>
          <w:lang w:val="en-GB"/>
        </w:rPr>
        <w:t>s</w:t>
      </w:r>
      <w:r w:rsidRPr="00736DCB">
        <w:rPr>
          <w:szCs w:val="24"/>
          <w:lang w:val="en-GB"/>
        </w:rPr>
        <w:t xml:space="preserve"> </w:t>
      </w:r>
      <w:r w:rsidR="00DB2B2D" w:rsidRPr="00736DCB">
        <w:rPr>
          <w:szCs w:val="24"/>
          <w:lang w:val="en-GB"/>
        </w:rPr>
        <w:t xml:space="preserve">the </w:t>
      </w:r>
      <w:r w:rsidRPr="00736DCB">
        <w:rPr>
          <w:szCs w:val="24"/>
          <w:lang w:val="en-GB"/>
        </w:rPr>
        <w:t>institution of legislative planning. It is an obligation imposed on the Council of Ministers to keep a register of legislative work covering: draft assumptions of bill</w:t>
      </w:r>
      <w:r w:rsidR="00DB2B2D" w:rsidRPr="00736DCB">
        <w:rPr>
          <w:szCs w:val="24"/>
          <w:lang w:val="en-GB"/>
        </w:rPr>
        <w:t>s</w:t>
      </w:r>
      <w:r w:rsidRPr="00736DCB">
        <w:rPr>
          <w:szCs w:val="24"/>
          <w:lang w:val="en-GB"/>
        </w:rPr>
        <w:t xml:space="preserve">, bills and draft regulations of the Council of Ministers. The register should include all bills, regardless of their material scope – e.g. budget </w:t>
      </w:r>
      <w:r w:rsidR="00DB2B2D" w:rsidRPr="00736DCB">
        <w:rPr>
          <w:szCs w:val="24"/>
          <w:lang w:val="en-GB"/>
        </w:rPr>
        <w:t>bills</w:t>
      </w:r>
      <w:r w:rsidRPr="00736DCB">
        <w:rPr>
          <w:szCs w:val="24"/>
          <w:lang w:val="en-GB"/>
        </w:rPr>
        <w:t xml:space="preserve">, </w:t>
      </w:r>
      <w:r w:rsidR="00DB2B2D" w:rsidRPr="00736DCB">
        <w:rPr>
          <w:szCs w:val="24"/>
          <w:lang w:val="en-GB"/>
        </w:rPr>
        <w:t xml:space="preserve">bills on ratification of </w:t>
      </w:r>
      <w:r w:rsidRPr="00736DCB">
        <w:rPr>
          <w:szCs w:val="24"/>
          <w:lang w:val="en-GB"/>
        </w:rPr>
        <w:t>international agreement</w:t>
      </w:r>
      <w:r w:rsidR="00DB2B2D" w:rsidRPr="00736DCB">
        <w:rPr>
          <w:szCs w:val="24"/>
          <w:lang w:val="en-GB"/>
        </w:rPr>
        <w:t>s</w:t>
      </w:r>
      <w:r w:rsidRPr="00736DCB">
        <w:rPr>
          <w:szCs w:val="24"/>
          <w:lang w:val="en-GB"/>
        </w:rPr>
        <w:t xml:space="preserve"> or acts regulating relations between Poland and churches or religious associations. The register of legislative work includes, among others, information about </w:t>
      </w:r>
      <w:r w:rsidR="007321D3">
        <w:rPr>
          <w:szCs w:val="24"/>
          <w:lang w:val="en-GB"/>
        </w:rPr>
        <w:t>causes</w:t>
      </w:r>
      <w:r w:rsidRPr="00736DCB">
        <w:rPr>
          <w:szCs w:val="24"/>
          <w:lang w:val="en-GB"/>
        </w:rPr>
        <w:t xml:space="preserve">, the need to introduce and the essence of planned solutions and </w:t>
      </w:r>
      <w:r w:rsidR="00DB2B2D" w:rsidRPr="00736DCB">
        <w:rPr>
          <w:szCs w:val="24"/>
          <w:lang w:val="en-GB"/>
        </w:rPr>
        <w:t>the</w:t>
      </w:r>
      <w:r w:rsidRPr="00736DCB">
        <w:rPr>
          <w:szCs w:val="24"/>
          <w:lang w:val="en-GB"/>
        </w:rPr>
        <w:t xml:space="preserve"> body responsible for preparing the draft. The register must be made available in the Public Information Bulletin.</w:t>
      </w:r>
    </w:p>
    <w:p w14:paraId="221177BF" w14:textId="1A3A8083" w:rsidR="008D022A" w:rsidRPr="00736DCB" w:rsidRDefault="008D022A" w:rsidP="00CB5DD2">
      <w:pPr>
        <w:ind w:firstLine="708"/>
        <w:jc w:val="both"/>
        <w:rPr>
          <w:szCs w:val="24"/>
          <w:lang w:val="en-GB"/>
        </w:rPr>
      </w:pPr>
      <w:r w:rsidRPr="00736DCB">
        <w:rPr>
          <w:szCs w:val="24"/>
          <w:lang w:val="en-GB"/>
        </w:rPr>
        <w:t xml:space="preserve">It also includes all documents relating to work on bills listed in the register. Such broad disclosure obligation </w:t>
      </w:r>
      <w:r w:rsidR="00DB2B2D" w:rsidRPr="00736DCB">
        <w:rPr>
          <w:szCs w:val="24"/>
          <w:lang w:val="en-GB"/>
        </w:rPr>
        <w:t xml:space="preserve">helps </w:t>
      </w:r>
      <w:r w:rsidRPr="00736DCB">
        <w:rPr>
          <w:szCs w:val="24"/>
          <w:lang w:val="en-GB"/>
        </w:rPr>
        <w:t>all interested parties to familiarize themselves not only with the content of legislative acts, but also with all accompanying documents (expert opinions, opinions, proposed solutions).</w:t>
      </w:r>
    </w:p>
    <w:p w14:paraId="132B980E" w14:textId="0CA721F3" w:rsidR="008D022A" w:rsidRPr="00736DCB" w:rsidRDefault="008D022A" w:rsidP="00CB5DD2">
      <w:pPr>
        <w:ind w:firstLine="708"/>
        <w:jc w:val="both"/>
        <w:rPr>
          <w:szCs w:val="24"/>
          <w:lang w:val="en-GB"/>
        </w:rPr>
      </w:pPr>
      <w:r w:rsidRPr="00736DCB">
        <w:rPr>
          <w:szCs w:val="24"/>
          <w:lang w:val="en-GB"/>
        </w:rPr>
        <w:t xml:space="preserve">One may report his/her interest in the work on draft assumptions of a bill, bill or draft regulation only when the draft is made available in the Public Information Bulletin. Everyone is authorised to do so, because the </w:t>
      </w:r>
      <w:r w:rsidR="001E1FFF" w:rsidRPr="00736DCB">
        <w:rPr>
          <w:szCs w:val="24"/>
          <w:lang w:val="en-GB"/>
        </w:rPr>
        <w:t>L</w:t>
      </w:r>
      <w:r w:rsidRPr="00736DCB">
        <w:rPr>
          <w:szCs w:val="24"/>
          <w:lang w:val="en-GB"/>
        </w:rPr>
        <w:t xml:space="preserve">obbying </w:t>
      </w:r>
      <w:r w:rsidR="001E1FFF" w:rsidRPr="00736DCB">
        <w:rPr>
          <w:szCs w:val="24"/>
          <w:lang w:val="en-GB"/>
        </w:rPr>
        <w:t>A</w:t>
      </w:r>
      <w:r w:rsidRPr="00736DCB">
        <w:rPr>
          <w:szCs w:val="24"/>
          <w:lang w:val="en-GB"/>
        </w:rPr>
        <w:t xml:space="preserve">ct does not introduce any limitations in that respect, except that it should be done on official form. The notification should include, among others, proposed legal solutions and specify </w:t>
      </w:r>
      <w:r w:rsidR="001E1FFF" w:rsidRPr="00736DCB">
        <w:rPr>
          <w:szCs w:val="24"/>
          <w:lang w:val="en-GB"/>
        </w:rPr>
        <w:t xml:space="preserve">the </w:t>
      </w:r>
      <w:r w:rsidRPr="00736DCB">
        <w:rPr>
          <w:szCs w:val="24"/>
          <w:lang w:val="en-GB"/>
        </w:rPr>
        <w:t xml:space="preserve">interest that is being protected. </w:t>
      </w:r>
    </w:p>
    <w:p w14:paraId="0A75175F" w14:textId="5B77F172" w:rsidR="008D022A" w:rsidRPr="00736DCB" w:rsidRDefault="008D022A" w:rsidP="00CB5DD2">
      <w:pPr>
        <w:pStyle w:val="Heading1"/>
        <w:numPr>
          <w:ilvl w:val="1"/>
          <w:numId w:val="15"/>
        </w:numPr>
        <w:rPr>
          <w:rFonts w:ascii="Times New Roman" w:hAnsi="Times New Roman" w:cs="Times New Roman"/>
          <w:sz w:val="24"/>
          <w:szCs w:val="24"/>
          <w:lang w:val="en-GB"/>
        </w:rPr>
      </w:pPr>
      <w:r w:rsidRPr="00736DCB">
        <w:rPr>
          <w:rFonts w:ascii="Times New Roman" w:hAnsi="Times New Roman" w:cs="Times New Roman"/>
          <w:sz w:val="24"/>
          <w:szCs w:val="24"/>
          <w:lang w:val="en-GB"/>
        </w:rPr>
        <w:t xml:space="preserve"> Public hearing</w:t>
      </w:r>
    </w:p>
    <w:p w14:paraId="490E5986" w14:textId="3F66AE63" w:rsidR="008D022A" w:rsidRPr="00736DCB" w:rsidRDefault="008D022A" w:rsidP="00CB5DD2">
      <w:pPr>
        <w:ind w:firstLine="708"/>
        <w:jc w:val="both"/>
        <w:rPr>
          <w:szCs w:val="24"/>
          <w:lang w:val="en-GB"/>
        </w:rPr>
      </w:pPr>
      <w:r w:rsidRPr="00736DCB">
        <w:rPr>
          <w:szCs w:val="24"/>
          <w:lang w:val="en-GB"/>
        </w:rPr>
        <w:t xml:space="preserve">The so-called </w:t>
      </w:r>
      <w:r w:rsidR="001E1FFF" w:rsidRPr="00736DCB">
        <w:rPr>
          <w:szCs w:val="24"/>
          <w:lang w:val="en-GB"/>
        </w:rPr>
        <w:t>L</w:t>
      </w:r>
      <w:r w:rsidRPr="00736DCB">
        <w:rPr>
          <w:szCs w:val="24"/>
          <w:lang w:val="en-GB"/>
        </w:rPr>
        <w:t xml:space="preserve">obbying </w:t>
      </w:r>
      <w:r w:rsidR="001E1FFF" w:rsidRPr="00736DCB">
        <w:rPr>
          <w:szCs w:val="24"/>
          <w:lang w:val="en-GB"/>
        </w:rPr>
        <w:t>A</w:t>
      </w:r>
      <w:r w:rsidRPr="00736DCB">
        <w:rPr>
          <w:szCs w:val="24"/>
          <w:lang w:val="en-GB"/>
        </w:rPr>
        <w:t>ct also regulates another form of influencing the law-making process. Public hearing constitutes a formal</w:t>
      </w:r>
      <w:r w:rsidR="001E1FFF" w:rsidRPr="00736DCB">
        <w:rPr>
          <w:szCs w:val="24"/>
          <w:lang w:val="en-GB"/>
        </w:rPr>
        <w:t>ly</w:t>
      </w:r>
      <w:r w:rsidRPr="00736DCB">
        <w:rPr>
          <w:szCs w:val="24"/>
          <w:lang w:val="en-GB"/>
        </w:rPr>
        <w:t xml:space="preserve"> and legal</w:t>
      </w:r>
      <w:r w:rsidR="001E1FFF" w:rsidRPr="00736DCB">
        <w:rPr>
          <w:szCs w:val="24"/>
          <w:lang w:val="en-GB"/>
        </w:rPr>
        <w:t>ly defined</w:t>
      </w:r>
      <w:r w:rsidRPr="00736DCB">
        <w:rPr>
          <w:szCs w:val="24"/>
          <w:lang w:val="en-GB"/>
        </w:rPr>
        <w:t xml:space="preserve"> lobbying method. According to the </w:t>
      </w:r>
      <w:r w:rsidR="001E1FFF" w:rsidRPr="00736DCB">
        <w:rPr>
          <w:szCs w:val="24"/>
          <w:lang w:val="en-GB"/>
        </w:rPr>
        <w:t>A</w:t>
      </w:r>
      <w:r w:rsidRPr="00736DCB">
        <w:rPr>
          <w:szCs w:val="24"/>
          <w:lang w:val="en-GB"/>
        </w:rPr>
        <w:t>ct,</w:t>
      </w:r>
      <w:r w:rsidR="001E1FFF" w:rsidRPr="00736DCB">
        <w:rPr>
          <w:szCs w:val="24"/>
          <w:lang w:val="en-GB"/>
        </w:rPr>
        <w:t xml:space="preserve"> a</w:t>
      </w:r>
      <w:r w:rsidRPr="00736DCB">
        <w:rPr>
          <w:szCs w:val="24"/>
          <w:lang w:val="en-GB"/>
        </w:rPr>
        <w:t xml:space="preserve"> public hearing can be held with respect to bills or draft regulations. </w:t>
      </w:r>
    </w:p>
    <w:p w14:paraId="2BEADFB2" w14:textId="77777777" w:rsidR="008860D7" w:rsidRDefault="008860D7" w:rsidP="00CB5DD2">
      <w:pPr>
        <w:pStyle w:val="Subtitle"/>
        <w:rPr>
          <w:rFonts w:ascii="Times New Roman" w:hAnsi="Times New Roman" w:cs="Times New Roman"/>
          <w:lang w:val="en-GB"/>
        </w:rPr>
      </w:pPr>
    </w:p>
    <w:p w14:paraId="468D447E" w14:textId="6C9487ED" w:rsidR="008D022A" w:rsidRPr="00736DCB" w:rsidRDefault="001E1FFF" w:rsidP="00CB5DD2">
      <w:pPr>
        <w:pStyle w:val="Subtitle"/>
        <w:rPr>
          <w:rFonts w:ascii="Times New Roman" w:hAnsi="Times New Roman" w:cs="Times New Roman"/>
          <w:lang w:val="en-GB"/>
        </w:rPr>
      </w:pPr>
      <w:r w:rsidRPr="00736DCB">
        <w:rPr>
          <w:rFonts w:ascii="Times New Roman" w:hAnsi="Times New Roman" w:cs="Times New Roman"/>
          <w:lang w:val="en-GB"/>
        </w:rPr>
        <w:lastRenderedPageBreak/>
        <w:t>B</w:t>
      </w:r>
      <w:r w:rsidR="008D022A" w:rsidRPr="00736DCB">
        <w:rPr>
          <w:rFonts w:ascii="Times New Roman" w:hAnsi="Times New Roman" w:cs="Times New Roman"/>
          <w:lang w:val="en-GB"/>
        </w:rPr>
        <w:t>ills</w:t>
      </w:r>
    </w:p>
    <w:p w14:paraId="3489754F" w14:textId="16D753F7" w:rsidR="008D022A" w:rsidRPr="00736DCB" w:rsidRDefault="008D022A" w:rsidP="00CB5DD2">
      <w:pPr>
        <w:jc w:val="both"/>
        <w:rPr>
          <w:szCs w:val="24"/>
          <w:lang w:val="en-GB"/>
        </w:rPr>
      </w:pPr>
      <w:r w:rsidRPr="00736DCB">
        <w:rPr>
          <w:lang w:val="en-GB"/>
        </w:rPr>
        <w:tab/>
      </w:r>
      <w:r w:rsidRPr="00736DCB">
        <w:rPr>
          <w:szCs w:val="24"/>
          <w:lang w:val="en-GB"/>
        </w:rPr>
        <w:t xml:space="preserve">Public hearing is governed by the Standing Orders of the Sejm. </w:t>
      </w:r>
      <w:r w:rsidR="001B2BB1" w:rsidRPr="00736DCB">
        <w:rPr>
          <w:lang w:val="en-GB"/>
        </w:rPr>
        <w:t>A p</w:t>
      </w:r>
      <w:r w:rsidRPr="00736DCB">
        <w:rPr>
          <w:lang w:val="en-GB"/>
        </w:rPr>
        <w:t xml:space="preserve">ublic hearing on a bill may be held once the draft bill is introduced to the Sejm. </w:t>
      </w:r>
      <w:r w:rsidRPr="00736DCB">
        <w:rPr>
          <w:szCs w:val="24"/>
          <w:lang w:val="en-GB"/>
        </w:rPr>
        <w:t>The right to participate in public hearings is granted to entities which declare their interest in the legislative work on the bill not later than 10 days prior to the public hearing. The application is addressed to the Speaker of the Sejm and is published in the Sejm I</w:t>
      </w:r>
      <w:r w:rsidR="00C45846" w:rsidRPr="00736DCB">
        <w:rPr>
          <w:szCs w:val="24"/>
          <w:lang w:val="en-GB"/>
        </w:rPr>
        <w:t>nformation</w:t>
      </w:r>
      <w:r w:rsidRPr="00736DCB">
        <w:rPr>
          <w:szCs w:val="24"/>
          <w:lang w:val="en-GB"/>
        </w:rPr>
        <w:t xml:space="preserve"> System.</w:t>
      </w:r>
    </w:p>
    <w:p w14:paraId="186621E2" w14:textId="6FA9C2B9" w:rsidR="008D022A" w:rsidRPr="00736DCB" w:rsidRDefault="008D022A" w:rsidP="00CB5DD2">
      <w:pPr>
        <w:ind w:firstLine="708"/>
        <w:jc w:val="both"/>
        <w:rPr>
          <w:szCs w:val="24"/>
          <w:lang w:val="en-GB"/>
        </w:rPr>
      </w:pPr>
      <w:r w:rsidRPr="00736DCB">
        <w:rPr>
          <w:szCs w:val="24"/>
          <w:lang w:val="en-GB"/>
        </w:rPr>
        <w:t xml:space="preserve">Public hearing is not obligatory. The decision on conducting a public hearing lies with the committee to which the bill </w:t>
      </w:r>
      <w:r w:rsidR="001B2BB1" w:rsidRPr="00736DCB">
        <w:rPr>
          <w:szCs w:val="24"/>
          <w:lang w:val="en-GB"/>
        </w:rPr>
        <w:t>is</w:t>
      </w:r>
      <w:r w:rsidRPr="00736DCB">
        <w:rPr>
          <w:szCs w:val="24"/>
          <w:lang w:val="en-GB"/>
        </w:rPr>
        <w:t xml:space="preserve"> </w:t>
      </w:r>
      <w:r w:rsidR="00314696" w:rsidRPr="00736DCB">
        <w:rPr>
          <w:szCs w:val="24"/>
          <w:lang w:val="en-GB"/>
        </w:rPr>
        <w:t xml:space="preserve">referred </w:t>
      </w:r>
      <w:r w:rsidRPr="00736DCB">
        <w:rPr>
          <w:szCs w:val="24"/>
          <w:lang w:val="en-GB"/>
        </w:rPr>
        <w:t xml:space="preserve">for consideration. </w:t>
      </w:r>
      <w:r w:rsidR="00314696" w:rsidRPr="00736DCB">
        <w:rPr>
          <w:szCs w:val="24"/>
          <w:lang w:val="en-GB"/>
        </w:rPr>
        <w:t>A</w:t>
      </w:r>
      <w:r w:rsidRPr="00736DCB">
        <w:rPr>
          <w:szCs w:val="24"/>
          <w:lang w:val="en-GB"/>
        </w:rPr>
        <w:t xml:space="preserve"> public hearing requires passing a resolution, which may be adopted upon a written request of any MP. </w:t>
      </w:r>
    </w:p>
    <w:p w14:paraId="212E87D6" w14:textId="1BA56DC7" w:rsidR="008D022A" w:rsidRPr="00736DCB" w:rsidRDefault="008D022A" w:rsidP="00CB5DD2">
      <w:pPr>
        <w:ind w:firstLine="708"/>
        <w:jc w:val="both"/>
        <w:rPr>
          <w:szCs w:val="24"/>
          <w:lang w:val="en-GB"/>
        </w:rPr>
      </w:pPr>
      <w:r w:rsidRPr="00736DCB">
        <w:rPr>
          <w:szCs w:val="24"/>
          <w:lang w:val="en-GB"/>
        </w:rPr>
        <w:t xml:space="preserve">Public hearing cannot be held in a subcommittee. </w:t>
      </w:r>
    </w:p>
    <w:p w14:paraId="111DE114" w14:textId="7584DCE7" w:rsidR="008D022A" w:rsidRPr="00736DCB" w:rsidRDefault="007B5997" w:rsidP="00CB5DD2">
      <w:pPr>
        <w:ind w:firstLine="708"/>
        <w:jc w:val="both"/>
        <w:rPr>
          <w:szCs w:val="24"/>
          <w:lang w:val="en-GB"/>
        </w:rPr>
      </w:pPr>
      <w:r w:rsidRPr="00736DCB">
        <w:rPr>
          <w:szCs w:val="24"/>
          <w:lang w:val="en-GB"/>
        </w:rPr>
        <w:t>The S</w:t>
      </w:r>
      <w:r w:rsidR="008D022A" w:rsidRPr="00736DCB">
        <w:rPr>
          <w:szCs w:val="24"/>
          <w:lang w:val="en-GB"/>
        </w:rPr>
        <w:t xml:space="preserve">tanding Orders of the Sejm stipulate that due to space restrictions or technical reasons the presidium of the committee may limit the number of parties taking part in a public hearing and that </w:t>
      </w:r>
      <w:r w:rsidRPr="00736DCB">
        <w:rPr>
          <w:szCs w:val="24"/>
          <w:lang w:val="en-GB"/>
        </w:rPr>
        <w:t xml:space="preserve">such </w:t>
      </w:r>
      <w:r w:rsidR="008D022A" w:rsidRPr="00736DCB">
        <w:rPr>
          <w:szCs w:val="24"/>
          <w:lang w:val="en-GB"/>
        </w:rPr>
        <w:t xml:space="preserve">limitations should be introduced according to a reasonable criterion uniformly applied to all entities, for instance on the first come, first served basis. </w:t>
      </w:r>
    </w:p>
    <w:p w14:paraId="425088EB" w14:textId="275BCC8E" w:rsidR="008D022A" w:rsidRPr="00736DCB" w:rsidRDefault="008D022A" w:rsidP="00CB5DD2">
      <w:pPr>
        <w:ind w:firstLine="851"/>
        <w:jc w:val="both"/>
        <w:rPr>
          <w:szCs w:val="24"/>
          <w:lang w:val="en-GB"/>
        </w:rPr>
      </w:pPr>
      <w:r w:rsidRPr="00736DCB">
        <w:rPr>
          <w:szCs w:val="24"/>
          <w:lang w:val="en-GB"/>
        </w:rPr>
        <w:t xml:space="preserve">The presidium of the committee may also change the public hearing date, and the committee may even cancel it, if due to space or technical restrictions, in particular due to the number of persons willing to participate in the </w:t>
      </w:r>
      <w:r w:rsidR="00C45846" w:rsidRPr="00736DCB">
        <w:rPr>
          <w:szCs w:val="24"/>
          <w:lang w:val="en-GB"/>
        </w:rPr>
        <w:t>public</w:t>
      </w:r>
      <w:r w:rsidRPr="00736DCB">
        <w:rPr>
          <w:szCs w:val="24"/>
          <w:lang w:val="en-GB"/>
        </w:rPr>
        <w:t xml:space="preserve"> hearing, it is not possible to organise it.  There is no possibility to appeal from the decision on cancelling a public hearing. </w:t>
      </w:r>
      <w:r w:rsidR="007B5997" w:rsidRPr="00736DCB">
        <w:rPr>
          <w:szCs w:val="24"/>
          <w:lang w:val="en-GB"/>
        </w:rPr>
        <w:t>The</w:t>
      </w:r>
      <w:r w:rsidRPr="00736DCB">
        <w:rPr>
          <w:szCs w:val="24"/>
          <w:lang w:val="en-GB"/>
        </w:rPr>
        <w:t xml:space="preserve"> notion of the “number of persons willing to participate” in a public hearing is not clearly defined</w:t>
      </w:r>
      <w:r w:rsidR="007B5997" w:rsidRPr="00736DCB">
        <w:rPr>
          <w:szCs w:val="24"/>
          <w:lang w:val="en-GB"/>
        </w:rPr>
        <w:t xml:space="preserve"> either</w:t>
      </w:r>
      <w:r w:rsidRPr="00736DCB">
        <w:rPr>
          <w:szCs w:val="24"/>
          <w:lang w:val="en-GB"/>
        </w:rPr>
        <w:t xml:space="preserve">. In </w:t>
      </w:r>
      <w:r w:rsidRPr="00736DCB">
        <w:rPr>
          <w:lang w:val="en-GB" w:bidi="he-IL"/>
        </w:rPr>
        <w:t>particularly justified cases the chair of the committee may adjourn the meeting at which the public hearing takes place, and decide on the date, time and place where the meeting is to be resumed.</w:t>
      </w:r>
      <w:r w:rsidRPr="00736DCB">
        <w:rPr>
          <w:szCs w:val="24"/>
          <w:lang w:val="en-GB"/>
        </w:rPr>
        <w:t xml:space="preserve"> </w:t>
      </w:r>
    </w:p>
    <w:p w14:paraId="26A1723E" w14:textId="76C112A2" w:rsidR="008D022A" w:rsidRPr="00736DCB" w:rsidRDefault="008D022A" w:rsidP="00CB5DD2">
      <w:pPr>
        <w:ind w:firstLine="851"/>
        <w:jc w:val="both"/>
        <w:rPr>
          <w:szCs w:val="24"/>
          <w:lang w:val="en-GB"/>
        </w:rPr>
      </w:pPr>
      <w:r w:rsidRPr="00736DCB">
        <w:rPr>
          <w:lang w:val="en-GB" w:bidi="he-IL"/>
        </w:rPr>
        <w:t xml:space="preserve">A public hearing takes place during only one meeting of the committee, and the agenda of such meeting cannot include any other </w:t>
      </w:r>
      <w:r w:rsidR="007B5997" w:rsidRPr="00736DCB">
        <w:rPr>
          <w:lang w:val="en-GB" w:bidi="he-IL"/>
        </w:rPr>
        <w:t>points</w:t>
      </w:r>
      <w:r w:rsidRPr="00736DCB">
        <w:rPr>
          <w:lang w:val="en-GB" w:bidi="he-IL"/>
        </w:rPr>
        <w:t>.</w:t>
      </w:r>
      <w:r w:rsidRPr="00736DCB">
        <w:rPr>
          <w:szCs w:val="24"/>
          <w:lang w:val="en-GB" w:bidi="he-IL"/>
        </w:rPr>
        <w:t xml:space="preserve"> The </w:t>
      </w:r>
      <w:r w:rsidRPr="00736DCB">
        <w:rPr>
          <w:lang w:val="en-GB" w:bidi="he-IL"/>
        </w:rPr>
        <w:t>list of speakers and the speaking time of the hearing is decided by the chair of the committee.</w:t>
      </w:r>
      <w:r w:rsidRPr="00736DCB">
        <w:rPr>
          <w:szCs w:val="24"/>
          <w:lang w:val="en-GB" w:bidi="he-IL"/>
        </w:rPr>
        <w:t xml:space="preserve">  </w:t>
      </w:r>
      <w:r w:rsidRPr="00736DCB">
        <w:rPr>
          <w:lang w:val="en-GB" w:bidi="he-IL"/>
        </w:rPr>
        <w:t xml:space="preserve">Only one speech is permitted for each party, but the chair of the committee may </w:t>
      </w:r>
      <w:r w:rsidRPr="007321D3">
        <w:rPr>
          <w:lang w:val="en-GB" w:bidi="he-IL"/>
        </w:rPr>
        <w:t>extend</w:t>
      </w:r>
      <w:r w:rsidRPr="00736DCB">
        <w:rPr>
          <w:lang w:val="en-GB" w:bidi="he-IL"/>
        </w:rPr>
        <w:t xml:space="preserve"> the speaking time.</w:t>
      </w:r>
      <w:r w:rsidRPr="00736DCB">
        <w:rPr>
          <w:szCs w:val="24"/>
          <w:lang w:val="en-GB" w:bidi="he-IL"/>
        </w:rPr>
        <w:t xml:space="preserve"> </w:t>
      </w:r>
      <w:r w:rsidRPr="00736DCB">
        <w:rPr>
          <w:lang w:val="en-GB"/>
        </w:rPr>
        <w:t>Minutes and a factsheet are drawn up after the committee meeting.</w:t>
      </w:r>
    </w:p>
    <w:p w14:paraId="192F8E41" w14:textId="77777777" w:rsidR="008860D7" w:rsidRDefault="008860D7" w:rsidP="00CB5DD2">
      <w:pPr>
        <w:pStyle w:val="Subtitle"/>
        <w:rPr>
          <w:rFonts w:ascii="Times New Roman" w:hAnsi="Times New Roman" w:cs="Times New Roman"/>
          <w:lang w:val="en-GB"/>
        </w:rPr>
      </w:pPr>
    </w:p>
    <w:p w14:paraId="1AA88A52" w14:textId="32AF1E52" w:rsidR="008D022A" w:rsidRPr="00736DCB" w:rsidRDefault="008D022A" w:rsidP="00CB5DD2">
      <w:pPr>
        <w:pStyle w:val="Subtitle"/>
        <w:rPr>
          <w:rFonts w:ascii="Times New Roman" w:hAnsi="Times New Roman" w:cs="Times New Roman"/>
          <w:lang w:val="en-GB"/>
        </w:rPr>
      </w:pPr>
      <w:r w:rsidRPr="007321D3">
        <w:rPr>
          <w:rFonts w:ascii="Times New Roman" w:hAnsi="Times New Roman" w:cs="Times New Roman"/>
          <w:lang w:val="en-GB"/>
        </w:rPr>
        <w:t>Draft regulations</w:t>
      </w:r>
      <w:r w:rsidRPr="00736DCB">
        <w:rPr>
          <w:rFonts w:ascii="Times New Roman" w:hAnsi="Times New Roman" w:cs="Times New Roman"/>
          <w:lang w:val="en-GB"/>
        </w:rPr>
        <w:t xml:space="preserve"> </w:t>
      </w:r>
    </w:p>
    <w:p w14:paraId="4ECF1E71" w14:textId="3A7E9131" w:rsidR="008D022A" w:rsidRPr="00736DCB" w:rsidRDefault="007B5997" w:rsidP="00CB5DD2">
      <w:pPr>
        <w:ind w:firstLine="851"/>
        <w:jc w:val="both"/>
        <w:rPr>
          <w:szCs w:val="24"/>
          <w:lang w:val="en-GB"/>
        </w:rPr>
      </w:pPr>
      <w:r w:rsidRPr="00736DCB">
        <w:rPr>
          <w:szCs w:val="24"/>
          <w:lang w:val="en-GB"/>
        </w:rPr>
        <w:t>E</w:t>
      </w:r>
      <w:r w:rsidR="008D022A" w:rsidRPr="00736DCB">
        <w:rPr>
          <w:szCs w:val="24"/>
          <w:lang w:val="en-GB"/>
        </w:rPr>
        <w:t xml:space="preserve">xecutive bodies can </w:t>
      </w:r>
      <w:r w:rsidRPr="00736DCB">
        <w:rPr>
          <w:szCs w:val="24"/>
          <w:lang w:val="en-GB"/>
        </w:rPr>
        <w:t xml:space="preserve">also </w:t>
      </w:r>
      <w:r w:rsidR="008D022A" w:rsidRPr="00736DCB">
        <w:rPr>
          <w:szCs w:val="24"/>
          <w:lang w:val="en-GB"/>
        </w:rPr>
        <w:t xml:space="preserve">hold public hearings in the law-making process. A procedure similar to the one applied to bills is followed for draft regulations. </w:t>
      </w:r>
    </w:p>
    <w:p w14:paraId="7ACFA6CB" w14:textId="7F47BE93" w:rsidR="008D022A" w:rsidRPr="00736DCB" w:rsidRDefault="008D022A" w:rsidP="00CB5DD2">
      <w:pPr>
        <w:ind w:firstLine="851"/>
        <w:jc w:val="both"/>
        <w:rPr>
          <w:szCs w:val="24"/>
          <w:lang w:val="en-GB"/>
        </w:rPr>
      </w:pPr>
      <w:r w:rsidRPr="00736DCB">
        <w:rPr>
          <w:szCs w:val="24"/>
          <w:lang w:val="en-GB"/>
        </w:rPr>
        <w:t>A public hearing may be held independently and attended only by the parties interested in the legislative work on the draft regulation</w:t>
      </w:r>
      <w:r w:rsidR="00AF2D9C" w:rsidRPr="00736DCB">
        <w:rPr>
          <w:szCs w:val="24"/>
          <w:lang w:val="en-GB"/>
        </w:rPr>
        <w:t>,</w:t>
      </w:r>
      <w:r w:rsidRPr="00736DCB">
        <w:rPr>
          <w:szCs w:val="24"/>
          <w:lang w:val="en-GB"/>
        </w:rPr>
        <w:t xml:space="preserve"> or together with inter-ministerial conference </w:t>
      </w:r>
      <w:r w:rsidR="00AF2D9C" w:rsidRPr="00736DCB">
        <w:rPr>
          <w:szCs w:val="24"/>
          <w:lang w:val="en-GB"/>
        </w:rPr>
        <w:t xml:space="preserve">dedicated to </w:t>
      </w:r>
      <w:r w:rsidRPr="00736DCB">
        <w:rPr>
          <w:szCs w:val="24"/>
          <w:lang w:val="en-GB"/>
        </w:rPr>
        <w:t xml:space="preserve">the draft regulation. </w:t>
      </w:r>
    </w:p>
    <w:p w14:paraId="0B3EC079" w14:textId="4F6868C0" w:rsidR="008D022A" w:rsidRPr="00736DCB" w:rsidRDefault="008D022A" w:rsidP="00CB5DD2">
      <w:pPr>
        <w:ind w:firstLine="851"/>
        <w:jc w:val="both"/>
        <w:rPr>
          <w:szCs w:val="24"/>
          <w:lang w:val="en-GB"/>
        </w:rPr>
      </w:pPr>
      <w:r w:rsidRPr="00736DCB">
        <w:rPr>
          <w:szCs w:val="24"/>
          <w:lang w:val="en-GB"/>
        </w:rPr>
        <w:lastRenderedPageBreak/>
        <w:t>As a rule the authors of the draft regulation address the arguments presented by the participants of the public hearing on an ongoing basis</w:t>
      </w:r>
      <w:r w:rsidR="00AF2D9C" w:rsidRPr="00736DCB">
        <w:rPr>
          <w:szCs w:val="24"/>
          <w:lang w:val="en-GB"/>
        </w:rPr>
        <w:t>;</w:t>
      </w:r>
      <w:r w:rsidRPr="00736DCB">
        <w:rPr>
          <w:szCs w:val="24"/>
          <w:lang w:val="en-GB"/>
        </w:rPr>
        <w:t xml:space="preserve"> </w:t>
      </w:r>
      <w:r w:rsidR="00AF2D9C" w:rsidRPr="00736DCB">
        <w:rPr>
          <w:szCs w:val="24"/>
          <w:lang w:val="en-GB"/>
        </w:rPr>
        <w:t xml:space="preserve">however, </w:t>
      </w:r>
      <w:r w:rsidRPr="00736DCB">
        <w:rPr>
          <w:szCs w:val="24"/>
          <w:lang w:val="en-GB"/>
        </w:rPr>
        <w:t>when analysis or consultation is required the authors may present their position in writing within 14 calendar days.</w:t>
      </w:r>
    </w:p>
    <w:p w14:paraId="016A85DA" w14:textId="2EADA6AF" w:rsidR="008D022A" w:rsidRPr="00736DCB" w:rsidRDefault="008D022A" w:rsidP="00CB5DD2">
      <w:pPr>
        <w:ind w:firstLine="851"/>
        <w:jc w:val="both"/>
        <w:rPr>
          <w:szCs w:val="24"/>
          <w:lang w:val="en-GB"/>
        </w:rPr>
      </w:pPr>
      <w:r w:rsidRPr="00736DCB">
        <w:rPr>
          <w:szCs w:val="24"/>
          <w:lang w:val="en-GB"/>
        </w:rPr>
        <w:t xml:space="preserve">Minutes are drawn up after the public hearing, which are later published in the Public Information Bulletin on the website of the body responsible for preparing </w:t>
      </w:r>
      <w:r w:rsidR="00AF2D9C" w:rsidRPr="00736DCB">
        <w:rPr>
          <w:szCs w:val="24"/>
          <w:lang w:val="en-GB"/>
        </w:rPr>
        <w:t xml:space="preserve">the </w:t>
      </w:r>
      <w:r w:rsidRPr="00736DCB">
        <w:rPr>
          <w:szCs w:val="24"/>
          <w:lang w:val="en-GB"/>
        </w:rPr>
        <w:t xml:space="preserve">draft regulation. The public hearing may also be recorded. </w:t>
      </w:r>
    </w:p>
    <w:p w14:paraId="6E9DAFE5" w14:textId="6B70FAB1" w:rsidR="00846078" w:rsidRPr="00736DCB" w:rsidRDefault="00271D00" w:rsidP="00CB5DD2">
      <w:pPr>
        <w:pStyle w:val="Heading1"/>
        <w:numPr>
          <w:ilvl w:val="1"/>
          <w:numId w:val="15"/>
        </w:numPr>
        <w:rPr>
          <w:rFonts w:ascii="Times New Roman" w:hAnsi="Times New Roman" w:cs="Times New Roman"/>
          <w:sz w:val="24"/>
          <w:szCs w:val="24"/>
          <w:lang w:bidi="he-IL"/>
        </w:rPr>
      </w:pPr>
      <w:r w:rsidRPr="00736DCB">
        <w:rPr>
          <w:rFonts w:ascii="Times New Roman" w:hAnsi="Times New Roman" w:cs="Times New Roman"/>
          <w:sz w:val="24"/>
          <w:szCs w:val="24"/>
          <w:lang w:bidi="he-IL"/>
        </w:rPr>
        <w:t xml:space="preserve"> </w:t>
      </w:r>
      <w:r w:rsidR="00AC02D0" w:rsidRPr="00736DCB">
        <w:rPr>
          <w:rFonts w:ascii="Times New Roman" w:hAnsi="Times New Roman" w:cs="Times New Roman"/>
          <w:sz w:val="24"/>
          <w:szCs w:val="24"/>
          <w:lang w:val="en-GB" w:bidi="he-IL"/>
        </w:rPr>
        <w:t xml:space="preserve"> Supervision of professional lobbying activity</w:t>
      </w:r>
    </w:p>
    <w:p w14:paraId="3271CAC5" w14:textId="1E309ADC" w:rsidR="00870BA7" w:rsidRPr="00991787" w:rsidRDefault="00AC02D0" w:rsidP="00CB5DD2">
      <w:pPr>
        <w:ind w:firstLine="708"/>
        <w:jc w:val="both"/>
        <w:rPr>
          <w:szCs w:val="24"/>
          <w:lang w:val="en-US" w:bidi="he-IL"/>
        </w:rPr>
      </w:pPr>
      <w:r w:rsidRPr="00736DCB">
        <w:rPr>
          <w:szCs w:val="24"/>
          <w:lang w:val="en-GB" w:bidi="he-IL"/>
        </w:rPr>
        <w:t>The following elements comprise the supervision of professional lobbying activity:</w:t>
      </w:r>
    </w:p>
    <w:p w14:paraId="527CC035" w14:textId="33A766B8" w:rsidR="00327B93" w:rsidRPr="00991787" w:rsidRDefault="00AC02D0" w:rsidP="00CB5DD2">
      <w:pPr>
        <w:pStyle w:val="ListParagraph"/>
        <w:numPr>
          <w:ilvl w:val="0"/>
          <w:numId w:val="13"/>
        </w:numPr>
        <w:jc w:val="both"/>
        <w:rPr>
          <w:szCs w:val="24"/>
          <w:lang w:val="en-US" w:bidi="he-IL"/>
        </w:rPr>
      </w:pPr>
      <w:r w:rsidRPr="00736DCB">
        <w:rPr>
          <w:szCs w:val="24"/>
          <w:lang w:val="en-GB" w:bidi="he-IL"/>
        </w:rPr>
        <w:t xml:space="preserve">public authority bodies have the obligation to immediately publish information </w:t>
      </w:r>
      <w:r w:rsidR="00AF2D9C" w:rsidRPr="00736DCB">
        <w:rPr>
          <w:szCs w:val="24"/>
          <w:lang w:val="en-GB" w:bidi="he-IL"/>
        </w:rPr>
        <w:t>in the Public Information Bulletin</w:t>
      </w:r>
      <w:r w:rsidR="0069256F" w:rsidRPr="00736DCB">
        <w:rPr>
          <w:szCs w:val="24"/>
          <w:lang w:val="en-GB" w:bidi="he-IL"/>
        </w:rPr>
        <w:t xml:space="preserve"> </w:t>
      </w:r>
      <w:r w:rsidRPr="00736DCB">
        <w:rPr>
          <w:szCs w:val="24"/>
          <w:lang w:val="en-GB" w:bidi="he-IL"/>
        </w:rPr>
        <w:t xml:space="preserve">on any actions </w:t>
      </w:r>
      <w:r w:rsidR="005D6911">
        <w:rPr>
          <w:szCs w:val="24"/>
          <w:lang w:val="en-GB" w:bidi="he-IL"/>
        </w:rPr>
        <w:t xml:space="preserve">towards </w:t>
      </w:r>
      <w:r w:rsidRPr="00736DCB">
        <w:rPr>
          <w:szCs w:val="24"/>
          <w:lang w:val="en-GB" w:bidi="he-IL"/>
        </w:rPr>
        <w:t xml:space="preserve">them and </w:t>
      </w:r>
      <w:r w:rsidR="00AF2D9C" w:rsidRPr="00736DCB">
        <w:rPr>
          <w:szCs w:val="24"/>
          <w:lang w:val="en-GB" w:bidi="he-IL"/>
        </w:rPr>
        <w:t xml:space="preserve">on </w:t>
      </w:r>
      <w:r w:rsidRPr="00736DCB">
        <w:rPr>
          <w:szCs w:val="24"/>
          <w:lang w:val="en-GB" w:bidi="he-IL"/>
        </w:rPr>
        <w:t xml:space="preserve">the </w:t>
      </w:r>
      <w:r w:rsidR="000B3D1F" w:rsidRPr="00736DCB">
        <w:rPr>
          <w:szCs w:val="24"/>
          <w:lang w:val="en-GB" w:bidi="he-IL"/>
        </w:rPr>
        <w:t xml:space="preserve">outcome </w:t>
      </w:r>
      <w:r w:rsidRPr="00736DCB">
        <w:rPr>
          <w:szCs w:val="24"/>
          <w:lang w:val="en-GB" w:bidi="he-IL"/>
        </w:rPr>
        <w:t>expected by lobbyists,</w:t>
      </w:r>
      <w:r w:rsidR="00870BA7" w:rsidRPr="00991787">
        <w:rPr>
          <w:szCs w:val="24"/>
          <w:lang w:val="en-US" w:bidi="he-IL"/>
        </w:rPr>
        <w:t xml:space="preserve"> </w:t>
      </w:r>
    </w:p>
    <w:p w14:paraId="16E68686" w14:textId="701563EB" w:rsidR="00870BA7" w:rsidRPr="00991787" w:rsidRDefault="009E25FF" w:rsidP="00CB5DD2">
      <w:pPr>
        <w:pStyle w:val="ListParagraph"/>
        <w:numPr>
          <w:ilvl w:val="0"/>
          <w:numId w:val="13"/>
        </w:numPr>
        <w:jc w:val="both"/>
        <w:rPr>
          <w:szCs w:val="24"/>
          <w:lang w:val="en-US" w:bidi="he-IL"/>
        </w:rPr>
      </w:pPr>
      <w:r w:rsidRPr="00736DCB">
        <w:rPr>
          <w:szCs w:val="24"/>
          <w:lang w:val="en-GB" w:bidi="he-IL"/>
        </w:rPr>
        <w:t xml:space="preserve">orders or internally binding </w:t>
      </w:r>
      <w:r w:rsidR="0069256F" w:rsidRPr="00736DCB">
        <w:rPr>
          <w:szCs w:val="24"/>
          <w:lang w:val="en-GB" w:bidi="he-IL"/>
        </w:rPr>
        <w:t xml:space="preserve">regulations </w:t>
      </w:r>
      <w:r w:rsidRPr="00736DCB">
        <w:rPr>
          <w:szCs w:val="24"/>
          <w:lang w:val="en-GB" w:bidi="he-IL"/>
        </w:rPr>
        <w:t xml:space="preserve">have to stipulate the nature of </w:t>
      </w:r>
      <w:r w:rsidR="0069256F" w:rsidRPr="00736DCB">
        <w:rPr>
          <w:szCs w:val="24"/>
          <w:lang w:val="en-GB" w:bidi="he-IL"/>
        </w:rPr>
        <w:t xml:space="preserve">relations </w:t>
      </w:r>
      <w:r w:rsidRPr="00736DCB">
        <w:rPr>
          <w:szCs w:val="24"/>
          <w:lang w:val="en-GB" w:bidi="he-IL"/>
        </w:rPr>
        <w:t>between lobbyists and public authority bodies as well as the manner of documenting such contacts,</w:t>
      </w:r>
    </w:p>
    <w:p w14:paraId="24C39148" w14:textId="48C450FA" w:rsidR="00870BA7" w:rsidRPr="00991787" w:rsidRDefault="009E25FF" w:rsidP="00CB5DD2">
      <w:pPr>
        <w:pStyle w:val="ListParagraph"/>
        <w:numPr>
          <w:ilvl w:val="0"/>
          <w:numId w:val="13"/>
        </w:numPr>
        <w:jc w:val="both"/>
        <w:rPr>
          <w:szCs w:val="24"/>
          <w:lang w:val="en-US" w:bidi="he-IL"/>
        </w:rPr>
      </w:pPr>
      <w:r w:rsidRPr="00736DCB">
        <w:rPr>
          <w:szCs w:val="24"/>
          <w:lang w:val="en-GB" w:bidi="he-IL"/>
        </w:rPr>
        <w:t xml:space="preserve">orders or internally binding </w:t>
      </w:r>
      <w:r w:rsidR="0069256F" w:rsidRPr="00736DCB">
        <w:rPr>
          <w:szCs w:val="24"/>
          <w:lang w:val="en-GB" w:bidi="he-IL"/>
        </w:rPr>
        <w:t xml:space="preserve">regulations </w:t>
      </w:r>
      <w:r w:rsidRPr="00736DCB">
        <w:rPr>
          <w:szCs w:val="24"/>
          <w:lang w:val="en-GB" w:bidi="he-IL"/>
        </w:rPr>
        <w:t xml:space="preserve">have to stipulate the </w:t>
      </w:r>
      <w:r w:rsidR="0069256F" w:rsidRPr="00736DCB">
        <w:rPr>
          <w:szCs w:val="24"/>
          <w:lang w:val="en-GB" w:bidi="he-IL"/>
        </w:rPr>
        <w:t>procedures to deal with</w:t>
      </w:r>
      <w:r w:rsidRPr="00736DCB">
        <w:rPr>
          <w:szCs w:val="24"/>
          <w:lang w:val="en-GB" w:bidi="he-IL"/>
        </w:rPr>
        <w:t xml:space="preserve"> unregistered </w:t>
      </w:r>
      <w:r w:rsidR="0069256F" w:rsidRPr="00736DCB">
        <w:rPr>
          <w:szCs w:val="24"/>
          <w:lang w:val="en-GB" w:bidi="he-IL"/>
        </w:rPr>
        <w:t xml:space="preserve">operators </w:t>
      </w:r>
      <w:r w:rsidRPr="00736DCB">
        <w:rPr>
          <w:szCs w:val="24"/>
          <w:lang w:val="en-GB" w:bidi="he-IL"/>
        </w:rPr>
        <w:t xml:space="preserve">involved in activities </w:t>
      </w:r>
      <w:r w:rsidRPr="005D6911">
        <w:rPr>
          <w:szCs w:val="24"/>
          <w:lang w:val="en-GB" w:bidi="he-IL"/>
        </w:rPr>
        <w:t>comprising</w:t>
      </w:r>
      <w:r w:rsidRPr="00736DCB">
        <w:rPr>
          <w:szCs w:val="24"/>
          <w:lang w:val="en-GB" w:bidi="he-IL"/>
        </w:rPr>
        <w:t xml:space="preserve"> professional lobbying,</w:t>
      </w:r>
      <w:r w:rsidR="00032811" w:rsidRPr="00991787">
        <w:rPr>
          <w:szCs w:val="24"/>
          <w:lang w:val="en-US" w:bidi="he-IL"/>
        </w:rPr>
        <w:t xml:space="preserve"> </w:t>
      </w:r>
    </w:p>
    <w:p w14:paraId="7DA93F62" w14:textId="37BEEB34" w:rsidR="00281EC3" w:rsidRPr="00991787" w:rsidRDefault="009E25FF" w:rsidP="00CB5DD2">
      <w:pPr>
        <w:pStyle w:val="ListParagraph"/>
        <w:numPr>
          <w:ilvl w:val="0"/>
          <w:numId w:val="13"/>
        </w:numPr>
        <w:jc w:val="both"/>
        <w:rPr>
          <w:szCs w:val="24"/>
          <w:lang w:val="en-US" w:bidi="he-IL"/>
        </w:rPr>
      </w:pPr>
      <w:r w:rsidRPr="00736DCB">
        <w:rPr>
          <w:szCs w:val="24"/>
          <w:lang w:val="en-GB" w:bidi="he-IL"/>
        </w:rPr>
        <w:t>the public authority body</w:t>
      </w:r>
      <w:r w:rsidR="0069256F" w:rsidRPr="00736DCB">
        <w:rPr>
          <w:szCs w:val="24"/>
          <w:lang w:val="en-GB" w:bidi="he-IL"/>
        </w:rPr>
        <w:t xml:space="preserve"> has to</w:t>
      </w:r>
      <w:r w:rsidRPr="00736DCB">
        <w:rPr>
          <w:szCs w:val="24"/>
          <w:lang w:val="en-GB" w:bidi="he-IL"/>
        </w:rPr>
        <w:t xml:space="preserve"> immediately inform the Minister of Administration and Digitisation </w:t>
      </w:r>
      <w:r w:rsidR="0069256F" w:rsidRPr="00736DCB">
        <w:rPr>
          <w:szCs w:val="24"/>
          <w:lang w:val="en-GB" w:bidi="he-IL"/>
        </w:rPr>
        <w:t xml:space="preserve">about any </w:t>
      </w:r>
      <w:r w:rsidRPr="00736DCB">
        <w:rPr>
          <w:szCs w:val="24"/>
          <w:lang w:val="en-GB" w:bidi="he-IL"/>
        </w:rPr>
        <w:t xml:space="preserve">professional lobbying activity undertaken without </w:t>
      </w:r>
      <w:r w:rsidR="00CD5425" w:rsidRPr="00736DCB">
        <w:rPr>
          <w:szCs w:val="24"/>
          <w:lang w:val="en-GB" w:bidi="he-IL"/>
        </w:rPr>
        <w:t>entry in the register,</w:t>
      </w:r>
      <w:r w:rsidR="00281EC3" w:rsidRPr="00991787">
        <w:rPr>
          <w:szCs w:val="24"/>
          <w:lang w:val="en-US" w:bidi="he-IL"/>
        </w:rPr>
        <w:t xml:space="preserve"> </w:t>
      </w:r>
    </w:p>
    <w:p w14:paraId="60F196B3" w14:textId="3E7A4796" w:rsidR="00032811" w:rsidRPr="00991787" w:rsidRDefault="00CD5425" w:rsidP="00CB5DD2">
      <w:pPr>
        <w:pStyle w:val="ListParagraph"/>
        <w:numPr>
          <w:ilvl w:val="0"/>
          <w:numId w:val="13"/>
        </w:numPr>
        <w:jc w:val="both"/>
        <w:rPr>
          <w:szCs w:val="24"/>
          <w:lang w:val="en-US" w:bidi="he-IL"/>
        </w:rPr>
      </w:pPr>
      <w:r w:rsidRPr="00736DCB">
        <w:rPr>
          <w:szCs w:val="24"/>
          <w:lang w:val="en-GB" w:bidi="he-IL"/>
        </w:rPr>
        <w:t xml:space="preserve">once a year, heads of offices providing services to public bodies prepare a </w:t>
      </w:r>
      <w:r w:rsidR="0069256F" w:rsidRPr="00736DCB">
        <w:rPr>
          <w:szCs w:val="24"/>
          <w:lang w:val="en-GB" w:bidi="he-IL"/>
        </w:rPr>
        <w:t xml:space="preserve">report </w:t>
      </w:r>
      <w:r w:rsidRPr="00736DCB">
        <w:rPr>
          <w:szCs w:val="24"/>
          <w:lang w:val="en-GB" w:bidi="he-IL"/>
        </w:rPr>
        <w:t xml:space="preserve">on actions </w:t>
      </w:r>
      <w:r w:rsidR="007F2703" w:rsidRPr="00736DCB">
        <w:rPr>
          <w:szCs w:val="24"/>
          <w:lang w:val="en-GB" w:bidi="he-IL"/>
        </w:rPr>
        <w:t>aimed</w:t>
      </w:r>
      <w:r w:rsidRPr="00736DCB">
        <w:rPr>
          <w:szCs w:val="24"/>
          <w:lang w:val="en-GB" w:bidi="he-IL"/>
        </w:rPr>
        <w:t xml:space="preserve"> at such bodies by professional lobbyists</w:t>
      </w:r>
      <w:r w:rsidR="0065585B">
        <w:rPr>
          <w:szCs w:val="24"/>
          <w:lang w:val="en-GB" w:bidi="he-IL"/>
        </w:rPr>
        <w:t>.</w:t>
      </w:r>
    </w:p>
    <w:p w14:paraId="2F2F33DC" w14:textId="761AD2BF" w:rsidR="00271D00" w:rsidRPr="00736DCB" w:rsidRDefault="009B7833" w:rsidP="00CB5DD2">
      <w:pPr>
        <w:pStyle w:val="Heading1"/>
        <w:numPr>
          <w:ilvl w:val="0"/>
          <w:numId w:val="15"/>
        </w:numPr>
        <w:rPr>
          <w:rFonts w:ascii="Times New Roman" w:hAnsi="Times New Roman" w:cs="Times New Roman"/>
          <w:sz w:val="24"/>
          <w:szCs w:val="24"/>
        </w:rPr>
      </w:pPr>
      <w:r w:rsidRPr="00736DCB">
        <w:rPr>
          <w:rFonts w:ascii="Times New Roman" w:hAnsi="Times New Roman" w:cs="Times New Roman"/>
          <w:sz w:val="24"/>
          <w:szCs w:val="24"/>
          <w:lang w:val="en-GB"/>
        </w:rPr>
        <w:t>Parliamentary rules and regulations</w:t>
      </w:r>
    </w:p>
    <w:p w14:paraId="40E548CD" w14:textId="046EDF10" w:rsidR="00A96B0D" w:rsidRPr="00991787" w:rsidRDefault="009B7833" w:rsidP="0065585B">
      <w:pPr>
        <w:ind w:firstLine="851"/>
        <w:jc w:val="both"/>
        <w:rPr>
          <w:lang w:val="en-US"/>
        </w:rPr>
      </w:pPr>
      <w:r w:rsidRPr="00736DCB">
        <w:rPr>
          <w:lang w:val="en-GB"/>
        </w:rPr>
        <w:t>The provisions of parliamentary rules and regulations are complementary to the so</w:t>
      </w:r>
      <w:r w:rsidR="0065585B">
        <w:rPr>
          <w:lang w:val="en-GB"/>
        </w:rPr>
        <w:noBreakHyphen/>
      </w:r>
      <w:r w:rsidRPr="00736DCB">
        <w:rPr>
          <w:lang w:val="en-GB"/>
        </w:rPr>
        <w:t>called Lobbying Act.</w:t>
      </w:r>
      <w:r w:rsidR="00A857AD" w:rsidRPr="00991787">
        <w:rPr>
          <w:lang w:val="en-US"/>
        </w:rPr>
        <w:t xml:space="preserve"> </w:t>
      </w:r>
      <w:r w:rsidRPr="00736DCB">
        <w:rPr>
          <w:lang w:val="en-GB"/>
        </w:rPr>
        <w:t>They stipulate the principles of professional lobbying on the premises of the Sejm and Senate.</w:t>
      </w:r>
    </w:p>
    <w:p w14:paraId="3726BE0F" w14:textId="68BFCCC7" w:rsidR="00271D00" w:rsidRPr="00736DCB" w:rsidRDefault="00CC014E" w:rsidP="00CB5DD2">
      <w:pPr>
        <w:pStyle w:val="Heading1"/>
        <w:numPr>
          <w:ilvl w:val="1"/>
          <w:numId w:val="15"/>
        </w:numPr>
        <w:rPr>
          <w:rFonts w:ascii="Times New Roman" w:hAnsi="Times New Roman" w:cs="Times New Roman"/>
          <w:sz w:val="24"/>
          <w:szCs w:val="24"/>
        </w:rPr>
      </w:pPr>
      <w:r w:rsidRPr="00991787">
        <w:rPr>
          <w:rFonts w:ascii="Times New Roman" w:hAnsi="Times New Roman" w:cs="Times New Roman"/>
          <w:sz w:val="24"/>
          <w:szCs w:val="24"/>
          <w:lang w:val="en-US"/>
        </w:rPr>
        <w:t xml:space="preserve"> </w:t>
      </w:r>
      <w:r w:rsidR="00EC6D0C" w:rsidRPr="00736DCB">
        <w:rPr>
          <w:rFonts w:ascii="Times New Roman" w:hAnsi="Times New Roman" w:cs="Times New Roman"/>
          <w:sz w:val="24"/>
          <w:szCs w:val="24"/>
          <w:lang w:val="en-GB"/>
        </w:rPr>
        <w:t>Standing Orders of the Sejm</w:t>
      </w:r>
    </w:p>
    <w:p w14:paraId="64561A44" w14:textId="333E51A0" w:rsidR="00881627" w:rsidRPr="00991787" w:rsidRDefault="00EC6D0C" w:rsidP="00CB5DD2">
      <w:pPr>
        <w:ind w:firstLine="851"/>
        <w:jc w:val="both"/>
        <w:rPr>
          <w:szCs w:val="24"/>
          <w:lang w:val="en-US"/>
        </w:rPr>
      </w:pPr>
      <w:r w:rsidRPr="00736DCB">
        <w:rPr>
          <w:lang w:val="en-GB"/>
        </w:rPr>
        <w:t>The principle</w:t>
      </w:r>
      <w:r w:rsidR="007F2703" w:rsidRPr="00736DCB">
        <w:rPr>
          <w:lang w:val="en-GB"/>
        </w:rPr>
        <w:t>s</w:t>
      </w:r>
      <w:r w:rsidRPr="00736DCB">
        <w:rPr>
          <w:lang w:val="en-GB"/>
        </w:rPr>
        <w:t xml:space="preserve"> of open lobbying in the law-making process (apart from the above-mentioned institution of the “public hearing</w:t>
      </w:r>
      <w:r w:rsidR="007F2703" w:rsidRPr="00736DCB">
        <w:rPr>
          <w:lang w:val="en-GB"/>
        </w:rPr>
        <w:t>”</w:t>
      </w:r>
      <w:r w:rsidRPr="00736DCB">
        <w:rPr>
          <w:lang w:val="en-GB"/>
        </w:rPr>
        <w:t xml:space="preserve">) </w:t>
      </w:r>
      <w:r w:rsidR="007F2703" w:rsidRPr="00736DCB">
        <w:rPr>
          <w:lang w:val="en-GB"/>
        </w:rPr>
        <w:t xml:space="preserve">are </w:t>
      </w:r>
      <w:r w:rsidRPr="00736DCB">
        <w:rPr>
          <w:lang w:val="en-GB"/>
        </w:rPr>
        <w:t>also regulated in Articles 201b–201c of the Standing Orders of the Sejm.</w:t>
      </w:r>
      <w:r w:rsidR="009B2313" w:rsidRPr="00991787">
        <w:rPr>
          <w:lang w:val="en-US"/>
        </w:rPr>
        <w:t xml:space="preserve"> </w:t>
      </w:r>
      <w:r w:rsidRPr="00736DCB">
        <w:rPr>
          <w:lang w:val="en-GB"/>
        </w:rPr>
        <w:t>Pursuant to the Standing Orders, a</w:t>
      </w:r>
      <w:r w:rsidR="0069256F" w:rsidRPr="00736DCB">
        <w:rPr>
          <w:lang w:val="en-GB"/>
        </w:rPr>
        <w:t>ny</w:t>
      </w:r>
      <w:r w:rsidRPr="00736DCB">
        <w:rPr>
          <w:lang w:val="en-GB"/>
        </w:rPr>
        <w:t xml:space="preserve"> professional lobbyist and </w:t>
      </w:r>
      <w:r w:rsidRPr="00736DCB">
        <w:rPr>
          <w:lang w:val="en-GB"/>
        </w:rPr>
        <w:lastRenderedPageBreak/>
        <w:t>a</w:t>
      </w:r>
      <w:r w:rsidR="0069256F" w:rsidRPr="00736DCB">
        <w:rPr>
          <w:lang w:val="en-GB"/>
        </w:rPr>
        <w:t>ny</w:t>
      </w:r>
      <w:r w:rsidRPr="00736DCB">
        <w:rPr>
          <w:lang w:val="en-GB"/>
        </w:rPr>
        <w:t xml:space="preserve"> person authorised to represent an entity involved in professional lobbying are entitled to enter parliamentary buildings.</w:t>
      </w:r>
      <w:r w:rsidR="00B759CA" w:rsidRPr="00991787">
        <w:rPr>
          <w:szCs w:val="24"/>
          <w:lang w:val="en-US"/>
        </w:rPr>
        <w:t xml:space="preserve"> </w:t>
      </w:r>
      <w:r w:rsidRPr="00736DCB">
        <w:rPr>
          <w:szCs w:val="24"/>
          <w:lang w:val="en-GB"/>
        </w:rPr>
        <w:t>The document authorising lobbyists to enter parliamentary premises is a temporary entry card issued by the Chancellery of the Sejm based on an application submitted by the lobbyist.</w:t>
      </w:r>
      <w:r w:rsidR="00CE489C" w:rsidRPr="00991787">
        <w:rPr>
          <w:szCs w:val="24"/>
          <w:lang w:val="en-US"/>
        </w:rPr>
        <w:t xml:space="preserve"> </w:t>
      </w:r>
      <w:r w:rsidRPr="00736DCB">
        <w:rPr>
          <w:szCs w:val="24"/>
          <w:lang w:val="en-GB"/>
        </w:rPr>
        <w:t>The application is filed on an official form and contains data o</w:t>
      </w:r>
      <w:r w:rsidR="0069256F" w:rsidRPr="00736DCB">
        <w:rPr>
          <w:szCs w:val="24"/>
          <w:lang w:val="en-GB"/>
        </w:rPr>
        <w:t>f</w:t>
      </w:r>
      <w:r w:rsidRPr="00736DCB">
        <w:rPr>
          <w:szCs w:val="24"/>
          <w:lang w:val="en-GB"/>
        </w:rPr>
        <w:t xml:space="preserve"> the </w:t>
      </w:r>
      <w:r w:rsidR="0069256F" w:rsidRPr="00736DCB">
        <w:rPr>
          <w:szCs w:val="24"/>
          <w:lang w:val="en-GB"/>
        </w:rPr>
        <w:t xml:space="preserve">operator </w:t>
      </w:r>
      <w:r w:rsidRPr="00736DCB">
        <w:rPr>
          <w:szCs w:val="24"/>
          <w:lang w:val="en-GB"/>
        </w:rPr>
        <w:t>involved in professional lobbying.</w:t>
      </w:r>
      <w:r w:rsidR="00297CEE" w:rsidRPr="00991787">
        <w:rPr>
          <w:szCs w:val="24"/>
          <w:lang w:val="en-US"/>
        </w:rPr>
        <w:t xml:space="preserve"> </w:t>
      </w:r>
    </w:p>
    <w:p w14:paraId="563A9438" w14:textId="179A03B4" w:rsidR="00CC014E" w:rsidRPr="00991787" w:rsidRDefault="00EC6D0C" w:rsidP="00CB5DD2">
      <w:pPr>
        <w:ind w:firstLine="851"/>
        <w:jc w:val="both"/>
        <w:rPr>
          <w:szCs w:val="24"/>
          <w:lang w:val="en-US"/>
        </w:rPr>
      </w:pPr>
      <w:r w:rsidRPr="00736DCB">
        <w:rPr>
          <w:szCs w:val="24"/>
          <w:lang w:val="en-GB"/>
        </w:rPr>
        <w:t xml:space="preserve">The Standing Orders of the Sejm </w:t>
      </w:r>
      <w:r w:rsidR="008D022A" w:rsidRPr="00736DCB">
        <w:rPr>
          <w:szCs w:val="24"/>
          <w:lang w:val="en-GB"/>
        </w:rPr>
        <w:t>provide for a possibility to submit proposed legal solutions, expert opinions and legal opinions only to the committee examining the given bill or to the committee competent in terms of remit.</w:t>
      </w:r>
      <w:r w:rsidR="00297CEE" w:rsidRPr="00991787">
        <w:rPr>
          <w:szCs w:val="24"/>
          <w:lang w:val="en-US"/>
        </w:rPr>
        <w:t xml:space="preserve"> </w:t>
      </w:r>
    </w:p>
    <w:p w14:paraId="2055094E" w14:textId="57D24FD5" w:rsidR="00297CEE" w:rsidRPr="00991787" w:rsidRDefault="008D022A" w:rsidP="00CB5DD2">
      <w:pPr>
        <w:ind w:firstLine="851"/>
        <w:jc w:val="both"/>
        <w:rPr>
          <w:szCs w:val="24"/>
          <w:lang w:val="en-US"/>
        </w:rPr>
      </w:pPr>
      <w:r w:rsidRPr="00736DCB">
        <w:rPr>
          <w:szCs w:val="24"/>
          <w:lang w:val="en-GB"/>
        </w:rPr>
        <w:t xml:space="preserve">The data contained in the application filed to obtain an entry card </w:t>
      </w:r>
      <w:r w:rsidR="0069256F" w:rsidRPr="00736DCB">
        <w:rPr>
          <w:szCs w:val="24"/>
          <w:lang w:val="en-GB"/>
        </w:rPr>
        <w:t xml:space="preserve">as well as </w:t>
      </w:r>
      <w:r w:rsidRPr="00736DCB">
        <w:rPr>
          <w:szCs w:val="24"/>
          <w:lang w:val="en-GB"/>
        </w:rPr>
        <w:t>all documents filed with the committee are published in the Sejm Information System.</w:t>
      </w:r>
    </w:p>
    <w:p w14:paraId="7952AA75" w14:textId="2F327161" w:rsidR="00271D00" w:rsidRPr="00991787" w:rsidRDefault="00CC613A" w:rsidP="00CB5DD2">
      <w:pPr>
        <w:pStyle w:val="Heading1"/>
        <w:numPr>
          <w:ilvl w:val="1"/>
          <w:numId w:val="15"/>
        </w:numPr>
        <w:rPr>
          <w:rFonts w:ascii="Times New Roman" w:hAnsi="Times New Roman" w:cs="Times New Roman"/>
          <w:sz w:val="24"/>
          <w:szCs w:val="24"/>
          <w:lang w:val="en-US"/>
        </w:rPr>
      </w:pPr>
      <w:r>
        <w:rPr>
          <w:rFonts w:ascii="Times New Roman" w:hAnsi="Times New Roman" w:cs="Times New Roman"/>
          <w:sz w:val="24"/>
          <w:szCs w:val="24"/>
          <w:lang w:val="en-GB"/>
        </w:rPr>
        <w:t xml:space="preserve"> </w:t>
      </w:r>
      <w:r w:rsidR="008D022A" w:rsidRPr="00736DCB">
        <w:rPr>
          <w:rFonts w:ascii="Times New Roman" w:hAnsi="Times New Roman" w:cs="Times New Roman"/>
          <w:sz w:val="24"/>
          <w:szCs w:val="24"/>
          <w:lang w:val="en-GB"/>
        </w:rPr>
        <w:t>Rules and Regulations of the Senate</w:t>
      </w:r>
    </w:p>
    <w:p w14:paraId="73624263" w14:textId="10DC5D5E" w:rsidR="002947E9" w:rsidRPr="00991787" w:rsidRDefault="008D022A" w:rsidP="00CB5DD2">
      <w:pPr>
        <w:ind w:firstLine="851"/>
        <w:jc w:val="both"/>
        <w:rPr>
          <w:lang w:val="en-US"/>
        </w:rPr>
      </w:pPr>
      <w:r w:rsidRPr="00736DCB">
        <w:rPr>
          <w:lang w:val="en-GB"/>
        </w:rPr>
        <w:t xml:space="preserve">The detailed legal basis of lobbying activity in the Senate </w:t>
      </w:r>
      <w:r w:rsidR="0069256F" w:rsidRPr="00736DCB">
        <w:rPr>
          <w:lang w:val="en-GB"/>
        </w:rPr>
        <w:t xml:space="preserve">is </w:t>
      </w:r>
      <w:r w:rsidRPr="00736DCB">
        <w:rPr>
          <w:lang w:val="en-GB"/>
        </w:rPr>
        <w:t xml:space="preserve">laid down in the Rules and Regulations of the Senate and </w:t>
      </w:r>
      <w:r w:rsidR="0069256F" w:rsidRPr="00736DCB">
        <w:rPr>
          <w:lang w:val="en-GB"/>
        </w:rPr>
        <w:t xml:space="preserve">in the </w:t>
      </w:r>
      <w:r w:rsidRPr="00736DCB">
        <w:rPr>
          <w:lang w:val="en-GB"/>
        </w:rPr>
        <w:t>Order of the Marshal of the Senate on the principles of participating in Senate sessions and Senate committee meetings.</w:t>
      </w:r>
      <w:r w:rsidR="00172BC7" w:rsidRPr="00991787">
        <w:rPr>
          <w:lang w:val="en-US"/>
        </w:rPr>
        <w:t xml:space="preserve"> </w:t>
      </w:r>
      <w:r w:rsidRPr="00736DCB">
        <w:rPr>
          <w:lang w:val="en-GB"/>
        </w:rPr>
        <w:t xml:space="preserve">In the Senate, professional lobbyists may take part in </w:t>
      </w:r>
      <w:r w:rsidR="009E25FF" w:rsidRPr="00736DCB">
        <w:rPr>
          <w:lang w:val="en-GB"/>
        </w:rPr>
        <w:t>committee meetings devoted to acts or bills and propose expected legislative solutions.</w:t>
      </w:r>
      <w:r w:rsidR="00172BC7" w:rsidRPr="00991787">
        <w:rPr>
          <w:lang w:val="en-US"/>
        </w:rPr>
        <w:t xml:space="preserve"> </w:t>
      </w:r>
      <w:r w:rsidR="009E25FF" w:rsidRPr="00736DCB">
        <w:rPr>
          <w:szCs w:val="24"/>
          <w:lang w:val="en-GB"/>
        </w:rPr>
        <w:t>Lobbyists interested in taking part in a Senate committee meeting devoted to a public hearing have to notify their participation at least 7 days before the public hearing day.</w:t>
      </w:r>
      <w:r w:rsidR="002947E9" w:rsidRPr="00991787">
        <w:rPr>
          <w:szCs w:val="24"/>
          <w:lang w:val="en-US"/>
        </w:rPr>
        <w:t xml:space="preserve"> </w:t>
      </w:r>
      <w:r w:rsidR="009E25FF" w:rsidRPr="00736DCB">
        <w:rPr>
          <w:szCs w:val="24"/>
          <w:lang w:val="en-GB"/>
        </w:rPr>
        <w:t>The committee rapporteur presents a</w:t>
      </w:r>
      <w:r w:rsidR="007F2703" w:rsidRPr="00736DCB">
        <w:rPr>
          <w:szCs w:val="24"/>
          <w:lang w:val="en-GB"/>
        </w:rPr>
        <w:t xml:space="preserve"> </w:t>
      </w:r>
      <w:r w:rsidR="00844D6A" w:rsidRPr="00736DCB">
        <w:rPr>
          <w:szCs w:val="24"/>
          <w:lang w:val="en-GB"/>
        </w:rPr>
        <w:t xml:space="preserve">report </w:t>
      </w:r>
      <w:r w:rsidR="009E25FF" w:rsidRPr="00736DCB">
        <w:rPr>
          <w:szCs w:val="24"/>
          <w:lang w:val="en-GB"/>
        </w:rPr>
        <w:t xml:space="preserve">on the </w:t>
      </w:r>
      <w:r w:rsidR="00844D6A" w:rsidRPr="00736DCB">
        <w:rPr>
          <w:szCs w:val="24"/>
          <w:lang w:val="en-GB"/>
        </w:rPr>
        <w:t>activities of operators</w:t>
      </w:r>
      <w:r w:rsidR="009E25FF" w:rsidRPr="00736DCB">
        <w:rPr>
          <w:szCs w:val="24"/>
          <w:lang w:val="en-GB"/>
        </w:rPr>
        <w:t xml:space="preserve"> involved in professional lobbying during </w:t>
      </w:r>
      <w:r w:rsidR="00844D6A" w:rsidRPr="00736DCB">
        <w:rPr>
          <w:szCs w:val="24"/>
          <w:lang w:val="en-GB"/>
        </w:rPr>
        <w:t xml:space="preserve">the </w:t>
      </w:r>
      <w:r w:rsidR="009E25FF" w:rsidRPr="00736DCB">
        <w:rPr>
          <w:szCs w:val="24"/>
          <w:lang w:val="en-GB"/>
        </w:rPr>
        <w:t>committee work as well as the expected legal solution they wish to achieve and the committee’s position in that respect.</w:t>
      </w:r>
      <w:r w:rsidR="00E82C7A" w:rsidRPr="00991787">
        <w:rPr>
          <w:szCs w:val="24"/>
          <w:lang w:val="en-US"/>
        </w:rPr>
        <w:t xml:space="preserve"> </w:t>
      </w:r>
    </w:p>
    <w:p w14:paraId="1B99C1C9" w14:textId="64FC2F1A" w:rsidR="00C47008" w:rsidRPr="008860D7" w:rsidRDefault="006259AF" w:rsidP="00CB5DD2">
      <w:pPr>
        <w:pStyle w:val="Heading1"/>
        <w:numPr>
          <w:ilvl w:val="0"/>
          <w:numId w:val="15"/>
        </w:numPr>
        <w:rPr>
          <w:rFonts w:ascii="Times New Roman" w:hAnsi="Times New Roman" w:cs="Times New Roman"/>
          <w:sz w:val="24"/>
          <w:szCs w:val="24"/>
        </w:rPr>
      </w:pPr>
      <w:r w:rsidRPr="00991787">
        <w:rPr>
          <w:lang w:val="en-US"/>
        </w:rPr>
        <w:t xml:space="preserve"> </w:t>
      </w:r>
      <w:r w:rsidR="00A53D51" w:rsidRPr="008860D7">
        <w:rPr>
          <w:rFonts w:ascii="Times New Roman" w:hAnsi="Times New Roman" w:cs="Times New Roman"/>
          <w:sz w:val="24"/>
          <w:szCs w:val="24"/>
          <w:lang w:val="en-GB"/>
        </w:rPr>
        <w:t>Statistics</w:t>
      </w:r>
    </w:p>
    <w:p w14:paraId="74ABEC32" w14:textId="31D5DCCF" w:rsidR="003529E4" w:rsidRPr="00991787" w:rsidRDefault="00A53D51" w:rsidP="00CB5DD2">
      <w:pPr>
        <w:ind w:firstLine="851"/>
        <w:jc w:val="both"/>
        <w:rPr>
          <w:szCs w:val="24"/>
          <w:lang w:val="en-US"/>
        </w:rPr>
      </w:pPr>
      <w:r w:rsidRPr="00736DCB">
        <w:rPr>
          <w:szCs w:val="24"/>
          <w:lang w:val="en-GB"/>
        </w:rPr>
        <w:t xml:space="preserve">The register of professional lobbying </w:t>
      </w:r>
      <w:r w:rsidR="00844D6A" w:rsidRPr="00736DCB">
        <w:rPr>
          <w:szCs w:val="24"/>
          <w:lang w:val="en-GB"/>
        </w:rPr>
        <w:t xml:space="preserve">operators </w:t>
      </w:r>
      <w:r w:rsidRPr="00736DCB">
        <w:rPr>
          <w:szCs w:val="24"/>
          <w:lang w:val="en-GB"/>
        </w:rPr>
        <w:t xml:space="preserve">contains </w:t>
      </w:r>
      <w:r w:rsidR="00844D6A" w:rsidRPr="00736DCB">
        <w:rPr>
          <w:szCs w:val="24"/>
          <w:lang w:val="en-GB"/>
        </w:rPr>
        <w:t xml:space="preserve">310 </w:t>
      </w:r>
      <w:r w:rsidRPr="00736DCB">
        <w:rPr>
          <w:szCs w:val="24"/>
          <w:lang w:val="en-GB"/>
        </w:rPr>
        <w:t>entries (as at 25 February 2015).</w:t>
      </w:r>
      <w:r w:rsidR="00025A8A" w:rsidRPr="00991787">
        <w:rPr>
          <w:szCs w:val="24"/>
          <w:lang w:val="en-US"/>
        </w:rPr>
        <w:t xml:space="preserve"> </w:t>
      </w:r>
      <w:r w:rsidRPr="00736DCB">
        <w:rPr>
          <w:szCs w:val="24"/>
          <w:lang w:val="en-GB"/>
        </w:rPr>
        <w:t xml:space="preserve">By comparison: as at 11 May 2006, there were 47 such </w:t>
      </w:r>
      <w:r w:rsidR="00844D6A" w:rsidRPr="00736DCB">
        <w:rPr>
          <w:szCs w:val="24"/>
          <w:lang w:val="en-GB"/>
        </w:rPr>
        <w:t xml:space="preserve">operators </w:t>
      </w:r>
      <w:r w:rsidRPr="00736DCB">
        <w:rPr>
          <w:szCs w:val="24"/>
          <w:lang w:val="en-GB"/>
        </w:rPr>
        <w:t xml:space="preserve">and as at 7 March 2010 (exactly four years since the Act </w:t>
      </w:r>
      <w:r w:rsidR="00844D6A" w:rsidRPr="00736DCB">
        <w:rPr>
          <w:szCs w:val="24"/>
          <w:lang w:val="en-GB"/>
        </w:rPr>
        <w:t xml:space="preserve">had </w:t>
      </w:r>
      <w:r w:rsidRPr="00736DCB">
        <w:rPr>
          <w:szCs w:val="24"/>
          <w:lang w:val="en-GB"/>
        </w:rPr>
        <w:t xml:space="preserve">entered into force) – 152 such </w:t>
      </w:r>
      <w:r w:rsidR="00844D6A" w:rsidRPr="00736DCB">
        <w:rPr>
          <w:szCs w:val="24"/>
          <w:lang w:val="en-GB"/>
        </w:rPr>
        <w:t>operators</w:t>
      </w:r>
      <w:r w:rsidRPr="00736DCB">
        <w:rPr>
          <w:szCs w:val="24"/>
          <w:lang w:val="en-GB"/>
        </w:rPr>
        <w:t>.</w:t>
      </w:r>
      <w:r w:rsidR="003B0EC7" w:rsidRPr="00991787">
        <w:rPr>
          <w:szCs w:val="24"/>
          <w:lang w:val="en-US"/>
        </w:rPr>
        <w:t xml:space="preserve">  </w:t>
      </w:r>
      <w:r w:rsidRPr="00736DCB">
        <w:rPr>
          <w:szCs w:val="24"/>
          <w:lang w:val="en-GB"/>
        </w:rPr>
        <w:t>Since March 2006</w:t>
      </w:r>
      <w:r w:rsidR="007F2703" w:rsidRPr="00736DCB">
        <w:rPr>
          <w:szCs w:val="24"/>
          <w:lang w:val="en-GB"/>
        </w:rPr>
        <w:t>,</w:t>
      </w:r>
      <w:r w:rsidRPr="00736DCB">
        <w:rPr>
          <w:szCs w:val="24"/>
          <w:lang w:val="en-GB"/>
        </w:rPr>
        <w:t xml:space="preserve"> 16 </w:t>
      </w:r>
      <w:r w:rsidR="00844D6A" w:rsidRPr="00736DCB">
        <w:rPr>
          <w:szCs w:val="24"/>
          <w:lang w:val="en-GB"/>
        </w:rPr>
        <w:t xml:space="preserve">operators </w:t>
      </w:r>
      <w:r w:rsidR="007F2703" w:rsidRPr="00736DCB">
        <w:rPr>
          <w:szCs w:val="24"/>
          <w:lang w:val="en-GB"/>
        </w:rPr>
        <w:t xml:space="preserve">have </w:t>
      </w:r>
      <w:r w:rsidRPr="00736DCB">
        <w:rPr>
          <w:szCs w:val="24"/>
          <w:lang w:val="en-GB"/>
        </w:rPr>
        <w:t xml:space="preserve">signed themselves off, but no </w:t>
      </w:r>
      <w:r w:rsidR="00844D6A" w:rsidRPr="00736DCB">
        <w:rPr>
          <w:szCs w:val="24"/>
          <w:lang w:val="en-GB"/>
        </w:rPr>
        <w:t xml:space="preserve">operator has been </w:t>
      </w:r>
      <w:r w:rsidRPr="00736DCB">
        <w:rPr>
          <w:szCs w:val="24"/>
          <w:lang w:val="en-GB"/>
        </w:rPr>
        <w:t>signed off based on a binding ruling prohibiting the exercise of professional lobbying.</w:t>
      </w:r>
      <w:r w:rsidR="00025A8A" w:rsidRPr="00991787">
        <w:rPr>
          <w:szCs w:val="24"/>
          <w:lang w:val="en-US"/>
        </w:rPr>
        <w:t xml:space="preserve"> </w:t>
      </w:r>
    </w:p>
    <w:p w14:paraId="02913281" w14:textId="77777777" w:rsidR="00E82C7A" w:rsidRPr="00991787" w:rsidRDefault="00E82C7A" w:rsidP="00CC014E">
      <w:pPr>
        <w:ind w:firstLine="851"/>
        <w:jc w:val="both"/>
        <w:rPr>
          <w:szCs w:val="24"/>
          <w:lang w:val="en-US"/>
        </w:rPr>
      </w:pPr>
    </w:p>
    <w:p w14:paraId="174B278D" w14:textId="22E18DAA" w:rsidR="009D70F3" w:rsidRPr="00991787" w:rsidRDefault="00A53D51" w:rsidP="00CB5DD2">
      <w:pPr>
        <w:ind w:firstLine="851"/>
        <w:jc w:val="both"/>
        <w:rPr>
          <w:szCs w:val="24"/>
          <w:lang w:val="en-US"/>
        </w:rPr>
      </w:pPr>
      <w:r w:rsidRPr="00736DCB">
        <w:rPr>
          <w:szCs w:val="24"/>
          <w:lang w:val="en-GB"/>
        </w:rPr>
        <w:t>In 2014, 35 lobbyists were involved in professional lobbying on parliamentary premises.</w:t>
      </w:r>
    </w:p>
    <w:p w14:paraId="393917E7" w14:textId="46235B63" w:rsidR="00E82C7A" w:rsidRPr="00991787" w:rsidRDefault="00A53D51" w:rsidP="00CB5DD2">
      <w:pPr>
        <w:ind w:firstLine="851"/>
        <w:jc w:val="both"/>
        <w:rPr>
          <w:szCs w:val="24"/>
          <w:lang w:val="en-US"/>
        </w:rPr>
      </w:pPr>
      <w:r w:rsidRPr="00736DCB">
        <w:rPr>
          <w:szCs w:val="24"/>
          <w:lang w:val="en-GB"/>
        </w:rPr>
        <w:t xml:space="preserve">In 2014, out of the total number of 304 entities entered in the register, 22 </w:t>
      </w:r>
      <w:r w:rsidR="00844D6A" w:rsidRPr="00736DCB">
        <w:rPr>
          <w:szCs w:val="24"/>
          <w:lang w:val="en-GB"/>
        </w:rPr>
        <w:t xml:space="preserve">operators </w:t>
      </w:r>
      <w:r w:rsidRPr="00736DCB">
        <w:rPr>
          <w:szCs w:val="24"/>
          <w:lang w:val="en-GB"/>
        </w:rPr>
        <w:t xml:space="preserve">declared taking actions </w:t>
      </w:r>
      <w:r w:rsidR="007F2703" w:rsidRPr="00736DCB">
        <w:rPr>
          <w:szCs w:val="24"/>
          <w:lang w:val="en-GB"/>
        </w:rPr>
        <w:t>aimed</w:t>
      </w:r>
      <w:r w:rsidRPr="00736DCB">
        <w:rPr>
          <w:szCs w:val="24"/>
          <w:lang w:val="en-GB"/>
        </w:rPr>
        <w:t xml:space="preserve"> at the Sejm.</w:t>
      </w:r>
      <w:r w:rsidR="00E82C7A" w:rsidRPr="00991787">
        <w:rPr>
          <w:szCs w:val="24"/>
          <w:lang w:val="en-US"/>
        </w:rPr>
        <w:t xml:space="preserve"> </w:t>
      </w:r>
      <w:r w:rsidR="00F23A3C" w:rsidRPr="00736DCB">
        <w:rPr>
          <w:szCs w:val="24"/>
          <w:lang w:val="en-GB"/>
        </w:rPr>
        <w:t xml:space="preserve">In total, 9 professional lobbyists participated in 31 </w:t>
      </w:r>
      <w:r w:rsidR="00DD37A3" w:rsidRPr="00736DCB">
        <w:rPr>
          <w:szCs w:val="24"/>
          <w:lang w:val="en-GB"/>
        </w:rPr>
        <w:lastRenderedPageBreak/>
        <w:t>meetings</w:t>
      </w:r>
      <w:r w:rsidR="00F23A3C" w:rsidRPr="00736DCB">
        <w:rPr>
          <w:szCs w:val="24"/>
          <w:lang w:val="en-GB"/>
        </w:rPr>
        <w:t xml:space="preserve"> of Sejm committees:</w:t>
      </w:r>
      <w:r w:rsidR="00E82C7A" w:rsidRPr="00991787">
        <w:rPr>
          <w:szCs w:val="24"/>
          <w:lang w:val="en-US"/>
        </w:rPr>
        <w:t xml:space="preserve"> </w:t>
      </w:r>
      <w:r w:rsidR="00F23A3C" w:rsidRPr="00736DCB">
        <w:rPr>
          <w:szCs w:val="24"/>
          <w:lang w:val="en-GB"/>
        </w:rPr>
        <w:t xml:space="preserve">Health Committee (21 </w:t>
      </w:r>
      <w:r w:rsidR="00DD37A3" w:rsidRPr="00736DCB">
        <w:rPr>
          <w:szCs w:val="24"/>
          <w:lang w:val="en-GB"/>
        </w:rPr>
        <w:t xml:space="preserve">meetings), </w:t>
      </w:r>
      <w:r w:rsidR="008A1FBA" w:rsidRPr="00736DCB">
        <w:rPr>
          <w:szCs w:val="24"/>
          <w:lang w:val="en-GB"/>
        </w:rPr>
        <w:t>Economic Committee (4 meetings), Public Finance Committee (1 meeting), Innovation and New Technologies Committee (1 meeting), Select Committee on Energy Matters and Energy-Producing Raw Materials (1 meeting), National Defence Committee (1 meeting), Environmental Protection, Natural Resources and Forestry Committee (1 meeting) and State Treasury Committee (1 meeting).</w:t>
      </w:r>
      <w:r w:rsidR="00E82C7A" w:rsidRPr="00991787">
        <w:rPr>
          <w:szCs w:val="24"/>
          <w:lang w:val="en-US"/>
        </w:rPr>
        <w:t xml:space="preserve"> </w:t>
      </w:r>
    </w:p>
    <w:p w14:paraId="44338A66" w14:textId="0731DC68" w:rsidR="007A46CB" w:rsidRPr="00991787" w:rsidRDefault="00FB76F2" w:rsidP="00CB5DD2">
      <w:pPr>
        <w:ind w:firstLine="851"/>
        <w:jc w:val="both"/>
        <w:rPr>
          <w:szCs w:val="24"/>
          <w:lang w:val="en-US"/>
        </w:rPr>
      </w:pPr>
      <w:r w:rsidRPr="00736DCB">
        <w:rPr>
          <w:szCs w:val="24"/>
          <w:lang w:val="en-GB"/>
        </w:rPr>
        <w:t>In 2014, professional lobbying activity in the Senate was limited to 4 bills.</w:t>
      </w:r>
      <w:r w:rsidR="00CD4E4E" w:rsidRPr="00991787">
        <w:rPr>
          <w:szCs w:val="24"/>
          <w:lang w:val="en-US"/>
        </w:rPr>
        <w:t xml:space="preserve"> </w:t>
      </w:r>
      <w:r w:rsidRPr="00736DCB">
        <w:rPr>
          <w:szCs w:val="24"/>
          <w:lang w:val="en-GB"/>
        </w:rPr>
        <w:t>Lobbyists participated in 5 Senate committee meetings:</w:t>
      </w:r>
      <w:r w:rsidR="007A46CB" w:rsidRPr="00991787">
        <w:rPr>
          <w:szCs w:val="24"/>
          <w:lang w:val="en-US"/>
        </w:rPr>
        <w:t xml:space="preserve"> </w:t>
      </w:r>
      <w:r w:rsidRPr="00736DCB">
        <w:rPr>
          <w:szCs w:val="24"/>
          <w:lang w:val="en-GB"/>
        </w:rPr>
        <w:t>National Economy Committee, Environment Committee, Local Government and State Administration Committee, Health Committee and Agriculture and Rural Development Committee.</w:t>
      </w:r>
      <w:r w:rsidR="00CD4E4E" w:rsidRPr="00991787">
        <w:rPr>
          <w:szCs w:val="24"/>
          <w:lang w:val="en-US"/>
        </w:rPr>
        <w:t xml:space="preserve">  </w:t>
      </w:r>
    </w:p>
    <w:p w14:paraId="1FFF5A1F" w14:textId="77777777" w:rsidR="008860D7" w:rsidRDefault="008860D7" w:rsidP="008860D7">
      <w:pPr>
        <w:pStyle w:val="Heading1"/>
        <w:rPr>
          <w:rFonts w:ascii="Times New Roman" w:eastAsia="Times New Roman" w:hAnsi="Times New Roman" w:cs="Times New Roman"/>
          <w:b w:val="0"/>
          <w:bCs w:val="0"/>
          <w:color w:val="auto"/>
          <w:sz w:val="24"/>
          <w:szCs w:val="24"/>
          <w:lang w:val="en-US"/>
        </w:rPr>
      </w:pPr>
    </w:p>
    <w:p w14:paraId="22311741" w14:textId="77777777" w:rsidR="008860D7" w:rsidRPr="008860D7" w:rsidRDefault="008860D7" w:rsidP="008860D7">
      <w:pPr>
        <w:rPr>
          <w:lang w:val="en-US"/>
        </w:rPr>
      </w:pPr>
    </w:p>
    <w:p w14:paraId="3011FF45" w14:textId="3E41139E" w:rsidR="008F7F55" w:rsidRPr="008860D7" w:rsidRDefault="00FB76F2" w:rsidP="00CB5DD2">
      <w:pPr>
        <w:pStyle w:val="Heading1"/>
        <w:numPr>
          <w:ilvl w:val="0"/>
          <w:numId w:val="15"/>
        </w:numPr>
        <w:rPr>
          <w:rFonts w:ascii="Times New Roman" w:hAnsi="Times New Roman" w:cs="Times New Roman"/>
          <w:sz w:val="24"/>
          <w:szCs w:val="24"/>
          <w:lang w:val="en-US"/>
        </w:rPr>
      </w:pPr>
      <w:r w:rsidRPr="008860D7">
        <w:rPr>
          <w:rFonts w:ascii="Times New Roman" w:hAnsi="Times New Roman" w:cs="Times New Roman"/>
          <w:sz w:val="24"/>
          <w:szCs w:val="24"/>
          <w:lang w:val="en-GB"/>
        </w:rPr>
        <w:t>Evaluation of the Polish legal regulations – an attempt</w:t>
      </w:r>
    </w:p>
    <w:p w14:paraId="3D7AD2C8" w14:textId="77777777" w:rsidR="008F7F55" w:rsidRPr="008860D7" w:rsidRDefault="008F7F55" w:rsidP="008F7F55">
      <w:pPr>
        <w:rPr>
          <w:lang w:val="en-US"/>
        </w:rPr>
      </w:pPr>
    </w:p>
    <w:p w14:paraId="2BF51EE5" w14:textId="34A009B9" w:rsidR="008F7F55" w:rsidRPr="00991787" w:rsidRDefault="00FB76F2" w:rsidP="00CB5DD2">
      <w:pPr>
        <w:ind w:firstLine="708"/>
        <w:jc w:val="both"/>
        <w:rPr>
          <w:lang w:val="en-US"/>
        </w:rPr>
      </w:pPr>
      <w:r w:rsidRPr="00736DCB">
        <w:rPr>
          <w:lang w:val="en-GB"/>
        </w:rPr>
        <w:t>The so-called Lobbying Act introduced two new institutions to the Polish political reality:</w:t>
      </w:r>
      <w:r w:rsidR="008F7F55" w:rsidRPr="00991787">
        <w:rPr>
          <w:lang w:val="en-US"/>
        </w:rPr>
        <w:t xml:space="preserve"> </w:t>
      </w:r>
      <w:r w:rsidRPr="00736DCB">
        <w:rPr>
          <w:lang w:val="en-GB"/>
        </w:rPr>
        <w:t>legislative planning (lists of government legislative work – bills and draft regulations</w:t>
      </w:r>
      <w:r w:rsidR="007F2703" w:rsidRPr="00736DCB">
        <w:rPr>
          <w:lang w:val="en-GB"/>
        </w:rPr>
        <w:t xml:space="preserve"> – published in six-month cycles</w:t>
      </w:r>
      <w:r w:rsidRPr="00736DCB">
        <w:rPr>
          <w:lang w:val="en-GB"/>
        </w:rPr>
        <w:t>) and public hearing</w:t>
      </w:r>
      <w:r w:rsidR="009B7833" w:rsidRPr="00736DCB">
        <w:rPr>
          <w:lang w:val="en-GB"/>
        </w:rPr>
        <w:t xml:space="preserve">. The latter, however, resembles its U.S. Congress </w:t>
      </w:r>
      <w:r w:rsidR="007F2703" w:rsidRPr="00736DCB">
        <w:rPr>
          <w:lang w:val="en-GB"/>
        </w:rPr>
        <w:t xml:space="preserve">model </w:t>
      </w:r>
      <w:r w:rsidR="009B7833" w:rsidRPr="00736DCB">
        <w:rPr>
          <w:lang w:val="en-GB"/>
        </w:rPr>
        <w:t>only by name.</w:t>
      </w:r>
      <w:r w:rsidR="008F7F55" w:rsidRPr="00991787">
        <w:rPr>
          <w:lang w:val="en-US"/>
        </w:rPr>
        <w:t xml:space="preserve"> </w:t>
      </w:r>
      <w:r w:rsidR="009B7833" w:rsidRPr="00736DCB">
        <w:rPr>
          <w:lang w:val="en-GB"/>
        </w:rPr>
        <w:t xml:space="preserve">For both of the above-mentioned institutions, we have empirical data revealing their superficial nature (the performance of legislative plans </w:t>
      </w:r>
      <w:r w:rsidR="00844D6A" w:rsidRPr="00736DCB">
        <w:rPr>
          <w:lang w:val="en-GB"/>
        </w:rPr>
        <w:t xml:space="preserve">has </w:t>
      </w:r>
      <w:r w:rsidR="009B7833" w:rsidRPr="00736DCB">
        <w:rPr>
          <w:lang w:val="en-GB"/>
        </w:rPr>
        <w:t>not surpass</w:t>
      </w:r>
      <w:r w:rsidR="00844D6A" w:rsidRPr="00736DCB">
        <w:rPr>
          <w:lang w:val="en-GB"/>
        </w:rPr>
        <w:t>ed</w:t>
      </w:r>
      <w:r w:rsidR="009B7833" w:rsidRPr="00736DCB">
        <w:rPr>
          <w:lang w:val="en-GB"/>
        </w:rPr>
        <w:t xml:space="preserve"> 40%, while public hearings have hitherto been called only sporadically).</w:t>
      </w:r>
      <w:r w:rsidR="008F7F55" w:rsidRPr="00991787">
        <w:rPr>
          <w:lang w:val="en-US"/>
        </w:rPr>
        <w:t xml:space="preserve"> </w:t>
      </w:r>
    </w:p>
    <w:p w14:paraId="75AF01AB" w14:textId="331D8735" w:rsidR="008F7F55" w:rsidRPr="00991787" w:rsidRDefault="005553D1" w:rsidP="00CB5DD2">
      <w:pPr>
        <w:ind w:firstLine="708"/>
        <w:jc w:val="both"/>
        <w:rPr>
          <w:lang w:val="en-US"/>
        </w:rPr>
      </w:pPr>
      <w:r w:rsidRPr="00991787">
        <w:rPr>
          <w:lang w:val="en-US"/>
        </w:rPr>
        <w:t xml:space="preserve"> </w:t>
      </w:r>
      <w:r w:rsidR="009B7833" w:rsidRPr="00736DCB">
        <w:rPr>
          <w:lang w:val="en-GB"/>
        </w:rPr>
        <w:t>Registers of lobbyists, lists of bills as well as public hearings are all meant to guarantee the transparency of the law-making process in Poland.</w:t>
      </w:r>
      <w:r w:rsidR="008F7F55" w:rsidRPr="00991787">
        <w:rPr>
          <w:lang w:val="en-US"/>
        </w:rPr>
        <w:t xml:space="preserve"> </w:t>
      </w:r>
      <w:r w:rsidR="009B7833" w:rsidRPr="00736DCB">
        <w:rPr>
          <w:lang w:val="en-GB"/>
        </w:rPr>
        <w:t xml:space="preserve">From this standpoint, </w:t>
      </w:r>
      <w:r w:rsidR="00844D6A" w:rsidRPr="00736DCB">
        <w:rPr>
          <w:lang w:val="en-GB"/>
        </w:rPr>
        <w:t xml:space="preserve">Polish </w:t>
      </w:r>
      <w:r w:rsidR="009B7833" w:rsidRPr="00736DCB">
        <w:rPr>
          <w:lang w:val="en-GB"/>
        </w:rPr>
        <w:t xml:space="preserve">statutory provisions </w:t>
      </w:r>
      <w:r w:rsidR="00C605DA">
        <w:rPr>
          <w:lang w:val="en-GB"/>
        </w:rPr>
        <w:t>should be</w:t>
      </w:r>
      <w:r w:rsidR="00844D6A" w:rsidRPr="00736DCB">
        <w:rPr>
          <w:lang w:val="en-GB"/>
        </w:rPr>
        <w:t xml:space="preserve"> </w:t>
      </w:r>
      <w:r w:rsidR="009B7833" w:rsidRPr="00736DCB">
        <w:rPr>
          <w:lang w:val="en-GB"/>
        </w:rPr>
        <w:t xml:space="preserve">undoubtedly </w:t>
      </w:r>
      <w:r w:rsidR="00C605DA">
        <w:rPr>
          <w:lang w:val="en-GB"/>
        </w:rPr>
        <w:t xml:space="preserve">assessed as </w:t>
      </w:r>
      <w:r w:rsidR="009B7833" w:rsidRPr="00C605DA">
        <w:rPr>
          <w:lang w:val="en-GB"/>
        </w:rPr>
        <w:t>positive</w:t>
      </w:r>
      <w:r w:rsidR="009B7833" w:rsidRPr="00736DCB">
        <w:rPr>
          <w:lang w:val="en-GB"/>
        </w:rPr>
        <w:t>.</w:t>
      </w:r>
      <w:r w:rsidR="008F7F55" w:rsidRPr="00991787">
        <w:rPr>
          <w:lang w:val="en-US"/>
        </w:rPr>
        <w:t xml:space="preserve"> </w:t>
      </w:r>
      <w:r w:rsidR="009B7833" w:rsidRPr="00736DCB">
        <w:rPr>
          <w:lang w:val="en-GB"/>
        </w:rPr>
        <w:t xml:space="preserve">At the same time, annual </w:t>
      </w:r>
      <w:r w:rsidR="00844D6A" w:rsidRPr="00736DCB">
        <w:rPr>
          <w:lang w:val="en-GB"/>
        </w:rPr>
        <w:t xml:space="preserve">reports </w:t>
      </w:r>
      <w:r w:rsidR="009B7833" w:rsidRPr="00736DCB">
        <w:rPr>
          <w:lang w:val="en-GB"/>
        </w:rPr>
        <w:t xml:space="preserve">on actions </w:t>
      </w:r>
      <w:r w:rsidR="007F2703" w:rsidRPr="00736DCB">
        <w:rPr>
          <w:lang w:val="en-GB"/>
        </w:rPr>
        <w:t xml:space="preserve">aimed </w:t>
      </w:r>
      <w:r w:rsidR="009B7833" w:rsidRPr="00736DCB">
        <w:rPr>
          <w:lang w:val="en-GB"/>
        </w:rPr>
        <w:t xml:space="preserve">at the Polish Sejm and Senate by </w:t>
      </w:r>
      <w:r w:rsidR="00844D6A" w:rsidRPr="00736DCB">
        <w:rPr>
          <w:lang w:val="en-GB"/>
        </w:rPr>
        <w:t xml:space="preserve">operators </w:t>
      </w:r>
      <w:r w:rsidR="009B7833" w:rsidRPr="00736DCB">
        <w:rPr>
          <w:lang w:val="en-GB"/>
        </w:rPr>
        <w:t xml:space="preserve">involved in professional lobbying reveal </w:t>
      </w:r>
      <w:r w:rsidR="007F2703" w:rsidRPr="00736DCB">
        <w:rPr>
          <w:lang w:val="en-GB"/>
        </w:rPr>
        <w:t>an</w:t>
      </w:r>
      <w:r w:rsidR="009B7833" w:rsidRPr="00736DCB">
        <w:rPr>
          <w:lang w:val="en-GB"/>
        </w:rPr>
        <w:t xml:space="preserve"> extremely low level of interest in registration (e.g. in 2008, there was no professional lobbying in any matter discussed by the Senate; in the same year, 17 </w:t>
      </w:r>
      <w:r w:rsidR="00844D6A" w:rsidRPr="00736DCB">
        <w:rPr>
          <w:lang w:val="en-GB"/>
        </w:rPr>
        <w:t xml:space="preserve">operators </w:t>
      </w:r>
      <w:r w:rsidR="009B7833" w:rsidRPr="00736DCB">
        <w:rPr>
          <w:lang w:val="en-GB"/>
        </w:rPr>
        <w:t>were involved in lobbying activities in the Sejm).</w:t>
      </w:r>
      <w:r w:rsidR="008F7F55" w:rsidRPr="00991787">
        <w:rPr>
          <w:lang w:val="en-US"/>
        </w:rPr>
        <w:t xml:space="preserve"> </w:t>
      </w:r>
    </w:p>
    <w:p w14:paraId="55DFEC17" w14:textId="77777777" w:rsidR="008F7F55" w:rsidRPr="00991787" w:rsidRDefault="008F7F55" w:rsidP="008F7F55">
      <w:pPr>
        <w:rPr>
          <w:lang w:val="en-US"/>
        </w:rPr>
      </w:pPr>
    </w:p>
    <w:sectPr w:rsidR="008F7F55" w:rsidRPr="00991787" w:rsidSect="005F77E3">
      <w:footerReference w:type="default" r:id="rId9"/>
      <w:footerReference w:type="first" r:id="rId10"/>
      <w:pgSz w:w="11906" w:h="16838"/>
      <w:pgMar w:top="1418" w:right="1418" w:bottom="1418" w:left="1418"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1D29D" w14:textId="77777777" w:rsidR="001F495E" w:rsidRDefault="001F495E" w:rsidP="005258CA">
      <w:pPr>
        <w:spacing w:line="240" w:lineRule="auto"/>
      </w:pPr>
      <w:r>
        <w:separator/>
      </w:r>
    </w:p>
  </w:endnote>
  <w:endnote w:type="continuationSeparator" w:id="0">
    <w:p w14:paraId="4F3642F0" w14:textId="77777777" w:rsidR="001F495E" w:rsidRDefault="001F495E" w:rsidP="00525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ZapfHumnst BT">
    <w:altName w:val="Lucida Sans Unicode"/>
    <w:charset w:val="00"/>
    <w:family w:val="swiss"/>
    <w:pitch w:val="variable"/>
    <w:sig w:usb0="00000001" w:usb1="00000000" w:usb2="00000000" w:usb3="00000000" w:csb0="0000001B"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905F0" w14:textId="09EFE245" w:rsidR="001F495E" w:rsidRDefault="001F495E">
    <w:pPr>
      <w:pStyle w:val="Footer"/>
      <w:jc w:val="right"/>
    </w:pPr>
  </w:p>
  <w:p w14:paraId="2FD594D7" w14:textId="77777777" w:rsidR="001F495E" w:rsidRDefault="001F49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160727"/>
      <w:docPartObj>
        <w:docPartGallery w:val="Page Numbers (Bottom of Page)"/>
        <w:docPartUnique/>
      </w:docPartObj>
    </w:sdtPr>
    <w:sdtEndPr/>
    <w:sdtContent>
      <w:p w14:paraId="5300229D" w14:textId="77777777" w:rsidR="001F495E" w:rsidRDefault="001F495E">
        <w:pPr>
          <w:pStyle w:val="Footer"/>
          <w:jc w:val="center"/>
        </w:pPr>
        <w:r>
          <w:fldChar w:fldCharType="begin"/>
        </w:r>
        <w:r>
          <w:instrText>PAGE   \* MERGEFORMAT</w:instrText>
        </w:r>
        <w:r>
          <w:fldChar w:fldCharType="separate"/>
        </w:r>
        <w:r w:rsidR="00C22E4E">
          <w:rPr>
            <w:noProof/>
          </w:rPr>
          <w:t>1</w:t>
        </w:r>
        <w:r>
          <w:fldChar w:fldCharType="end"/>
        </w:r>
      </w:p>
    </w:sdtContent>
  </w:sdt>
  <w:p w14:paraId="473CBA0D" w14:textId="77777777" w:rsidR="001F495E" w:rsidRDefault="001F49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F4880" w14:textId="77777777" w:rsidR="001F495E" w:rsidRDefault="001F495E" w:rsidP="005258CA">
      <w:pPr>
        <w:spacing w:line="240" w:lineRule="auto"/>
      </w:pPr>
      <w:r>
        <w:separator/>
      </w:r>
    </w:p>
  </w:footnote>
  <w:footnote w:type="continuationSeparator" w:id="0">
    <w:p w14:paraId="6415AB9B" w14:textId="77777777" w:rsidR="001F495E" w:rsidRDefault="001F495E" w:rsidP="005258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11DC"/>
    <w:multiLevelType w:val="singleLevel"/>
    <w:tmpl w:val="9D2C0646"/>
    <w:lvl w:ilvl="0">
      <w:start w:val="1"/>
      <w:numFmt w:val="bullet"/>
      <w:pStyle w:val="tiret"/>
      <w:lvlText w:val="-"/>
      <w:lvlJc w:val="left"/>
      <w:pPr>
        <w:tabs>
          <w:tab w:val="num" w:pos="1211"/>
        </w:tabs>
        <w:ind w:left="1211" w:hanging="360"/>
      </w:pPr>
      <w:rPr>
        <w:rFonts w:hint="default"/>
      </w:rPr>
    </w:lvl>
  </w:abstractNum>
  <w:abstractNum w:abstractNumId="1">
    <w:nsid w:val="21684525"/>
    <w:multiLevelType w:val="singleLevel"/>
    <w:tmpl w:val="6792BDB4"/>
    <w:lvl w:ilvl="0">
      <w:start w:val="1"/>
      <w:numFmt w:val="decimal"/>
      <w:lvlText w:val="%1)"/>
      <w:lvlJc w:val="left"/>
      <w:pPr>
        <w:tabs>
          <w:tab w:val="num" w:pos="397"/>
        </w:tabs>
        <w:ind w:left="397" w:hanging="397"/>
      </w:pPr>
    </w:lvl>
  </w:abstractNum>
  <w:abstractNum w:abstractNumId="2">
    <w:nsid w:val="301C61B4"/>
    <w:multiLevelType w:val="singleLevel"/>
    <w:tmpl w:val="1ECCD4F4"/>
    <w:lvl w:ilvl="0">
      <w:start w:val="1"/>
      <w:numFmt w:val="decimal"/>
      <w:lvlText w:val="%1)"/>
      <w:lvlJc w:val="left"/>
      <w:pPr>
        <w:tabs>
          <w:tab w:val="num" w:pos="397"/>
        </w:tabs>
        <w:ind w:left="397" w:hanging="397"/>
      </w:pPr>
    </w:lvl>
  </w:abstractNum>
  <w:abstractNum w:abstractNumId="3">
    <w:nsid w:val="3A5630F8"/>
    <w:multiLevelType w:val="multilevel"/>
    <w:tmpl w:val="DF4289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10401F2"/>
    <w:multiLevelType w:val="hybridMultilevel"/>
    <w:tmpl w:val="44B40994"/>
    <w:lvl w:ilvl="0" w:tplc="D8B8922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45C60942"/>
    <w:multiLevelType w:val="hybridMultilevel"/>
    <w:tmpl w:val="9AAC292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nsid w:val="4C657876"/>
    <w:multiLevelType w:val="hybridMultilevel"/>
    <w:tmpl w:val="7696F3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3A757D5"/>
    <w:multiLevelType w:val="singleLevel"/>
    <w:tmpl w:val="92B6EFF2"/>
    <w:lvl w:ilvl="0">
      <w:start w:val="1"/>
      <w:numFmt w:val="lowerLetter"/>
      <w:lvlText w:val="%1)"/>
      <w:lvlJc w:val="left"/>
      <w:pPr>
        <w:tabs>
          <w:tab w:val="num" w:pos="786"/>
        </w:tabs>
        <w:ind w:left="786" w:hanging="360"/>
      </w:pPr>
      <w:rPr>
        <w:rFonts w:hint="default"/>
      </w:rPr>
    </w:lvl>
  </w:abstractNum>
  <w:abstractNum w:abstractNumId="8">
    <w:nsid w:val="76600E1C"/>
    <w:multiLevelType w:val="singleLevel"/>
    <w:tmpl w:val="917A9C24"/>
    <w:lvl w:ilvl="0">
      <w:start w:val="1"/>
      <w:numFmt w:val="decimal"/>
      <w:lvlText w:val="%1)"/>
      <w:lvlJc w:val="left"/>
      <w:pPr>
        <w:tabs>
          <w:tab w:val="num" w:pos="360"/>
        </w:tabs>
        <w:ind w:left="360" w:hanging="360"/>
      </w:pPr>
      <w:rPr>
        <w:rFonts w:hint="default"/>
      </w:rPr>
    </w:lvl>
  </w:abstractNum>
  <w:num w:numId="1">
    <w:abstractNumId w:val="2"/>
  </w:num>
  <w:num w:numId="2">
    <w:abstractNumId w:val="2"/>
  </w:num>
  <w:num w:numId="3">
    <w:abstractNumId w:val="1"/>
  </w:num>
  <w:num w:numId="4">
    <w:abstractNumId w:val="1"/>
  </w:num>
  <w:num w:numId="5">
    <w:abstractNumId w:val="8"/>
  </w:num>
  <w:num w:numId="6">
    <w:abstractNumId w:val="7"/>
  </w:num>
  <w:num w:numId="7">
    <w:abstractNumId w:val="8"/>
  </w:num>
  <w:num w:numId="8">
    <w:abstractNumId w:val="7"/>
  </w:num>
  <w:num w:numId="9">
    <w:abstractNumId w:val="8"/>
  </w:num>
  <w:num w:numId="10">
    <w:abstractNumId w:val="7"/>
  </w:num>
  <w:num w:numId="11">
    <w:abstractNumId w:val="0"/>
  </w:num>
  <w:num w:numId="12">
    <w:abstractNumId w:val="5"/>
  </w:num>
  <w:num w:numId="13">
    <w:abstractNumId w:val="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fColors" w:val="1"/>
  </w:docVars>
  <w:rsids>
    <w:rsidRoot w:val="005B6F47"/>
    <w:rsid w:val="00025A8A"/>
    <w:rsid w:val="0003112C"/>
    <w:rsid w:val="00032811"/>
    <w:rsid w:val="00035E7C"/>
    <w:rsid w:val="00043203"/>
    <w:rsid w:val="00052E80"/>
    <w:rsid w:val="0006345B"/>
    <w:rsid w:val="00086F3F"/>
    <w:rsid w:val="0009133A"/>
    <w:rsid w:val="000B130A"/>
    <w:rsid w:val="000B3D1F"/>
    <w:rsid w:val="000E387A"/>
    <w:rsid w:val="000E5AE6"/>
    <w:rsid w:val="000F16C4"/>
    <w:rsid w:val="000F5E5E"/>
    <w:rsid w:val="00114091"/>
    <w:rsid w:val="001342B8"/>
    <w:rsid w:val="00134FC7"/>
    <w:rsid w:val="00172A83"/>
    <w:rsid w:val="00172BC7"/>
    <w:rsid w:val="00176097"/>
    <w:rsid w:val="0019460A"/>
    <w:rsid w:val="001B2BB1"/>
    <w:rsid w:val="001B49B2"/>
    <w:rsid w:val="001B771C"/>
    <w:rsid w:val="001C20CD"/>
    <w:rsid w:val="001E1FFF"/>
    <w:rsid w:val="001E3954"/>
    <w:rsid w:val="001F47DF"/>
    <w:rsid w:val="001F495E"/>
    <w:rsid w:val="002135AF"/>
    <w:rsid w:val="00214F2E"/>
    <w:rsid w:val="00221F0D"/>
    <w:rsid w:val="0022702C"/>
    <w:rsid w:val="00240393"/>
    <w:rsid w:val="00271D00"/>
    <w:rsid w:val="00281EC3"/>
    <w:rsid w:val="002947E9"/>
    <w:rsid w:val="00297CEE"/>
    <w:rsid w:val="002A13B5"/>
    <w:rsid w:val="002B57DE"/>
    <w:rsid w:val="002F77A6"/>
    <w:rsid w:val="00304BEF"/>
    <w:rsid w:val="00314696"/>
    <w:rsid w:val="00327816"/>
    <w:rsid w:val="00327B93"/>
    <w:rsid w:val="003529E4"/>
    <w:rsid w:val="00362AF5"/>
    <w:rsid w:val="00385649"/>
    <w:rsid w:val="0039014E"/>
    <w:rsid w:val="003B0EC7"/>
    <w:rsid w:val="003D6BEB"/>
    <w:rsid w:val="003F4AF2"/>
    <w:rsid w:val="00435BF8"/>
    <w:rsid w:val="00437D1D"/>
    <w:rsid w:val="004421F3"/>
    <w:rsid w:val="00445543"/>
    <w:rsid w:val="0045597E"/>
    <w:rsid w:val="00456A11"/>
    <w:rsid w:val="00456C70"/>
    <w:rsid w:val="004827EE"/>
    <w:rsid w:val="00493C53"/>
    <w:rsid w:val="004A2357"/>
    <w:rsid w:val="004A7C10"/>
    <w:rsid w:val="004C1E01"/>
    <w:rsid w:val="004C2EC1"/>
    <w:rsid w:val="004D3C34"/>
    <w:rsid w:val="00516283"/>
    <w:rsid w:val="005258CA"/>
    <w:rsid w:val="00551F52"/>
    <w:rsid w:val="00552F3C"/>
    <w:rsid w:val="0055334F"/>
    <w:rsid w:val="005553D1"/>
    <w:rsid w:val="00583B0D"/>
    <w:rsid w:val="005844E1"/>
    <w:rsid w:val="0059231D"/>
    <w:rsid w:val="00594E18"/>
    <w:rsid w:val="005B0D6A"/>
    <w:rsid w:val="005B6F47"/>
    <w:rsid w:val="005C4FEE"/>
    <w:rsid w:val="005C70B5"/>
    <w:rsid w:val="005D6911"/>
    <w:rsid w:val="005F77E3"/>
    <w:rsid w:val="00621040"/>
    <w:rsid w:val="006259AF"/>
    <w:rsid w:val="00625F12"/>
    <w:rsid w:val="00635D5A"/>
    <w:rsid w:val="006435DC"/>
    <w:rsid w:val="00643945"/>
    <w:rsid w:val="00651B2A"/>
    <w:rsid w:val="0065585B"/>
    <w:rsid w:val="006824DF"/>
    <w:rsid w:val="0069256F"/>
    <w:rsid w:val="00692D42"/>
    <w:rsid w:val="00695B87"/>
    <w:rsid w:val="006A0778"/>
    <w:rsid w:val="006A60B9"/>
    <w:rsid w:val="006B54C5"/>
    <w:rsid w:val="006B617D"/>
    <w:rsid w:val="006C33FC"/>
    <w:rsid w:val="006E6A8C"/>
    <w:rsid w:val="006F039C"/>
    <w:rsid w:val="00721F44"/>
    <w:rsid w:val="007321D3"/>
    <w:rsid w:val="00736DCB"/>
    <w:rsid w:val="00746247"/>
    <w:rsid w:val="00752440"/>
    <w:rsid w:val="00764F7A"/>
    <w:rsid w:val="00771173"/>
    <w:rsid w:val="007831F3"/>
    <w:rsid w:val="007A46CB"/>
    <w:rsid w:val="007A6B6B"/>
    <w:rsid w:val="007B5997"/>
    <w:rsid w:val="007C3905"/>
    <w:rsid w:val="007F2703"/>
    <w:rsid w:val="0080081F"/>
    <w:rsid w:val="00813FE9"/>
    <w:rsid w:val="00823278"/>
    <w:rsid w:val="00832A20"/>
    <w:rsid w:val="008368FC"/>
    <w:rsid w:val="00837AA9"/>
    <w:rsid w:val="00844D6A"/>
    <w:rsid w:val="00846078"/>
    <w:rsid w:val="008560D1"/>
    <w:rsid w:val="00870BA7"/>
    <w:rsid w:val="0087706E"/>
    <w:rsid w:val="00881627"/>
    <w:rsid w:val="008860D7"/>
    <w:rsid w:val="00887BB4"/>
    <w:rsid w:val="0089245D"/>
    <w:rsid w:val="00897D1A"/>
    <w:rsid w:val="008A10F4"/>
    <w:rsid w:val="008A1FBA"/>
    <w:rsid w:val="008D022A"/>
    <w:rsid w:val="008F7F55"/>
    <w:rsid w:val="008F7F71"/>
    <w:rsid w:val="00904C9E"/>
    <w:rsid w:val="009060B3"/>
    <w:rsid w:val="009333B9"/>
    <w:rsid w:val="0094234D"/>
    <w:rsid w:val="009540AB"/>
    <w:rsid w:val="00991787"/>
    <w:rsid w:val="009949AF"/>
    <w:rsid w:val="009A1302"/>
    <w:rsid w:val="009B2313"/>
    <w:rsid w:val="009B7833"/>
    <w:rsid w:val="009D70F3"/>
    <w:rsid w:val="009E25FF"/>
    <w:rsid w:val="009E2CC0"/>
    <w:rsid w:val="009F22E6"/>
    <w:rsid w:val="009F3A84"/>
    <w:rsid w:val="009F3C29"/>
    <w:rsid w:val="009F6EC1"/>
    <w:rsid w:val="009F7DBB"/>
    <w:rsid w:val="00A00701"/>
    <w:rsid w:val="00A109CD"/>
    <w:rsid w:val="00A3159F"/>
    <w:rsid w:val="00A40F74"/>
    <w:rsid w:val="00A47273"/>
    <w:rsid w:val="00A47F46"/>
    <w:rsid w:val="00A53D51"/>
    <w:rsid w:val="00A573A0"/>
    <w:rsid w:val="00A60E36"/>
    <w:rsid w:val="00A857AD"/>
    <w:rsid w:val="00A96B0D"/>
    <w:rsid w:val="00AB57DF"/>
    <w:rsid w:val="00AC02D0"/>
    <w:rsid w:val="00AC2707"/>
    <w:rsid w:val="00AC5091"/>
    <w:rsid w:val="00AD50D0"/>
    <w:rsid w:val="00AD5EB1"/>
    <w:rsid w:val="00AF2D9C"/>
    <w:rsid w:val="00AF6136"/>
    <w:rsid w:val="00B12087"/>
    <w:rsid w:val="00B24B4E"/>
    <w:rsid w:val="00B25468"/>
    <w:rsid w:val="00B302A0"/>
    <w:rsid w:val="00B359FA"/>
    <w:rsid w:val="00B4239B"/>
    <w:rsid w:val="00B546A8"/>
    <w:rsid w:val="00B70248"/>
    <w:rsid w:val="00B759CA"/>
    <w:rsid w:val="00B86F45"/>
    <w:rsid w:val="00B92476"/>
    <w:rsid w:val="00BA034C"/>
    <w:rsid w:val="00BB2092"/>
    <w:rsid w:val="00BB2F48"/>
    <w:rsid w:val="00BB4BA0"/>
    <w:rsid w:val="00BB7E69"/>
    <w:rsid w:val="00BE34F4"/>
    <w:rsid w:val="00BE739D"/>
    <w:rsid w:val="00BF0AF6"/>
    <w:rsid w:val="00BF28EB"/>
    <w:rsid w:val="00C22E4E"/>
    <w:rsid w:val="00C26CFB"/>
    <w:rsid w:val="00C337B1"/>
    <w:rsid w:val="00C45731"/>
    <w:rsid w:val="00C45846"/>
    <w:rsid w:val="00C461BF"/>
    <w:rsid w:val="00C47008"/>
    <w:rsid w:val="00C522BD"/>
    <w:rsid w:val="00C53079"/>
    <w:rsid w:val="00C546C0"/>
    <w:rsid w:val="00C54C63"/>
    <w:rsid w:val="00C562F8"/>
    <w:rsid w:val="00C605DA"/>
    <w:rsid w:val="00C74CFB"/>
    <w:rsid w:val="00C839DC"/>
    <w:rsid w:val="00C918A0"/>
    <w:rsid w:val="00C929F9"/>
    <w:rsid w:val="00C92D84"/>
    <w:rsid w:val="00C94E32"/>
    <w:rsid w:val="00CB42DF"/>
    <w:rsid w:val="00CB5DD2"/>
    <w:rsid w:val="00CC014E"/>
    <w:rsid w:val="00CC613A"/>
    <w:rsid w:val="00CC741D"/>
    <w:rsid w:val="00CD14ED"/>
    <w:rsid w:val="00CD183F"/>
    <w:rsid w:val="00CD4E4E"/>
    <w:rsid w:val="00CD5425"/>
    <w:rsid w:val="00CD73C3"/>
    <w:rsid w:val="00CE489C"/>
    <w:rsid w:val="00CF19E1"/>
    <w:rsid w:val="00D00690"/>
    <w:rsid w:val="00D2548D"/>
    <w:rsid w:val="00D437FE"/>
    <w:rsid w:val="00D76A5D"/>
    <w:rsid w:val="00DB01D6"/>
    <w:rsid w:val="00DB2B2D"/>
    <w:rsid w:val="00DD37A3"/>
    <w:rsid w:val="00DD7861"/>
    <w:rsid w:val="00E20A10"/>
    <w:rsid w:val="00E36AAD"/>
    <w:rsid w:val="00E4568E"/>
    <w:rsid w:val="00E60675"/>
    <w:rsid w:val="00E82C7A"/>
    <w:rsid w:val="00EC6D0C"/>
    <w:rsid w:val="00ED2583"/>
    <w:rsid w:val="00EE7F77"/>
    <w:rsid w:val="00EF5DA5"/>
    <w:rsid w:val="00F22DEC"/>
    <w:rsid w:val="00F23A3C"/>
    <w:rsid w:val="00F3518F"/>
    <w:rsid w:val="00F665EF"/>
    <w:rsid w:val="00F71249"/>
    <w:rsid w:val="00F8610C"/>
    <w:rsid w:val="00FA4EB8"/>
    <w:rsid w:val="00FB4329"/>
    <w:rsid w:val="00FB76F2"/>
    <w:rsid w:val="00FD7AE3"/>
    <w:rsid w:val="00FE2CB6"/>
    <w:rsid w:val="00FE5034"/>
    <w:rsid w:val="00FF0D28"/>
    <w:rsid w:val="00FF5340"/>
  </w:rsids>
  <m:mathPr>
    <m:mathFont m:val="Cambria Math"/>
    <m:brkBin m:val="before"/>
    <m:brkBinSub m:val="--"/>
    <m:smallFrac m:val="0"/>
    <m:dispDef/>
    <m:lMargin m:val="0"/>
    <m:rMargin m:val="0"/>
    <m:defJc m:val="centerGroup"/>
    <m:wrapIndent m:val="1440"/>
    <m:intLim m:val="subSup"/>
    <m:naryLim m:val="undOvr"/>
  </m:mathPr>
  <w:themeFontLang w:val="pl-PL"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124B22"/>
  <w15:docId w15:val="{BA83B969-960E-4231-9BF7-6FBF586C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sz w:val="24"/>
    </w:rPr>
  </w:style>
  <w:style w:type="paragraph" w:styleId="Heading1">
    <w:name w:val="heading 1"/>
    <w:basedOn w:val="Normal"/>
    <w:next w:val="Normal"/>
    <w:link w:val="Heading1Char"/>
    <w:qFormat/>
    <w:rsid w:val="00BB4B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res-A6">
    <w:name w:val="Adres-A6"/>
    <w:basedOn w:val="Normal"/>
    <w:next w:val="Normal"/>
    <w:pPr>
      <w:spacing w:after="600"/>
      <w:ind w:left="5245"/>
    </w:pPr>
  </w:style>
  <w:style w:type="paragraph" w:customStyle="1" w:styleId="Podpis-A7">
    <w:name w:val="Podpis-A7"/>
    <w:basedOn w:val="Normal"/>
    <w:pPr>
      <w:tabs>
        <w:tab w:val="center" w:pos="1701"/>
        <w:tab w:val="center" w:pos="6237"/>
      </w:tabs>
    </w:pPr>
  </w:style>
  <w:style w:type="paragraph" w:customStyle="1" w:styleId="pkt">
    <w:name w:val="pkt"/>
    <w:basedOn w:val="Normal"/>
    <w:pPr>
      <w:ind w:left="357" w:hanging="357"/>
      <w:jc w:val="both"/>
    </w:pPr>
  </w:style>
  <w:style w:type="paragraph" w:customStyle="1" w:styleId="ppkt">
    <w:name w:val="ppkt"/>
    <w:basedOn w:val="Normal"/>
    <w:pPr>
      <w:ind w:left="782" w:hanging="425"/>
      <w:jc w:val="both"/>
    </w:pPr>
  </w:style>
  <w:style w:type="paragraph" w:customStyle="1" w:styleId="akapit">
    <w:name w:val="akapit"/>
    <w:basedOn w:val="Normal"/>
    <w:pPr>
      <w:ind w:firstLine="851"/>
      <w:jc w:val="both"/>
    </w:pPr>
  </w:style>
  <w:style w:type="paragraph" w:customStyle="1" w:styleId="art">
    <w:name w:val="art"/>
    <w:basedOn w:val="Normal"/>
    <w:pPr>
      <w:tabs>
        <w:tab w:val="left" w:pos="1276"/>
      </w:tabs>
      <w:ind w:left="1276" w:hanging="992"/>
    </w:pPr>
  </w:style>
  <w:style w:type="paragraph" w:customStyle="1" w:styleId="tiret">
    <w:name w:val="tiret"/>
    <w:basedOn w:val="akapit"/>
    <w:pPr>
      <w:numPr>
        <w:numId w:val="11"/>
      </w:numPr>
    </w:pPr>
  </w:style>
  <w:style w:type="paragraph" w:customStyle="1" w:styleId="Senatorowie">
    <w:name w:val="Senatorowie"/>
    <w:basedOn w:val="Normal"/>
  </w:style>
  <w:style w:type="character" w:customStyle="1" w:styleId="apple-converted-space">
    <w:name w:val="apple-converted-space"/>
    <w:basedOn w:val="DefaultParagraphFont"/>
    <w:rsid w:val="008A10F4"/>
  </w:style>
  <w:style w:type="character" w:styleId="Hyperlink">
    <w:name w:val="Hyperlink"/>
    <w:basedOn w:val="DefaultParagraphFont"/>
    <w:uiPriority w:val="99"/>
    <w:unhideWhenUsed/>
    <w:rsid w:val="008A10F4"/>
    <w:rPr>
      <w:color w:val="0000FF"/>
      <w:u w:val="single"/>
    </w:rPr>
  </w:style>
  <w:style w:type="paragraph" w:styleId="ListParagraph">
    <w:name w:val="List Paragraph"/>
    <w:basedOn w:val="Normal"/>
    <w:uiPriority w:val="34"/>
    <w:qFormat/>
    <w:rsid w:val="005258CA"/>
    <w:pPr>
      <w:ind w:left="720"/>
      <w:contextualSpacing/>
    </w:pPr>
  </w:style>
  <w:style w:type="paragraph" w:styleId="FootnoteText">
    <w:name w:val="footnote text"/>
    <w:basedOn w:val="Normal"/>
    <w:link w:val="FootnoteTextChar"/>
    <w:rsid w:val="0055334F"/>
    <w:pPr>
      <w:spacing w:line="240" w:lineRule="auto"/>
    </w:pPr>
    <w:rPr>
      <w:sz w:val="20"/>
    </w:rPr>
  </w:style>
  <w:style w:type="character" w:customStyle="1" w:styleId="FootnoteTextChar">
    <w:name w:val="Footnote Text Char"/>
    <w:basedOn w:val="DefaultParagraphFont"/>
    <w:link w:val="FootnoteText"/>
    <w:rsid w:val="0055334F"/>
  </w:style>
  <w:style w:type="character" w:styleId="FootnoteReference">
    <w:name w:val="footnote reference"/>
    <w:basedOn w:val="DefaultParagraphFont"/>
    <w:rsid w:val="0055334F"/>
    <w:rPr>
      <w:vertAlign w:val="superscript"/>
    </w:rPr>
  </w:style>
  <w:style w:type="character" w:customStyle="1" w:styleId="Heading1Char">
    <w:name w:val="Heading 1 Char"/>
    <w:basedOn w:val="DefaultParagraphFont"/>
    <w:link w:val="Heading1"/>
    <w:rsid w:val="00BB4BA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6824D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6824D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rsid w:val="005F77E3"/>
    <w:pPr>
      <w:tabs>
        <w:tab w:val="center" w:pos="4536"/>
        <w:tab w:val="right" w:pos="9072"/>
      </w:tabs>
      <w:spacing w:line="240" w:lineRule="auto"/>
    </w:pPr>
  </w:style>
  <w:style w:type="character" w:customStyle="1" w:styleId="HeaderChar">
    <w:name w:val="Header Char"/>
    <w:basedOn w:val="DefaultParagraphFont"/>
    <w:link w:val="Header"/>
    <w:rsid w:val="005F77E3"/>
    <w:rPr>
      <w:sz w:val="24"/>
    </w:rPr>
  </w:style>
  <w:style w:type="paragraph" w:styleId="Footer">
    <w:name w:val="footer"/>
    <w:basedOn w:val="Normal"/>
    <w:link w:val="FooterChar"/>
    <w:uiPriority w:val="99"/>
    <w:rsid w:val="005F77E3"/>
    <w:pPr>
      <w:tabs>
        <w:tab w:val="center" w:pos="4536"/>
        <w:tab w:val="right" w:pos="9072"/>
      </w:tabs>
      <w:spacing w:line="240" w:lineRule="auto"/>
    </w:pPr>
  </w:style>
  <w:style w:type="character" w:customStyle="1" w:styleId="FooterChar">
    <w:name w:val="Footer Char"/>
    <w:basedOn w:val="DefaultParagraphFont"/>
    <w:link w:val="Footer"/>
    <w:uiPriority w:val="99"/>
    <w:rsid w:val="005F77E3"/>
    <w:rPr>
      <w:sz w:val="24"/>
    </w:rPr>
  </w:style>
  <w:style w:type="paragraph" w:styleId="BalloonText">
    <w:name w:val="Balloon Text"/>
    <w:basedOn w:val="Normal"/>
    <w:link w:val="BalloonTextChar"/>
    <w:rsid w:val="000F5E5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F5E5E"/>
    <w:rPr>
      <w:rFonts w:ascii="Tahoma" w:hAnsi="Tahoma" w:cs="Tahoma"/>
      <w:sz w:val="16"/>
      <w:szCs w:val="16"/>
    </w:rPr>
  </w:style>
  <w:style w:type="paragraph" w:styleId="EndnoteText">
    <w:name w:val="endnote text"/>
    <w:basedOn w:val="Normal"/>
    <w:link w:val="EndnoteTextChar"/>
    <w:unhideWhenUsed/>
    <w:rsid w:val="007831F3"/>
    <w:pPr>
      <w:spacing w:line="240" w:lineRule="auto"/>
    </w:pPr>
    <w:rPr>
      <w:sz w:val="20"/>
    </w:rPr>
  </w:style>
  <w:style w:type="character" w:customStyle="1" w:styleId="EndnoteTextChar">
    <w:name w:val="Endnote Text Char"/>
    <w:basedOn w:val="DefaultParagraphFont"/>
    <w:link w:val="EndnoteText"/>
    <w:rsid w:val="007831F3"/>
  </w:style>
  <w:style w:type="character" w:styleId="EndnoteReference">
    <w:name w:val="endnote reference"/>
    <w:unhideWhenUsed/>
    <w:rsid w:val="007831F3"/>
    <w:rPr>
      <w:vertAlign w:val="superscript"/>
    </w:rPr>
  </w:style>
  <w:style w:type="character" w:styleId="CommentReference">
    <w:name w:val="annotation reference"/>
    <w:basedOn w:val="DefaultParagraphFont"/>
    <w:rsid w:val="00D437FE"/>
    <w:rPr>
      <w:sz w:val="16"/>
      <w:szCs w:val="16"/>
    </w:rPr>
  </w:style>
  <w:style w:type="paragraph" w:styleId="CommentText">
    <w:name w:val="annotation text"/>
    <w:basedOn w:val="Normal"/>
    <w:link w:val="CommentTextChar"/>
    <w:rsid w:val="00D437FE"/>
    <w:pPr>
      <w:spacing w:line="240" w:lineRule="auto"/>
    </w:pPr>
    <w:rPr>
      <w:sz w:val="20"/>
    </w:rPr>
  </w:style>
  <w:style w:type="character" w:customStyle="1" w:styleId="CommentTextChar">
    <w:name w:val="Comment Text Char"/>
    <w:basedOn w:val="DefaultParagraphFont"/>
    <w:link w:val="CommentText"/>
    <w:rsid w:val="00D437FE"/>
  </w:style>
  <w:style w:type="paragraph" w:styleId="CommentSubject">
    <w:name w:val="annotation subject"/>
    <w:basedOn w:val="CommentText"/>
    <w:next w:val="CommentText"/>
    <w:link w:val="CommentSubjectChar"/>
    <w:rsid w:val="00D437FE"/>
    <w:rPr>
      <w:b/>
      <w:bCs/>
    </w:rPr>
  </w:style>
  <w:style w:type="character" w:customStyle="1" w:styleId="CommentSubjectChar">
    <w:name w:val="Comment Subject Char"/>
    <w:basedOn w:val="CommentTextChar"/>
    <w:link w:val="CommentSubject"/>
    <w:rsid w:val="00D437FE"/>
    <w:rPr>
      <w:b/>
      <w:bCs/>
    </w:rPr>
  </w:style>
  <w:style w:type="paragraph" w:styleId="Revision">
    <w:name w:val="Revision"/>
    <w:hidden/>
    <w:uiPriority w:val="99"/>
    <w:semiHidden/>
    <w:rsid w:val="00D437FE"/>
    <w:rPr>
      <w:sz w:val="24"/>
    </w:rPr>
  </w:style>
  <w:style w:type="paragraph" w:styleId="NormalWeb">
    <w:name w:val="Normal (Web)"/>
    <w:basedOn w:val="Normal"/>
    <w:uiPriority w:val="99"/>
    <w:semiHidden/>
    <w:unhideWhenUsed/>
    <w:rsid w:val="00C22E4E"/>
    <w:pPr>
      <w:spacing w:before="100" w:beforeAutospacing="1" w:after="100" w:afterAutospacing="1" w:line="240" w:lineRule="auto"/>
    </w:pPr>
    <w:rPr>
      <w:rFonts w:ascii="Times" w:eastAsia="MS Mincho" w:hAnsi="Times"/>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2525">
      <w:bodyDiv w:val="1"/>
      <w:marLeft w:val="0"/>
      <w:marRight w:val="0"/>
      <w:marTop w:val="0"/>
      <w:marBottom w:val="0"/>
      <w:divBdr>
        <w:top w:val="none" w:sz="0" w:space="0" w:color="auto"/>
        <w:left w:val="none" w:sz="0" w:space="0" w:color="auto"/>
        <w:bottom w:val="none" w:sz="0" w:space="0" w:color="auto"/>
        <w:right w:val="none" w:sz="0" w:space="0" w:color="auto"/>
      </w:divBdr>
    </w:div>
    <w:div w:id="329674167">
      <w:bodyDiv w:val="1"/>
      <w:marLeft w:val="0"/>
      <w:marRight w:val="0"/>
      <w:marTop w:val="0"/>
      <w:marBottom w:val="0"/>
      <w:divBdr>
        <w:top w:val="none" w:sz="0" w:space="0" w:color="auto"/>
        <w:left w:val="none" w:sz="0" w:space="0" w:color="auto"/>
        <w:bottom w:val="none" w:sz="0" w:space="0" w:color="auto"/>
        <w:right w:val="none" w:sz="0" w:space="0" w:color="auto"/>
      </w:divBdr>
    </w:div>
    <w:div w:id="752163433">
      <w:bodyDiv w:val="1"/>
      <w:marLeft w:val="0"/>
      <w:marRight w:val="0"/>
      <w:marTop w:val="0"/>
      <w:marBottom w:val="0"/>
      <w:divBdr>
        <w:top w:val="none" w:sz="0" w:space="0" w:color="auto"/>
        <w:left w:val="none" w:sz="0" w:space="0" w:color="auto"/>
        <w:bottom w:val="none" w:sz="0" w:space="0" w:color="auto"/>
        <w:right w:val="none" w:sz="0" w:space="0" w:color="auto"/>
      </w:divBdr>
    </w:div>
    <w:div w:id="764762671">
      <w:bodyDiv w:val="1"/>
      <w:marLeft w:val="0"/>
      <w:marRight w:val="0"/>
      <w:marTop w:val="0"/>
      <w:marBottom w:val="0"/>
      <w:divBdr>
        <w:top w:val="none" w:sz="0" w:space="0" w:color="auto"/>
        <w:left w:val="none" w:sz="0" w:space="0" w:color="auto"/>
        <w:bottom w:val="none" w:sz="0" w:space="0" w:color="auto"/>
        <w:right w:val="none" w:sz="0" w:space="0" w:color="auto"/>
      </w:divBdr>
    </w:div>
    <w:div w:id="789709162">
      <w:bodyDiv w:val="1"/>
      <w:marLeft w:val="0"/>
      <w:marRight w:val="0"/>
      <w:marTop w:val="0"/>
      <w:marBottom w:val="0"/>
      <w:divBdr>
        <w:top w:val="none" w:sz="0" w:space="0" w:color="auto"/>
        <w:left w:val="none" w:sz="0" w:space="0" w:color="auto"/>
        <w:bottom w:val="none" w:sz="0" w:space="0" w:color="auto"/>
        <w:right w:val="none" w:sz="0" w:space="0" w:color="auto"/>
      </w:divBdr>
    </w:div>
    <w:div w:id="1304775246">
      <w:bodyDiv w:val="1"/>
      <w:marLeft w:val="0"/>
      <w:marRight w:val="0"/>
      <w:marTop w:val="0"/>
      <w:marBottom w:val="0"/>
      <w:divBdr>
        <w:top w:val="none" w:sz="0" w:space="0" w:color="auto"/>
        <w:left w:val="none" w:sz="0" w:space="0" w:color="auto"/>
        <w:bottom w:val="none" w:sz="0" w:space="0" w:color="auto"/>
        <w:right w:val="none" w:sz="0" w:space="0" w:color="auto"/>
      </w:divBdr>
      <w:divsChild>
        <w:div w:id="1205559782">
          <w:marLeft w:val="0"/>
          <w:marRight w:val="0"/>
          <w:marTop w:val="0"/>
          <w:marBottom w:val="0"/>
          <w:divBdr>
            <w:top w:val="none" w:sz="0" w:space="0" w:color="auto"/>
            <w:left w:val="none" w:sz="0" w:space="0" w:color="auto"/>
            <w:bottom w:val="none" w:sz="0" w:space="0" w:color="auto"/>
            <w:right w:val="none" w:sz="0" w:space="0" w:color="auto"/>
          </w:divBdr>
        </w:div>
        <w:div w:id="1698577785">
          <w:marLeft w:val="0"/>
          <w:marRight w:val="0"/>
          <w:marTop w:val="0"/>
          <w:marBottom w:val="0"/>
          <w:divBdr>
            <w:top w:val="none" w:sz="0" w:space="0" w:color="auto"/>
            <w:left w:val="none" w:sz="0" w:space="0" w:color="auto"/>
            <w:bottom w:val="none" w:sz="0" w:space="0" w:color="auto"/>
            <w:right w:val="none" w:sz="0" w:space="0" w:color="auto"/>
          </w:divBdr>
        </w:div>
        <w:div w:id="1839884680">
          <w:marLeft w:val="0"/>
          <w:marRight w:val="0"/>
          <w:marTop w:val="0"/>
          <w:marBottom w:val="0"/>
          <w:divBdr>
            <w:top w:val="none" w:sz="0" w:space="0" w:color="auto"/>
            <w:left w:val="none" w:sz="0" w:space="0" w:color="auto"/>
            <w:bottom w:val="none" w:sz="0" w:space="0" w:color="auto"/>
            <w:right w:val="none" w:sz="0" w:space="0" w:color="auto"/>
          </w:divBdr>
        </w:div>
        <w:div w:id="786582672">
          <w:marLeft w:val="0"/>
          <w:marRight w:val="0"/>
          <w:marTop w:val="0"/>
          <w:marBottom w:val="0"/>
          <w:divBdr>
            <w:top w:val="none" w:sz="0" w:space="0" w:color="auto"/>
            <w:left w:val="none" w:sz="0" w:space="0" w:color="auto"/>
            <w:bottom w:val="none" w:sz="0" w:space="0" w:color="auto"/>
            <w:right w:val="none" w:sz="0" w:space="0" w:color="auto"/>
          </w:divBdr>
        </w:div>
        <w:div w:id="1292517262">
          <w:marLeft w:val="0"/>
          <w:marRight w:val="0"/>
          <w:marTop w:val="0"/>
          <w:marBottom w:val="0"/>
          <w:divBdr>
            <w:top w:val="none" w:sz="0" w:space="0" w:color="auto"/>
            <w:left w:val="none" w:sz="0" w:space="0" w:color="auto"/>
            <w:bottom w:val="none" w:sz="0" w:space="0" w:color="auto"/>
            <w:right w:val="none" w:sz="0" w:space="0" w:color="auto"/>
          </w:divBdr>
        </w:div>
        <w:div w:id="1127747009">
          <w:marLeft w:val="0"/>
          <w:marRight w:val="0"/>
          <w:marTop w:val="0"/>
          <w:marBottom w:val="0"/>
          <w:divBdr>
            <w:top w:val="none" w:sz="0" w:space="0" w:color="auto"/>
            <w:left w:val="none" w:sz="0" w:space="0" w:color="auto"/>
            <w:bottom w:val="none" w:sz="0" w:space="0" w:color="auto"/>
            <w:right w:val="none" w:sz="0" w:space="0" w:color="auto"/>
          </w:divBdr>
        </w:div>
        <w:div w:id="1085031531">
          <w:marLeft w:val="0"/>
          <w:marRight w:val="0"/>
          <w:marTop w:val="0"/>
          <w:marBottom w:val="0"/>
          <w:divBdr>
            <w:top w:val="none" w:sz="0" w:space="0" w:color="auto"/>
            <w:left w:val="none" w:sz="0" w:space="0" w:color="auto"/>
            <w:bottom w:val="none" w:sz="0" w:space="0" w:color="auto"/>
            <w:right w:val="none" w:sz="0" w:space="0" w:color="auto"/>
          </w:divBdr>
        </w:div>
        <w:div w:id="1419717704">
          <w:marLeft w:val="0"/>
          <w:marRight w:val="0"/>
          <w:marTop w:val="0"/>
          <w:marBottom w:val="0"/>
          <w:divBdr>
            <w:top w:val="none" w:sz="0" w:space="0" w:color="auto"/>
            <w:left w:val="none" w:sz="0" w:space="0" w:color="auto"/>
            <w:bottom w:val="none" w:sz="0" w:space="0" w:color="auto"/>
            <w:right w:val="none" w:sz="0" w:space="0" w:color="auto"/>
          </w:divBdr>
        </w:div>
      </w:divsChild>
    </w:div>
    <w:div w:id="1426918234">
      <w:bodyDiv w:val="1"/>
      <w:marLeft w:val="0"/>
      <w:marRight w:val="0"/>
      <w:marTop w:val="0"/>
      <w:marBottom w:val="0"/>
      <w:divBdr>
        <w:top w:val="none" w:sz="0" w:space="0" w:color="auto"/>
        <w:left w:val="none" w:sz="0" w:space="0" w:color="auto"/>
        <w:bottom w:val="none" w:sz="0" w:space="0" w:color="auto"/>
        <w:right w:val="none" w:sz="0" w:space="0" w:color="auto"/>
      </w:divBdr>
    </w:div>
    <w:div w:id="1509176471">
      <w:bodyDiv w:val="1"/>
      <w:marLeft w:val="0"/>
      <w:marRight w:val="0"/>
      <w:marTop w:val="0"/>
      <w:marBottom w:val="0"/>
      <w:divBdr>
        <w:top w:val="none" w:sz="0" w:space="0" w:color="auto"/>
        <w:left w:val="none" w:sz="0" w:space="0" w:color="auto"/>
        <w:bottom w:val="none" w:sz="0" w:space="0" w:color="auto"/>
        <w:right w:val="none" w:sz="0" w:space="0" w:color="auto"/>
      </w:divBdr>
      <w:divsChild>
        <w:div w:id="2041666030">
          <w:marLeft w:val="0"/>
          <w:marRight w:val="0"/>
          <w:marTop w:val="0"/>
          <w:marBottom w:val="0"/>
          <w:divBdr>
            <w:top w:val="none" w:sz="0" w:space="0" w:color="auto"/>
            <w:left w:val="none" w:sz="0" w:space="0" w:color="auto"/>
            <w:bottom w:val="none" w:sz="0" w:space="0" w:color="auto"/>
            <w:right w:val="none" w:sz="0" w:space="0" w:color="auto"/>
          </w:divBdr>
          <w:divsChild>
            <w:div w:id="486899090">
              <w:marLeft w:val="0"/>
              <w:marRight w:val="0"/>
              <w:marTop w:val="0"/>
              <w:marBottom w:val="0"/>
              <w:divBdr>
                <w:top w:val="none" w:sz="0" w:space="0" w:color="auto"/>
                <w:left w:val="none" w:sz="0" w:space="0" w:color="auto"/>
                <w:bottom w:val="none" w:sz="0" w:space="0" w:color="auto"/>
                <w:right w:val="none" w:sz="0" w:space="0" w:color="auto"/>
              </w:divBdr>
            </w:div>
          </w:divsChild>
        </w:div>
        <w:div w:id="1402100031">
          <w:marLeft w:val="0"/>
          <w:marRight w:val="0"/>
          <w:marTop w:val="0"/>
          <w:marBottom w:val="0"/>
          <w:divBdr>
            <w:top w:val="none" w:sz="0" w:space="0" w:color="auto"/>
            <w:left w:val="none" w:sz="0" w:space="0" w:color="auto"/>
            <w:bottom w:val="none" w:sz="0" w:space="0" w:color="auto"/>
            <w:right w:val="none" w:sz="0" w:space="0" w:color="auto"/>
          </w:divBdr>
          <w:divsChild>
            <w:div w:id="3955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7559">
      <w:bodyDiv w:val="1"/>
      <w:marLeft w:val="0"/>
      <w:marRight w:val="0"/>
      <w:marTop w:val="0"/>
      <w:marBottom w:val="0"/>
      <w:divBdr>
        <w:top w:val="none" w:sz="0" w:space="0" w:color="auto"/>
        <w:left w:val="none" w:sz="0" w:space="0" w:color="auto"/>
        <w:bottom w:val="none" w:sz="0" w:space="0" w:color="auto"/>
        <w:right w:val="none" w:sz="0" w:space="0" w:color="auto"/>
      </w:divBdr>
    </w:div>
    <w:div w:id="1818496406">
      <w:bodyDiv w:val="1"/>
      <w:marLeft w:val="0"/>
      <w:marRight w:val="0"/>
      <w:marTop w:val="0"/>
      <w:marBottom w:val="0"/>
      <w:divBdr>
        <w:top w:val="none" w:sz="0" w:space="0" w:color="auto"/>
        <w:left w:val="none" w:sz="0" w:space="0" w:color="auto"/>
        <w:bottom w:val="none" w:sz="0" w:space="0" w:color="auto"/>
        <w:right w:val="none" w:sz="0" w:space="0" w:color="auto"/>
      </w:divBdr>
    </w:div>
    <w:div w:id="182859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D9E95-4FF6-4A3F-BB2A-3EBBB8F0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3290</Words>
  <Characters>18759</Characters>
  <Application>Microsoft Office Word</Application>
  <DocSecurity>0</DocSecurity>
  <Lines>156</Lines>
  <Paragraphs>44</Paragraphs>
  <ScaleCrop>false</ScaleCrop>
  <HeadingPairs>
    <vt:vector size="2" baseType="variant">
      <vt:variant>
        <vt:lpstr>Tytuł</vt:lpstr>
      </vt:variant>
      <vt:variant>
        <vt:i4>1</vt:i4>
      </vt:variant>
    </vt:vector>
  </HeadingPairs>
  <TitlesOfParts>
    <vt:vector size="1" baseType="lpstr">
      <vt:lpstr/>
    </vt:vector>
  </TitlesOfParts>
  <Company>Kancelaria Senatu</Company>
  <LinksUpToDate>false</LinksUpToDate>
  <CharactersWithSpaces>22005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Tracz-Dral Jagoda</dc:creator>
  <cp:keywords/>
  <dc:description/>
  <cp:lastModifiedBy>MOELLER, Daniel</cp:lastModifiedBy>
  <cp:revision>18</cp:revision>
  <cp:lastPrinted>2015-03-06T11:53:00Z</cp:lastPrinted>
  <dcterms:created xsi:type="dcterms:W3CDTF">2015-03-06T09:29:00Z</dcterms:created>
  <dcterms:modified xsi:type="dcterms:W3CDTF">2015-03-06T14:32:00Z</dcterms:modified>
</cp:coreProperties>
</file>