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center"/>
      </w:pPr>
      <w:r>
        <w:rPr>
          <w:sz w:val="40"/>
          <w:szCs w:val="40"/>
          <w:rtl w:val="0"/>
          <w:lang w:val="nl-NL"/>
        </w:rPr>
        <w:t>Opdracht JSF32, week 13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In deze opdracht experimenteren we met: </w:t>
      </w:r>
    </w:p>
    <w:p>
      <w:pPr>
        <w:pStyle w:val="List Paragraph"/>
        <w:numPr>
          <w:ilvl w:val="0"/>
          <w:numId w:val="2"/>
        </w:numPr>
        <w:rPr>
          <w:lang w:val="nl-NL"/>
        </w:rPr>
      </w:pPr>
      <w:r>
        <w:rPr>
          <w:rtl w:val="0"/>
          <w:lang w:val="nl-NL"/>
        </w:rPr>
        <w:t>Random access files</w:t>
      </w:r>
    </w:p>
    <w:p>
      <w:pPr>
        <w:pStyle w:val="List Paragraph"/>
        <w:numPr>
          <w:ilvl w:val="0"/>
          <w:numId w:val="2"/>
        </w:numPr>
        <w:rPr>
          <w:lang w:val="nl-NL"/>
        </w:rPr>
      </w:pPr>
      <w:r>
        <w:rPr>
          <w:rtl w:val="0"/>
          <w:lang w:val="nl-NL"/>
        </w:rPr>
        <w:t>File mapping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We gaan uit van de 2 applicaties (binaire schrijfapplicatie en leesapplicatie zonder buffer), die vorige week gemaakt zijn. </w:t>
      </w:r>
    </w:p>
    <w:p>
      <w:pPr>
        <w:pStyle w:val="List Paragraph"/>
        <w:numPr>
          <w:ilvl w:val="0"/>
          <w:numId w:val="4"/>
        </w:numPr>
        <w:rPr>
          <w:lang w:val="nl-NL"/>
        </w:rPr>
      </w:pPr>
      <w:r>
        <w:rPr>
          <w:rtl w:val="0"/>
          <w:lang w:val="nl-NL"/>
        </w:rPr>
        <w:t xml:space="preserve">Gebruik nu een memory mapped file in plaats van de read/write methodes uit de stream klassen. </w:t>
      </w:r>
      <w:r>
        <w:br w:type="textWrapping"/>
      </w:r>
      <w:r>
        <w:rPr>
          <w:rtl w:val="0"/>
          <w:lang w:val="nl-NL"/>
        </w:rPr>
        <w:t>Meet opnieuw de benodigde tijd voor dezelfde levels als vorige week, en vergelijk die met de binaire buffered files van vorige week (neem die hieronder over van vorige week):</w:t>
      </w:r>
    </w:p>
    <w:tbl>
      <w:tblPr>
        <w:tblW w:w="92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42"/>
        <w:gridCol w:w="1842"/>
        <w:gridCol w:w="1842"/>
        <w:gridCol w:w="1842"/>
        <w:gridCol w:w="1844"/>
      </w:tblGrid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nl-NL"/>
              </w:rPr>
              <w:t>Level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rtl w:val="0"/>
                <w:lang w:val="nl-NL"/>
              </w:rPr>
              <w:t>Binaire file</w:t>
            </w:r>
          </w:p>
          <w:p>
            <w:pPr>
              <w:pStyle w:val="Body"/>
              <w:spacing w:line="240" w:lineRule="auto"/>
              <w:jc w:val="center"/>
            </w:pPr>
            <w:r>
              <w:rPr>
                <w:rtl w:val="0"/>
                <w:lang w:val="nl-NL"/>
              </w:rPr>
              <w:t>zonder buffer</w:t>
            </w:r>
          </w:p>
          <w:p>
            <w:pPr>
              <w:pStyle w:val="Body"/>
              <w:spacing w:line="240" w:lineRule="auto"/>
              <w:jc w:val="center"/>
            </w:pPr>
            <w:r>
              <w:rPr>
                <w:rtl w:val="0"/>
                <w:lang w:val="nl-NL"/>
              </w:rPr>
              <w:t>lezen</w:t>
            </w:r>
          </w:p>
          <w:p>
            <w:pPr>
              <w:pStyle w:val="Body"/>
              <w:spacing w:line="240" w:lineRule="auto"/>
              <w:jc w:val="center"/>
            </w:pPr>
            <w:r>
              <w:rPr>
                <w:rtl w:val="0"/>
                <w:lang w:val="nl-NL"/>
              </w:rPr>
              <w:t>(zie vorige week)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rtl w:val="0"/>
                <w:lang w:val="nl-NL"/>
              </w:rPr>
              <w:t>Binaire file</w:t>
            </w:r>
          </w:p>
          <w:p>
            <w:pPr>
              <w:pStyle w:val="Body"/>
              <w:spacing w:line="240" w:lineRule="auto"/>
              <w:jc w:val="center"/>
            </w:pPr>
            <w:r>
              <w:rPr>
                <w:rtl w:val="0"/>
                <w:lang w:val="nl-NL"/>
              </w:rPr>
              <w:t>zonder buffer</w:t>
            </w:r>
          </w:p>
          <w:p>
            <w:pPr>
              <w:pStyle w:val="Body"/>
              <w:spacing w:line="240" w:lineRule="auto"/>
              <w:jc w:val="center"/>
            </w:pPr>
            <w:r>
              <w:rPr>
                <w:rtl w:val="0"/>
                <w:lang w:val="nl-NL"/>
              </w:rPr>
              <w:t>schrijven</w:t>
            </w:r>
          </w:p>
          <w:p>
            <w:pPr>
              <w:pStyle w:val="Body"/>
              <w:spacing w:line="240" w:lineRule="auto"/>
              <w:jc w:val="center"/>
            </w:pPr>
            <w:r>
              <w:rPr>
                <w:rtl w:val="0"/>
                <w:lang w:val="nl-NL"/>
              </w:rPr>
              <w:t>(zie vorige week )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rtl w:val="0"/>
                <w:lang w:val="nl-NL"/>
              </w:rPr>
              <w:t>Mapped file</w:t>
            </w:r>
          </w:p>
          <w:p>
            <w:pPr>
              <w:pStyle w:val="Body"/>
              <w:spacing w:line="240" w:lineRule="auto"/>
              <w:jc w:val="center"/>
            </w:pPr>
            <w:r>
              <w:rPr>
                <w:rtl w:val="0"/>
                <w:lang w:val="nl-NL"/>
              </w:rPr>
              <w:t>lezen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rtl w:val="0"/>
                <w:lang w:val="nl-NL"/>
              </w:rPr>
              <w:t>Mapped file</w:t>
            </w:r>
          </w:p>
          <w:p>
            <w:pPr>
              <w:pStyle w:val="Body"/>
              <w:spacing w:line="240" w:lineRule="auto"/>
              <w:jc w:val="center"/>
            </w:pPr>
            <w:r>
              <w:rPr>
                <w:rtl w:val="0"/>
                <w:lang w:val="nl-NL"/>
              </w:rPr>
              <w:t>schrijven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  <w:rPr>
                <w:lang w:val="nl-NL"/>
              </w:rPr>
            </w:pPr>
          </w:p>
          <w:p>
            <w:pPr>
              <w:pStyle w:val="Body"/>
              <w:spacing w:line="240" w:lineRule="auto"/>
              <w:jc w:val="center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361 mSec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671 mSec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1985 mSec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rtl w:val="0"/>
                <w:lang w:val="en-US"/>
              </w:rPr>
              <w:t>9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1956 mSec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2086 mSec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8601 mSec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rtl w:val="0"/>
                <w:lang w:val="en-US"/>
              </w:rPr>
              <w:t>10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15226 mSec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8374 mSec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25644 mSec</w:t>
            </w:r>
          </w:p>
        </w:tc>
      </w:tr>
    </w:tbl>
    <w:p>
      <w:pPr>
        <w:pStyle w:val="List Paragraph"/>
        <w:widowControl w:val="0"/>
        <w:numPr>
          <w:ilvl w:val="0"/>
          <w:numId w:val="4"/>
        </w:numPr>
        <w:spacing w:line="240" w:lineRule="auto"/>
      </w:pPr>
      <w:r/>
    </w:p>
    <w:sectPr>
      <w:headerReference w:type="default" r:id="rId4"/>
      <w:footerReference w:type="default" r:id="rId5"/>
      <w:pgSz w:w="11900" w:h="16840" w:orient="portrait"/>
      <w:pgMar w:top="567" w:right="1417" w:bottom="709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nl-NL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nl-NL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Kantoorthema">
  <a:themeElements>
    <a:clrScheme name="Kantoorth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Kantoorthema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Kantoorth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