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rFonts w:ascii="Calibri" w:hAnsi="Calibri" w:eastAsia="Arial Unicode MS"/>
          <w:b/>
          <w:color w:val="2E74B5"/>
          <w:sz w:val="20"/>
        </w:rPr>
        <w:t>GEO OPTIMIZATION PLAN</w:t>
      </w:r>
    </w:p>
    <w:p>
      <w:pPr>
        <w:spacing w:after="160"/>
      </w:pPr>
      <w:r>
        <w:rPr>
          <w:rFonts w:ascii="Calibri" w:hAnsi="Calibri" w:eastAsia="Arial Unicode MS"/>
          <w:b/>
          <w:color w:val="0B2545"/>
          <w:sz w:val="54"/>
        </w:rPr>
        <w:t>LIGUOXING 网站 GEO 优化实施方案</w:t>
      </w:r>
    </w:p>
    <w:p>
      <w:pPr>
        <w:spacing w:after="480"/>
      </w:pPr>
      <w:r>
        <w:rPr>
          <w:rFonts w:ascii="Calibri" w:hAnsi="Calibri" w:eastAsia="Arial Unicode MS"/>
          <w:color w:val="5B6573"/>
          <w:sz w:val="27"/>
        </w:rPr>
        <w:t>从“产品展示站”升级为“可被 AI 理解、验证与引用的行业知识源”</w:t>
      </w:r>
    </w:p>
    <w:p>
      <w:pPr>
        <w:spacing w:after="60"/>
      </w:pPr>
      <w:r>
        <w:rPr>
          <w:rFonts w:ascii="Calibri" w:hAnsi="Calibri" w:eastAsia="Arial Unicode MS"/>
          <w:b/>
          <w:color w:val="0B2545"/>
          <w:sz w:val="22"/>
        </w:rPr>
        <w:t>项目：</w:t>
      </w:r>
      <w:r>
        <w:rPr>
          <w:rFonts w:ascii="Calibri" w:hAnsi="Calibri" w:eastAsia="Arial Unicode MS"/>
          <w:color w:val="1F2933"/>
          <w:sz w:val="22"/>
        </w:rPr>
        <w:t>www.liguoxing.com 英文工业设备站</w:t>
      </w:r>
    </w:p>
    <w:p>
      <w:pPr>
        <w:spacing w:after="60"/>
      </w:pPr>
      <w:r>
        <w:rPr>
          <w:rFonts w:ascii="Calibri" w:hAnsi="Calibri" w:eastAsia="Arial Unicode MS"/>
          <w:b/>
          <w:color w:val="0B2545"/>
          <w:sz w:val="22"/>
        </w:rPr>
        <w:t>文档版本：</w:t>
      </w:r>
      <w:r>
        <w:rPr>
          <w:rFonts w:ascii="Calibri" w:hAnsi="Calibri" w:eastAsia="Arial Unicode MS"/>
          <w:color w:val="1F2933"/>
          <w:sz w:val="22"/>
        </w:rPr>
        <w:t>V1.0</w:t>
      </w:r>
    </w:p>
    <w:p>
      <w:pPr>
        <w:spacing w:after="60"/>
      </w:pPr>
      <w:r>
        <w:rPr>
          <w:rFonts w:ascii="Calibri" w:hAnsi="Calibri" w:eastAsia="Arial Unicode MS"/>
          <w:b/>
          <w:color w:val="0B2545"/>
          <w:sz w:val="22"/>
        </w:rPr>
        <w:t>编制日期：</w:t>
      </w:r>
      <w:r>
        <w:rPr>
          <w:rFonts w:ascii="Calibri" w:hAnsi="Calibri" w:eastAsia="Arial Unicode MS"/>
          <w:color w:val="1F2933"/>
          <w:sz w:val="22"/>
        </w:rPr>
        <w:t>2026-07-30</w:t>
      </w:r>
    </w:p>
    <w:p>
      <w:pPr>
        <w:spacing w:after="60"/>
      </w:pPr>
      <w:r>
        <w:rPr>
          <w:rFonts w:ascii="Calibri" w:hAnsi="Calibri" w:eastAsia="Arial Unicode MS"/>
          <w:b/>
          <w:color w:val="0B2545"/>
          <w:sz w:val="22"/>
        </w:rPr>
        <w:t>适用范围：</w:t>
      </w:r>
      <w:r>
        <w:rPr>
          <w:rFonts w:ascii="Calibri" w:hAnsi="Calibri" w:eastAsia="Arial Unicode MS"/>
          <w:color w:val="1F2933"/>
          <w:sz w:val="22"/>
        </w:rPr>
        <w:t>事实治理、技术 SEO/GEO、内容建设、海外引用与验收</w:t>
      </w:r>
    </w:p>
    <w:p>
      <w:pPr>
        <w:spacing w:after="60"/>
      </w:pPr>
      <w:r>
        <w:rPr>
          <w:rFonts w:ascii="Calibri" w:hAnsi="Calibri" w:eastAsia="Arial Unicode MS"/>
          <w:b/>
          <w:color w:val="0B2545"/>
          <w:sz w:val="22"/>
        </w:rPr>
        <w:t>依据：</w:t>
      </w:r>
      <w:r>
        <w:rPr>
          <w:rFonts w:ascii="Calibri" w:hAnsi="Calibri" w:eastAsia="Arial Unicode MS"/>
          <w:color w:val="1F2933"/>
          <w:sz w:val="22"/>
        </w:rPr>
        <w:t>03-工单表.xlsx、本地项目代码、线上页面抽样、现有技术资料库</w:t>
      </w:r>
    </w:p>
    <w:p>
      <w:pPr>
        <w:spacing w:before="100" w:after="160" w:line="288" w:lineRule="auto"/>
        <w:ind w:left="216" w:right="115"/>
        <w:shd w:fill="F4F6F9"/>
        <w:pBdr>
          <w:left w:val="single" w:sz="18" w:space="8" w:color="2E74B5"/>
        </w:pBdr>
      </w:pPr>
      <w:r>
        <w:rPr>
          <w:rFonts w:ascii="Calibri" w:hAnsi="Calibri" w:eastAsia="Arial Unicode MS"/>
          <w:b/>
          <w:color w:val="2E74B5"/>
          <w:sz w:val="22"/>
        </w:rPr>
        <w:t xml:space="preserve">核心判断  </w:t>
      </w:r>
      <w:r>
        <w:rPr>
          <w:rFonts w:ascii="Calibri" w:hAnsi="Calibri" w:eastAsia="Arial Unicode MS"/>
          <w:color w:val="1F2933"/>
          <w:sz w:val="22"/>
        </w:rPr>
        <w:t>当前站点已具备可抓取的静态正文、基础 sitemap 和设备参数，不存在全站“空壳页”致命问题。主要缺口是事实证据治理、实体化结构数据、可抽取内容块和外部权威引用。</w:t>
      </w:r>
    </w:p>
    <w:p>
      <w:pPr>
        <w:spacing w:before="1480" w:after="0"/>
        <w:jc w:val="right"/>
      </w:pPr>
      <w:r>
        <w:rPr>
          <w:rFonts w:ascii="Calibri" w:hAnsi="Calibri" w:eastAsia="Arial Unicode MS"/>
          <w:i/>
          <w:color w:val="5B6573"/>
          <w:sz w:val="18"/>
        </w:rPr>
        <w:t>内部实施与验收文档</w:t>
      </w:r>
    </w:p>
    <w:p>
      <w:r>
        <w:br w:type="page"/>
      </w:r>
    </w:p>
    <w:p>
      <w:pPr>
        <w:pStyle w:val="Heading1"/>
        <w:keepNext/>
      </w:pPr>
      <w:r>
        <w:t>1. 执行摘要</w:t>
      </w:r>
    </w:p>
    <w:p>
      <w:pPr>
        <w:spacing w:before="0" w:after="120" w:line="300" w:lineRule="auto"/>
      </w:pPr>
      <w:r>
        <w:rPr>
          <w:rFonts w:ascii="Calibri" w:hAnsi="Calibri" w:eastAsia="Arial Unicode MS"/>
          <w:i w:val="0"/>
          <w:color w:val="1F2933"/>
          <w:sz w:val="22"/>
        </w:rPr>
        <w:t>本方案将原工单的 15 项问题重新分为四个交付包：事实底座、技术标记、内容矩阵、外部信源。实施顺序必须先确定品牌和设备事实，再生成 JSON-LD、llms.txt 和页面内容，否则容易将未核实的营销说法批量扩散。</w:t>
      </w:r>
    </w:p>
    <w:p>
      <w:pPr>
        <w:spacing w:before="100" w:after="160" w:line="288" w:lineRule="auto"/>
        <w:ind w:left="216" w:right="115"/>
        <w:shd w:fill="EEF7F2"/>
        <w:pBdr>
          <w:left w:val="single" w:sz="18" w:space="8" w:color="2E6B4F"/>
        </w:pBdr>
      </w:pPr>
      <w:r>
        <w:rPr>
          <w:rFonts w:ascii="Calibri" w:hAnsi="Calibri" w:eastAsia="Arial Unicode MS"/>
          <w:b/>
          <w:color w:val="2E6B4F"/>
          <w:sz w:val="22"/>
        </w:rPr>
        <w:t xml:space="preserve">建议决策  </w:t>
      </w:r>
      <w:r>
        <w:rPr>
          <w:rFonts w:ascii="Calibri" w:hAnsi="Calibri" w:eastAsia="Arial Unicode MS"/>
          <w:color w:val="1F2933"/>
          <w:sz w:val="22"/>
        </w:rPr>
        <w:t>立即启动 T-001、T-002 和 T-007；将 T-006 改为“站点抓取回归测试”；将 T-008 至 T-013 改为按页面意图选择性实施；将 T-015 和 T-016 定义为季度结果指标。</w:t>
      </w:r>
    </w:p>
    <w:p>
      <w:pPr>
        <w:pStyle w:val="Heading2"/>
        <w:keepNext/>
      </w:pPr>
      <w:r>
        <w:t>1.1 预期成果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建立可追溯的品牌与设备事实源，降低 AI 回答中的品牌描述漂移。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使搜索引擎和 AI 抓取器能明确识别公司、产品、技术参数、文章、视频和页面关系。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把核心产品页从规格展示页扩展成可回答选型、材料、工艺和应用问题的知识页。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建立固定测试题库，按月记录 ChatGPT、Perplexity、Gemini 和 Copilot 的提及与引用情况。</w:t>
      </w:r>
    </w:p>
    <w:p>
      <w:pPr>
        <w:pStyle w:val="Heading2"/>
        <w:keepNext/>
      </w:pPr>
      <w:r>
        <w:t>1.2 原工单处理分类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400"/>
        <w:gridCol w:w="1550"/>
        <w:gridCol w:w="2100"/>
        <w:gridCol w:w="431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工单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处理结论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直接保留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T-001、T-002、T-007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优先实施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分别对应实体一致性、事实源和机器可读结构，是后续所有工作的依赖。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调整口径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T-006、T-008~T-014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按页面类型实施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线上代表页可抓取；不是每个页面都需要步骤、FAQ、对比或 1000 词。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辅助项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T-005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降为 P2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llms.txt 可作为官方事实索引，但不是标准化排名保证。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条件项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T-003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依赖第三方来源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百科或 Wikipedia 需要独立可靠来源，不能把“提交”当成保证上线的开发任务。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结果 KPI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T-015、T-016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季度跟踪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提及率和官网引用率受收录、外部信源和平台模型变化影响，不能作为单次改版承诺。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keepNext/>
      </w:pPr>
      <w:r>
        <w:t>2. 现状与问题边界</w:t>
      </w:r>
    </w:p>
    <w:p>
      <w:pPr>
        <w:pStyle w:val="Heading2"/>
        <w:keepNext/>
      </w:pPr>
      <w:r>
        <w:t>2.1 已确认的优势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站点为静态 HTML 内容结构，线上首页、设备页、关于页和新闻详情页可被文本抓取器读取。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robots.txt 允许抓取，并声明 sitemap.xml。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BVM-120 产品页已包含速度、尺寸、材料、功率、气源和水源等技术参数。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项目已建立内部设备知识库，包含来源资料、参数冲突和待确认事项。</w:t>
      </w:r>
    </w:p>
    <w:p>
      <w:pPr>
        <w:pStyle w:val="Heading2"/>
        <w:keepNext/>
      </w:pPr>
      <w:r>
        <w:t>2.2 主要缺口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900"/>
        <w:gridCol w:w="3000"/>
        <w:gridCol w:w="3160"/>
        <w:gridCol w:w="13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缺口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当前表现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影响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优先级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事实证据未统一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参数分散在 DOCX、PPTX、PDF 和页面中，部分说法无公开证据。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易导致品牌描述漂移和过度承诺。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JSON-LD 缺失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全站 HTML 未发现 application/ld+json。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搜索引擎需要自行推断公司、产品和内容类型。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页面内容密度不均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产品参数较丰富，但聚合页、视频页和新闻页偏薄。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无法覆盖选型、比较、材料要求和项目决策类问题。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P1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可抽取摘要缺失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很少有 Quick Answer、Key Facts、FAQ 或明确边界说明。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AI 需要在长文中自行推理结论，引用错误风险较高。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P1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外部实体信号弱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客户、媒体、行业站点对品牌和产品的独立提及有限。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AI 候选来源中官网的可信度和可见度不足。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P1</w:t>
            </w:r>
          </w:p>
        </w:tc>
      </w:tr>
    </w:tbl>
    <w:p>
      <w:pPr>
        <w:spacing w:before="40" w:after="40"/>
      </w:pPr>
    </w:p>
    <w:p>
      <w:pPr>
        <w:spacing w:before="100" w:after="160" w:line="288" w:lineRule="auto"/>
        <w:ind w:left="216" w:right="115"/>
        <w:shd w:fill="FFF8E6"/>
        <w:pBdr>
          <w:left w:val="single" w:sz="18" w:space="8" w:color="7A5A00"/>
        </w:pBdr>
      </w:pPr>
      <w:r>
        <w:rPr>
          <w:rFonts w:ascii="Calibri" w:hAnsi="Calibri" w:eastAsia="Arial Unicode MS"/>
          <w:b/>
          <w:color w:val="7A5A00"/>
          <w:sz w:val="22"/>
        </w:rPr>
        <w:t xml:space="preserve">需注意  </w:t>
      </w:r>
      <w:r>
        <w:rPr>
          <w:rFonts w:ascii="Calibri" w:hAnsi="Calibri" w:eastAsia="Arial Unicode MS"/>
          <w:color w:val="1F2933"/>
          <w:sz w:val="22"/>
        </w:rPr>
        <w:t>工单中“定义 +57.3%”、“数字事实 +61.6%”等数字应视为检测工具的内部启发式指标，不应转换成项目承诺或商业 ROI 预测。</w:t>
      </w:r>
    </w:p>
    <w:p>
      <w:pPr>
        <w:pStyle w:val="Heading1"/>
        <w:keepNext/>
      </w:pPr>
      <w:r>
        <w:t>3. 优化原则</w:t>
      </w:r>
    </w:p>
    <w:p>
      <w:pPr>
        <w:spacing w:before="0" w:after="120" w:line="300" w:lineRule="auto"/>
      </w:pPr>
      <w:r>
        <w:rPr>
          <w:rFonts w:ascii="Calibri" w:hAnsi="Calibri" w:eastAsia="Arial Unicode MS"/>
          <w:b/>
          <w:color w:val="1F2933"/>
          <w:sz w:val="22"/>
        </w:rPr>
        <w:t>证据优先：</w:t>
      </w:r>
      <w:r>
        <w:rPr>
          <w:rFonts w:ascii="Calibri" w:hAnsi="Calibri" w:eastAsia="Arial Unicode MS"/>
          <w:i w:val="0"/>
          <w:color w:val="1F2933"/>
          <w:sz w:val="22"/>
        </w:rPr>
        <w:t>任何具体数字、客户名称、性能结论和绝对化表达都必须关联证据等级。</w:t>
      </w:r>
    </w:p>
    <w:p>
      <w:pPr>
        <w:spacing w:before="0" w:after="120" w:line="300" w:lineRule="auto"/>
      </w:pPr>
      <w:r>
        <w:rPr>
          <w:rFonts w:ascii="Calibri" w:hAnsi="Calibri" w:eastAsia="Arial Unicode MS"/>
          <w:b/>
          <w:color w:val="1F2933"/>
          <w:sz w:val="22"/>
        </w:rPr>
        <w:t>答案优先：</w:t>
      </w:r>
      <w:r>
        <w:rPr>
          <w:rFonts w:ascii="Calibri" w:hAnsi="Calibri" w:eastAsia="Arial Unicode MS"/>
          <w:i w:val="0"/>
          <w:color w:val="1F2933"/>
          <w:sz w:val="22"/>
        </w:rPr>
        <w:t>核心页先用 80~120 词说清“这是什么、给谁用、主要参数和边界”，再展开细节。</w:t>
      </w:r>
    </w:p>
    <w:p>
      <w:pPr>
        <w:spacing w:before="0" w:after="120" w:line="300" w:lineRule="auto"/>
      </w:pPr>
      <w:r>
        <w:rPr>
          <w:rFonts w:ascii="Calibri" w:hAnsi="Calibri" w:eastAsia="Arial Unicode MS"/>
          <w:b/>
          <w:color w:val="1F2933"/>
          <w:sz w:val="22"/>
        </w:rPr>
        <w:t>实体一致：</w:t>
      </w:r>
      <w:r>
        <w:rPr>
          <w:rFonts w:ascii="Calibri" w:hAnsi="Calibri" w:eastAsia="Arial Unicode MS"/>
          <w:i w:val="0"/>
          <w:color w:val="1F2933"/>
          <w:sz w:val="22"/>
        </w:rPr>
        <w:t>品牌名、公司全称、型号、品类、网址和联系方式在页面、JSON-LD 和外部账号中保持一致。</w:t>
      </w:r>
    </w:p>
    <w:p>
      <w:pPr>
        <w:spacing w:before="0" w:after="120" w:line="300" w:lineRule="auto"/>
      </w:pPr>
      <w:r>
        <w:rPr>
          <w:rFonts w:ascii="Calibri" w:hAnsi="Calibri" w:eastAsia="Arial Unicode MS"/>
          <w:b/>
          <w:color w:val="1F2933"/>
          <w:sz w:val="22"/>
        </w:rPr>
        <w:t>意图匹配：</w:t>
      </w:r>
      <w:r>
        <w:rPr>
          <w:rFonts w:ascii="Calibri" w:hAnsi="Calibri" w:eastAsia="Arial Unicode MS"/>
          <w:i w:val="0"/>
          <w:color w:val="1F2933"/>
          <w:sz w:val="22"/>
        </w:rPr>
        <w:t>产品页回答选型问题，应用页回答工况问题，文章回答技术问题，联系页不强行扩写。</w:t>
      </w:r>
    </w:p>
    <w:p>
      <w:pPr>
        <w:spacing w:before="0" w:after="120" w:line="300" w:lineRule="auto"/>
      </w:pPr>
      <w:r>
        <w:rPr>
          <w:rFonts w:ascii="Calibri" w:hAnsi="Calibri" w:eastAsia="Arial Unicode MS"/>
          <w:b/>
          <w:color w:val="1F2933"/>
          <w:sz w:val="22"/>
        </w:rPr>
        <w:t>可验收：</w:t>
      </w:r>
      <w:r>
        <w:rPr>
          <w:rFonts w:ascii="Calibri" w:hAnsi="Calibri" w:eastAsia="Arial Unicode MS"/>
          <w:i w:val="0"/>
          <w:color w:val="1F2933"/>
          <w:sz w:val="22"/>
        </w:rPr>
        <w:t>技术层用抓取、schema 验证和索引覆盖率验收；内容层用事实源和页面模板验收；结果层用固定题库按月跟踪。</w:t>
      </w:r>
    </w:p>
    <w:p>
      <w:pPr>
        <w:pStyle w:val="Heading1"/>
        <w:keepNext/>
      </w:pPr>
      <w:r>
        <w:t>4. 阶段一：建立事实底座</w:t>
      </w:r>
    </w:p>
    <w:p>
      <w:pPr>
        <w:spacing w:before="0" w:after="120" w:line="300" w:lineRule="auto"/>
      </w:pPr>
      <w:r>
        <w:rPr>
          <w:rFonts w:ascii="Calibri" w:hAnsi="Calibri" w:eastAsia="Arial Unicode MS"/>
          <w:i w:val="0"/>
          <w:color w:val="1F2933"/>
          <w:sz w:val="22"/>
        </w:rPr>
        <w:t>目标是建立一份人和程序都能使用的官方事实卡。建议新建 content/facts.md，以现有 docs/liguoxing-company-equipment-knowledge-base.md 为初始输入，由技术、销售和管理人员联合审核。</w:t>
      </w:r>
    </w:p>
    <w:p>
      <w:pPr>
        <w:pStyle w:val="Heading2"/>
        <w:keepNext/>
      </w:pPr>
      <w:r>
        <w:t>4.1 事实卡必备字段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实体：品牌名、法定公司名、别名、总部地址、联系方式、官方域名和官方社交账号。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产品：BVM-120、BVM-120X、SFH-800、GY-800 的规范名称、类别和状态。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数字：最大速度、典型速度、尺寸、功率、材料条件、公用工程要求和证据日期。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适用与不适用：袋型、材料、底宽、透明度、工况和不应作出的性能承诺。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溯源：每条事实对应原始文件、页码或章节、证据等级、审核人和审核日期。</w:t>
      </w:r>
    </w:p>
    <w:p>
      <w:pPr>
        <w:pStyle w:val="Heading2"/>
        <w:keepNext/>
      </w:pPr>
      <w:r>
        <w:t>4.2 证据等级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000"/>
        <w:gridCol w:w="3600"/>
        <w:gridCol w:w="47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级别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证据类型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公开使用规则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第三方检测报告、证书、合同、客户公开材料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可作为高信任事实并附出处。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B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经工程或技术负责人签字确认的技术文档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可公开，但需保留适用条件和范围。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公司宣传册、PPT、已发布网页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可作为营销参考，关键数字建议再确认。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D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销售口述、历史文案、未确认客户案例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不作为公开强事实，先补证据。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color w:val="1F2933"/>
                <w:sz w:val="17"/>
              </w:rPr>
              <w:t>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无法定位来源或与其他资料冲突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标记“待确认”，禁止进入公开页面和 schema。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4.3 标准定义句</w:t>
      </w:r>
    </w:p>
    <w:p>
      <w:pPr>
        <w:spacing w:before="100" w:after="160" w:line="288" w:lineRule="auto"/>
        <w:ind w:left="216" w:right="115"/>
        <w:shd w:fill="F4F6F9"/>
        <w:pBdr>
          <w:left w:val="single" w:sz="18" w:space="8" w:color="2E74B5"/>
        </w:pBdr>
      </w:pPr>
      <w:r>
        <w:rPr>
          <w:rFonts w:ascii="Calibri" w:hAnsi="Calibri" w:eastAsia="Arial Unicode MS"/>
          <w:b/>
          <w:color w:val="2E74B5"/>
          <w:sz w:val="22"/>
        </w:rPr>
        <w:t xml:space="preserve">建议英文口径  </w:t>
      </w:r>
      <w:r>
        <w:rPr>
          <w:rFonts w:ascii="Calibri" w:hAnsi="Calibri" w:eastAsia="Arial Unicode MS"/>
          <w:color w:val="1F2933"/>
          <w:sz w:val="22"/>
        </w:rPr>
        <w:t>LIGUOXING (Qingdao Liguoxing Precision Machinery Co., Ltd.) is a China-based manufacturer of industrial woven-bag machinery, specializing in block-bottom valve-bag making lines, lamination equipment, and woven-bag printing machines.</w:t>
      </w:r>
    </w:p>
    <w:p>
      <w:pPr>
        <w:spacing w:before="0" w:after="120" w:line="300" w:lineRule="auto"/>
      </w:pPr>
      <w:r>
        <w:rPr>
          <w:rFonts w:ascii="Calibri" w:hAnsi="Calibri" w:eastAsia="Arial Unicode MS"/>
          <w:i w:val="0"/>
          <w:color w:val="1F2933"/>
          <w:sz w:val="22"/>
        </w:rPr>
        <w:t>该句建议在 facts.md、Organization JSON-LD 和 llms.txt 中保持完全一致。首页和关于页可在不改变实体、品类和业务边界的前提下自然改写。</w:t>
      </w:r>
    </w:p>
    <w:p>
      <w:pPr>
        <w:pStyle w:val="Heading2"/>
        <w:keepNext/>
      </w:pPr>
      <w:r>
        <w:t>4.4 高风险表达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zero leakage、absolutely dust-free、perfectly sealed：除非有可对应工况的检测证据，改为 helps reduce leakage / supports cleaner filling。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leading global factory、industry leader：需要独立第三方来源，否则改为 manufacturer / direct manufacturer。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客户名单和“200+ sets delivered”：需要客户授权、发货台账或可公开证据。</w:t>
      </w:r>
    </w:p>
    <w:p>
      <w:pPr>
        <w:pStyle w:val="Heading1"/>
        <w:keepNext/>
      </w:pPr>
      <w:r>
        <w:t>5. 阶段二：技术 GEO 建设</w:t>
      </w:r>
    </w:p>
    <w:p>
      <w:pPr>
        <w:pStyle w:val="Heading2"/>
        <w:keepNext/>
      </w:pPr>
      <w:r>
        <w:t>5.1 抓取与 URL 治理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将 T-006 改为回归测试：对 sitemap 中所有 URL 定期执行 HTTP 状态、canonical、H1 和正文词数检查。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每个可索引页面应返回 200，HTML 中直接包含主要正文，不依赖用户交互才出现。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当前 3 个 Case 文件只跳转到视频页：如保留案例意图，则重建为真实案例页；如废弃，则配置服务器端 301。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统一 .html URL 与线上目录型 URL 的 canonical 和重定向规则，避免重复页面。</w:t>
      </w:r>
    </w:p>
    <w:p>
      <w:pPr>
        <w:pStyle w:val="Heading2"/>
        <w:keepNext/>
      </w:pPr>
      <w:r>
        <w:t>5.2 JSON-LD 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400"/>
        <w:gridCol w:w="2350"/>
        <w:gridCol w:w="3000"/>
        <w:gridCol w:w="261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页面类型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建议 Schema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关键字段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约束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首页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Organization + WebSite + WebPage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name、legalName、url、logo、address、contactPoint、sameAs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公司全称、联系信息与事实卡一致。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设备页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Product + WebPage + BreadcrumbList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name、model、brand、manufacturer、image、description、additionalProperty</w:t>
            </w:r>
          </w:p>
        </w:tc>
        <w:tc>
          <w:tcPr>
            <w:tcW w:type="dxa" w:w="2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工业设备使用 Product，不使用 SoftwareApplication。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应用页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WebPage + BreadcrumbList + FAQPage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about、mainEntity、inLanguage、dateModified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只有页面真实显示 FAQ 时才输出 FAQPage。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新闻/技术文章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Article + BreadcrumbList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headline、datePublished、dateModified、author、publisher、mainEntityOfPage</w:t>
            </w:r>
          </w:p>
        </w:tc>
        <w:tc>
          <w:tcPr>
            <w:tcW w:type="dxa" w:w="2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作者或审核人需要真实身份与职务。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视频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VideoObject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name、description、thumbnailUrl、uploadDate、embedUrl、transcript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每条视频需要独立描述和可读文字摘要。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联系页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Organization + ContactPoint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telephone、email、availableLanguage、areaServed</w:t>
            </w:r>
          </w:p>
        </w:tc>
        <w:tc>
          <w:tcPr>
            <w:tcW w:type="dxa" w:w="2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不填写未公开的价格、评分或营业时间。</w:t>
            </w:r>
          </w:p>
        </w:tc>
      </w:tr>
    </w:tbl>
    <w:p>
      <w:pPr>
        <w:spacing w:before="40" w:after="40"/>
      </w:pPr>
    </w:p>
    <w:p>
      <w:pPr>
        <w:spacing w:before="100" w:after="160" w:line="288" w:lineRule="auto"/>
        <w:ind w:left="216" w:right="115"/>
        <w:shd w:fill="FCEEEE"/>
        <w:pBdr>
          <w:left w:val="single" w:sz="18" w:space="8" w:color="9B1C1C"/>
        </w:pBdr>
      </w:pPr>
      <w:r>
        <w:rPr>
          <w:rFonts w:ascii="Calibri" w:hAnsi="Calibri" w:eastAsia="Arial Unicode MS"/>
          <w:b/>
          <w:color w:val="9B1C1C"/>
          <w:sz w:val="22"/>
        </w:rPr>
        <w:t xml:space="preserve">结构化数据红线  </w:t>
      </w:r>
      <w:r>
        <w:rPr>
          <w:rFonts w:ascii="Calibri" w:hAnsi="Calibri" w:eastAsia="Arial Unicode MS"/>
          <w:color w:val="1F2933"/>
          <w:sz w:val="22"/>
        </w:rPr>
        <w:t>不编造 Offer、AggregateRating、Review 或客户证言；JSON-LD 不能声明页面上不存在的内容；FAQ 问答必须与可见页面文字一致。</w:t>
      </w:r>
    </w:p>
    <w:p>
      <w:pPr>
        <w:pStyle w:val="Heading2"/>
        <w:keepNext/>
      </w:pPr>
      <w:r>
        <w:t>5.3 sitemap、robots 与 llms.txt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sitemap.xml：仅保留最终 canonical URL，加入 lastmod，并将重要 PDF 或 PDF 的 HTML 摘要页纳入发现路径。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robots.txt：保持通用 Allow，确认 Googlebot、Bingbot、GPTBot、ChatGPT-User、PerplexityBot 和 ClaudeBot 未被单独禁止。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llms.txt：列出官方品牌定义、产品索引、技术资料、应用页、联系方式和最后更新日期，不声明未经验证的事实。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站长平台：提交 Google Search Console 和 Bing Webmaster Tools，为 Bing/Copilot 接入 IndexNow。</w:t>
      </w:r>
    </w:p>
    <w:p>
      <w:pPr>
        <w:pStyle w:val="Heading2"/>
        <w:keepNext/>
      </w:pPr>
      <w:r>
        <w:t>5.4 技术验收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核心 URL 返回 200，无意外 noindex，canonical 指向唯一最终 URL。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每页仅有一个 H1，标题结构与页面意图一致。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JSON-LD 通过 Schema.org Validator，并在 Google Rich Results Test 中无错误级问题。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页面可见内容与 JSON-LD 字段一致，关键数字能回溯到 facts.md。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旧 URL 单跳转到最终 URL，无 meta refresh 和多次跳转链。</w:t>
      </w:r>
    </w:p>
    <w:p>
      <w:pPr>
        <w:pStyle w:val="Heading1"/>
        <w:keepNext/>
      </w:pPr>
      <w:r>
        <w:t>6. 阶段三：页面内容矩阵</w:t>
      </w:r>
    </w:p>
    <w:p>
      <w:pPr>
        <w:spacing w:before="0" w:after="120" w:line="300" w:lineRule="auto"/>
      </w:pPr>
      <w:r>
        <w:rPr>
          <w:rFonts w:ascii="Calibri" w:hAnsi="Calibri" w:eastAsia="Arial Unicode MS"/>
          <w:i w:val="0"/>
          <w:color w:val="1F2933"/>
          <w:sz w:val="22"/>
        </w:rPr>
        <w:t>内容优化的目标不是统一把每页扩到 1000 词，而是让每个页面完整回答它承接的用户问题，并提供可以独立被引用的事实块。</w:t>
      </w:r>
    </w:p>
    <w:p>
      <w:pPr>
        <w:pStyle w:val="Heading2"/>
        <w:keepNext/>
      </w:pPr>
      <w:r>
        <w:t>6.1 页面模板与建议长度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350"/>
        <w:gridCol w:w="4130"/>
        <w:gridCol w:w="1450"/>
        <w:gridCol w:w="243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页面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必备结构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建议长度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主要目标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首页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唯一 H1、Quick Answer、4 个事实、核心产品、应用和信任入口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500~800 词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定义品牌实体与主营业务。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核心设备页</w:t>
            </w:r>
          </w:p>
        </w:tc>
        <w:tc>
          <w:tcPr>
            <w:tcW w:type="dxa" w:w="41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摘要、Key Facts、规格、工艺、材料、应用、限制、FAQ、资料下载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800~1400 词</w:t>
            </w:r>
          </w:p>
        </w:tc>
        <w:tc>
          <w:tcPr>
            <w:tcW w:type="dxa" w:w="2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回答选型、参数和技术适配问题。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应用页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行业问题、推荐方案、步骤、袋型对比、项目输入条件、FAQ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600~900 词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回答具体工况与生产线适配问题。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技术文章/新闻</w:t>
            </w:r>
          </w:p>
        </w:tc>
        <w:tc>
          <w:tcPr>
            <w:tcW w:type="dxa" w:w="41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直接答案、背景、数据、方法、边界、来源、作者/审核人、更新日期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600~1200 词</w:t>
            </w:r>
          </w:p>
        </w:tc>
        <w:tc>
          <w:tcPr>
            <w:tcW w:type="dxa" w:w="2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承接信息型和技术决策型搜索。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视频页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独立描述、章节、摘要、文字稿、相关产品链接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每条 150~400 词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让视频内容可搜索、可摘录、可引用。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联系/下载</w:t>
            </w:r>
          </w:p>
        </w:tc>
        <w:tc>
          <w:tcPr>
            <w:tcW w:type="dxa" w:w="41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明确用途、所需输入信息、资料摘要、联系方式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100~350 词</w:t>
            </w:r>
          </w:p>
        </w:tc>
        <w:tc>
          <w:tcPr>
            <w:tcW w:type="dxa" w:w="2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提高转化和资料可发现性，无需强行长文。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6.2 核心产品页模板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Quick Answer：用 80~120 词直接说明设备类型、材料、袋型、最大速度和关键限制。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Key Facts：将型号、速度、袋宽、底宽、功率和工厂公用工程要求整理为可见表格。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How It Works：按放卷、微穿孔、切割、开底、阀口/底贴成型、热风焊接、计数收集说明。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Material &amp; Utilities：说明复合 PP 筒布、克重、复合强度、透明度、电、气、水条件。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Application Fit：区分水泥、干粉砂浆、化工粉体、食品粉体和其他工业物料的差异。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Limits &amp; Confirmation：明确实际产速受底宽、材料、操作条件和工艺调试影响，要求样品测试。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FAQ：回答材料、袋型、实际速度、换规格、安装条件、交付和培训问题。</w:t>
      </w:r>
    </w:p>
    <w:p>
      <w:pPr>
        <w:pStyle w:val="Heading2"/>
        <w:keepNext/>
      </w:pPr>
      <w:r>
        <w:t>6.3 优先新增的知识主题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What is a block bottom valve bag machine?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Block bottom valve bag vs. sewn bag vs. open-mouth bag.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How to choose a cement valve bag making machine by bag size and output.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BVM-120 material, electricity, air and water requirements.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How bottom width affects practical production speed.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Packaging differences among cement, chemical powder and food powder.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Pre-installation site checklist for a block-bottom bag production 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Common causes of valve position, bottom patch and hot-air welding instability.</w:t>
      </w:r>
    </w:p>
    <w:p>
      <w:pPr>
        <w:pStyle w:val="Heading2"/>
        <w:keepNext/>
      </w:pPr>
      <w:r>
        <w:t>6.4 内部链接结构</w:t>
      </w:r>
    </w:p>
    <w:p>
      <w:pPr>
        <w:spacing w:before="0" w:after="120" w:line="300" w:lineRule="auto"/>
      </w:pPr>
      <w:r>
        <w:rPr>
          <w:rFonts w:ascii="Calibri" w:hAnsi="Calibri" w:eastAsia="Arial Unicode MS"/>
          <w:i w:val="0"/>
          <w:color w:val="1F2933"/>
          <w:sz w:val="22"/>
        </w:rPr>
        <w:t>每个知识主题应链接到相关产品页、应用页和技术 PDF；产品页应反向链接到选型指南、材料要求和真实项目案例。锚文本使用明确的主题或型号，避免全部使用 Read More。</w:t>
      </w:r>
    </w:p>
    <w:p>
      <w:pPr>
        <w:pStyle w:val="Heading1"/>
        <w:keepNext/>
      </w:pPr>
      <w:r>
        <w:t>7. 阶段四：海外收录与外部引用</w:t>
      </w:r>
    </w:p>
    <w:p>
      <w:pPr>
        <w:spacing w:before="0" w:after="120" w:line="300" w:lineRule="auto"/>
      </w:pPr>
      <w:r>
        <w:rPr>
          <w:rFonts w:ascii="Calibri" w:hAnsi="Calibri" w:eastAsia="Arial Unicode MS"/>
          <w:i w:val="0"/>
          <w:color w:val="1F2933"/>
          <w:sz w:val="22"/>
        </w:rPr>
        <w:t>官网内容完整只解决“值不值得引用”；要解决“能不能被找到”，还需要搜索收录、外部实体一致性和行业第三方信源。</w:t>
      </w:r>
    </w:p>
    <w:p>
      <w:pPr>
        <w:pStyle w:val="Heading2"/>
        <w:keepNext/>
      </w:pPr>
      <w:r>
        <w:t>7.1 执行渠道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650"/>
        <w:gridCol w:w="3000"/>
        <w:gridCol w:w="47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渠道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执行要点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搜索平台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Google Search Console、Bing Webmaster Tools、IndexNow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提交 sitemap、检查索引覆盖、排查爬取和 canonical 问题。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官方账号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LinkedIn、YouTube、Facebook、Instagram</w:t>
            </w:r>
          </w:p>
        </w:tc>
        <w:tc>
          <w:tcPr>
            <w:tcW w:type="dxa" w:w="4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统一公司名、品牌描述、网址、联系信息和产品型号。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视频内容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YouTube 说明、字幕、章节和产品链接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让工艺演示不只存在于画面，而能被文本检索。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行业信源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客户、经销商、展会、协会、行业媒体</w:t>
            </w:r>
          </w:p>
        </w:tc>
        <w:tc>
          <w:tcPr>
            <w:tcW w:type="dxa" w:w="4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发布可核实的项目、交付和技术内容，形成独立品牌提及。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百科实体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百度百科、Wikipedia/Wikidata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在具备独立可靠来源后进行，避免宣传性写法和利益冲突。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7.2 禁止做法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不批量购买低质量外链，不在无关站点堆叠产品关键词。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不将自建百科或新闻稿包装成独立第三方背书。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不伪造客户评价、评分、销量、市场份额和“全球领先”类声明。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不以单次 AI 测试结果作为已经形成稳定品牌认知的证据。</w:t>
      </w:r>
    </w:p>
    <w:p>
      <w:pPr>
        <w:pStyle w:val="Heading1"/>
        <w:keepNext/>
      </w:pPr>
      <w:r>
        <w:t>8. 六周实施路线图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200"/>
        <w:gridCol w:w="3720"/>
        <w:gridCol w:w="2920"/>
        <w:gridCol w:w="152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周期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主要任务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建议负责人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第 1 周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梳理 facts.md，确认品牌定义、设备参数、禁用表达和证据等级。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事实卡 V1、冲突清单、审批记录。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技术 + 销售 + 管理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第 2 周</w:t>
            </w:r>
          </w:p>
        </w:tc>
        <w:tc>
          <w:tcPr>
            <w:tcW w:type="dxa" w:w="3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修正首页 H1、定义句和摘要；为首页和 BVM-120 页建立 JSON-LD 样板。</w:t>
            </w:r>
          </w:p>
        </w:tc>
        <w:tc>
          <w:tcPr>
            <w:tcW w:type="dxa" w:w="29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首页模板、Product/Organization schema、验证报告。</w:t>
            </w:r>
          </w:p>
        </w:tc>
        <w:tc>
          <w:tcPr>
            <w:tcW w:type="dxa" w:w="1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前端 + GEO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第 3 周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完善 BVM-120 产品页，复制模板到 SFH-800 和 GY-800，补内部链接。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3 个产品页、FAQ、Key Facts、资料链接。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内容 + 技术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第 4 周</w:t>
            </w:r>
          </w:p>
        </w:tc>
        <w:tc>
          <w:tcPr>
            <w:tcW w:type="dxa" w:w="3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完善 4 个应用页，重建或 301 处理 Case 路由，扩展新闻和视频摘要。</w:t>
            </w:r>
          </w:p>
        </w:tc>
        <w:tc>
          <w:tcPr>
            <w:tcW w:type="dxa" w:w="29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应用模板、案例决策、Article/VideoObject schema。</w:t>
            </w:r>
          </w:p>
        </w:tc>
        <w:tc>
          <w:tcPr>
            <w:tcW w:type="dxa" w:w="1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内容 + 前端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第 5 周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生成 llms.txt，更新 sitemap/robots，提交搜索站长平台并完成全站回归测试。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技术验收清单、收录提交记录。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前端 + 运营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第 6 周</w:t>
            </w:r>
          </w:p>
        </w:tc>
        <w:tc>
          <w:tcPr>
            <w:tcW w:type="dxa" w:w="3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发布首批知识文章，统一官方账号，建立 AI 测试题库和基线。</w:t>
            </w:r>
          </w:p>
        </w:tc>
        <w:tc>
          <w:tcPr>
            <w:tcW w:type="dxa" w:w="29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题库、基线报告、月度跟踪模板。</w:t>
            </w:r>
          </w:p>
        </w:tc>
        <w:tc>
          <w:tcPr>
            <w:tcW w:type="dxa" w:w="1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GEO + 海外运营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8.1 依赖关系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先完成事实卡，再写页面文案和 JSON-LD。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先完成首页和 BVM-120 试点，再批量扩展到其他页面。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先通过结构与抓取验收，再提交站长平台和进行外部发布。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外部提及率和引用率在索引更新后按月观察，不在开发上线当天判定。</w:t>
      </w:r>
    </w:p>
    <w:p>
      <w:pPr>
        <w:pStyle w:val="Heading1"/>
        <w:keepNext/>
      </w:pPr>
      <w:r>
        <w:t>9. 验收与监测</w:t>
      </w:r>
    </w:p>
    <w:p>
      <w:pPr>
        <w:pStyle w:val="Heading2"/>
        <w:keepNext/>
      </w:pPr>
      <w:r>
        <w:t>9.1 上线验收门槛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700"/>
        <w:gridCol w:w="5650"/>
        <w:gridCol w:w="20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验收项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标准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方式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抓取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核心 URL 返回 200，HTML 含主要正文，无误阻 robots/noindex。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自动抓取 + 人工抽检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页面结构</w:t>
            </w:r>
          </w:p>
        </w:tc>
        <w:tc>
          <w:tcPr>
            <w:tcW w:type="dxa" w:w="5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每页唯一 H1，H2/H3 层级合理，Quick Answer 和主要事实可见。</w:t>
            </w:r>
          </w:p>
        </w:tc>
        <w:tc>
          <w:tcPr>
            <w:tcW w:type="dxa" w:w="2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自动 + 人工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JSON-LD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类型与页面匹配，字段来自 facts.md，Schema.org Validator 无错误。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自动验证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事实一致</w:t>
            </w:r>
          </w:p>
        </w:tc>
        <w:tc>
          <w:tcPr>
            <w:tcW w:type="dxa" w:w="5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页面、JSON-LD、PDF 摘要和 llms.txt 的型号与参数不冲突。</w:t>
            </w:r>
          </w:p>
        </w:tc>
        <w:tc>
          <w:tcPr>
            <w:tcW w:type="dxa" w:w="2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对照事实卡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链接和 URL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无内部 404，canonical 自指或指向预期最终 URL，旧 URL 单跳 301。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自动爬取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可见内容</w:t>
            </w:r>
          </w:p>
        </w:tc>
        <w:tc>
          <w:tcPr>
            <w:tcW w:type="dxa" w:w="5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FAQ schema 与可见问答一致，无隐藏文本和无证据的评分/评价。</w:t>
            </w:r>
          </w:p>
        </w:tc>
        <w:tc>
          <w:tcPr>
            <w:tcW w:type="dxa" w:w="2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人工审查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9.2 月度 GEO 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900"/>
        <w:gridCol w:w="5050"/>
        <w:gridCol w:w="24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建议目标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索引覆盖率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已索引核心 URL / 已提交核心 URL。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上线 30~60 天后 &gt;= 90%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品牌提及率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固定题库中，AI 回答主动提及 LIGUOXING 的查询占比。</w:t>
            </w:r>
          </w:p>
        </w:tc>
        <w:tc>
          <w:tcPr>
            <w:tcW w:type="dxa" w:w="2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建立基线，季度提升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官网引用率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有来源回答中，引用 liguoxing.com 的查询占比。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首季度达到 10% 后逐步提升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事实准确率</w:t>
            </w:r>
          </w:p>
        </w:tc>
        <w:tc>
          <w:tcPr>
            <w:tcW w:type="dxa" w:w="5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提及品牌的回答中，公司、产品和参数与事实卡一致的占比。</w:t>
            </w:r>
          </w:p>
        </w:tc>
        <w:tc>
          <w:tcPr>
            <w:tcW w:type="dxa" w:w="2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&gt;= 95%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引用页面分布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首页、产品页、应用页、知识文章和 PDF 被引用的构成。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7"/>
              </w:rPr>
              <w:t>避免只引用首页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9.3 固定测试题库</w:t>
      </w:r>
    </w:p>
    <w:p>
      <w:pPr>
        <w:spacing w:before="0" w:after="120" w:line="300" w:lineRule="auto"/>
      </w:pPr>
      <w:r>
        <w:rPr>
          <w:rFonts w:ascii="Calibri" w:hAnsi="Calibri" w:eastAsia="Arial Unicode MS"/>
          <w:i w:val="0"/>
          <w:color w:val="1F2933"/>
          <w:sz w:val="22"/>
        </w:rPr>
        <w:t>建议按英语市场建立 20~30 个固定问题，分为品牌、品类、选型、工艺、应用和比较六类。每月在相同平台、相同语言和尽量一致的设置下测试，记录日期、模型、回答、引用 URL 和事实错误。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Who manufactures block bottom valve bag making machines in China?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What machine is used to make laminated PP block bottom valve bags?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What are the material requirements for a BVM-120 bag making machine?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How does bottom width affect block-bottom bag production speed?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Which bag making line is suitable for cement and dry mortar packaging?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Block bottom valve bags vs. sewn woven bags: which is better for cement?</w:t>
      </w:r>
    </w:p>
    <w:p>
      <w:pPr>
        <w:pStyle w:val="Heading1"/>
        <w:keepNext/>
      </w:pPr>
      <w:r>
        <w:t>10. 附录：原工单修订建议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050"/>
        <w:gridCol w:w="1250"/>
        <w:gridCol w:w="1900"/>
        <w:gridCol w:w="51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工单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新优先级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处理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修订后执行口径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保留并调整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机器层统一定义；可见正文可自然改写，事实不得变化。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T-002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P0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保留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使用现有知识库建立 content/facts.md，每条标证据级别。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T-006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P0 -&gt; 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改为回归测试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线上代表页已能抓取；检查全部 URL 并修复真正薄页和跳转页。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T-007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P0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保留并修正类型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设备页使用 Product，不使用 SoftwareApplication；补 Organization、Article、VideoObject 等。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T-008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选择性实施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只在工艺、选型、安装和应用指南中增加步骤，不要求全站。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T-009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选择性实施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优先产品和应用页；问答必须可见并与 FAQPage schema 一致。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调整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核心页加 Quick Answer；不要把联系、下载等页强行改成定义文章。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T-011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调整检测方式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产品页已有数字参数；改为检查 Key Facts 、证据和更新日期。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T-012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改为专项内容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建立袋型比较、型号比较和工艺比较页，不在所有页面重复对比。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T-013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替换统一 1000 词阈值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按页面意图设定长度，技术密度、证据和完整性优先。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T-016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保留为外部运营包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完成搜索平台收录、官方账号一致、视频文本化和真实第三方提及。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T-015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 KPI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保留为季度结果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建立固定题库与基线，不承诺一次改版达到 50%。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T-003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P1 -&gt; 条件项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延后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先获得独立可靠的行业来源，再考虑百科实体建设。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T-005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P1 -&gt; P2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保留为低成本辅助项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在事实卡和核心页稳定后生成并部署 /llms.txt。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T-014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改为内部 QA 指标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color w:val="1F2933"/>
                <w:sz w:val="16"/>
              </w:rPr>
              <w:t>保留分数参考，但以抓取、结构化数据、事实一致和索引覆盖作为真正验收。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11. 资料来源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03-工单表.xlsx：原始 GEO 问题、优先级、验收标准和影响页数。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docs/liguoxing-company-equipment-knowledge-base.md：公司、设备、参数、工艺、依据文件和待确认项。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www.liguoxing.com：线上首页、产品页、关于页、应用页和新闻页抽样。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Schema.org：https://schema.org/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Google Search structured data documentation：https://developers.google.com/search/docs/appearance/structured-data/intro-structured-data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F2933"/>
          <w:sz w:val="22"/>
        </w:rPr>
        <w:t>GEO: Generative Engine Optimization (KDD 2024 / arXiv:2311.09735)：https://arxiv.org/abs/2311.09735</w:t>
      </w:r>
    </w:p>
    <w:p>
      <w:pPr>
        <w:spacing w:before="100" w:after="160" w:line="288" w:lineRule="auto"/>
        <w:ind w:left="216" w:right="115"/>
        <w:shd w:fill="FFF8E6"/>
        <w:pBdr>
          <w:left w:val="single" w:sz="18" w:space="8" w:color="7A5A00"/>
        </w:pBdr>
      </w:pPr>
      <w:r>
        <w:rPr>
          <w:rFonts w:ascii="Calibri" w:hAnsi="Calibri" w:eastAsia="Arial Unicode MS"/>
          <w:b/>
          <w:color w:val="7A5A00"/>
          <w:sz w:val="22"/>
        </w:rPr>
        <w:t xml:space="preserve">文档边界  </w:t>
      </w:r>
      <w:r>
        <w:rPr>
          <w:rFonts w:ascii="Calibri" w:hAnsi="Calibri" w:eastAsia="Arial Unicode MS"/>
          <w:color w:val="1F2933"/>
          <w:sz w:val="22"/>
        </w:rPr>
        <w:t>本方案用于实施管理和验收设计，不构成搜索引擎排名、AI 引用率或商业转化的保证。平台索引和生成式模型会持续变化，应以固定题库和长期数据评估效果。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5B6573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Arial Unicode MS"/>
        <w:b/>
        <w:color w:val="5B6573"/>
        <w:sz w:val="17"/>
      </w:rPr>
      <w:t>LIGUOXING  |  GEO Optimization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Arial Unicode MS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rial Unicode MS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LIGUOXING 网站 GEO 优化实施方案</dc:title>
  <dc:subject>GEO, SEO, JSON-LD, content optimization and AI citation implementation plan</dc:subject>
  <dc:creator>LIGUOXING</dc:creator>
  <cp:keywords>LIGUOXING, GEO, SEO, JSON-LD, AI citation, implementation plan</cp:keywords>
  <dc:description>Prepared from project audit findings and verified website context.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