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宋体"/>
          <w:b/>
          <w:sz w:val="32"/>
        </w:rPr>
        <w:t>《工业机器人技术》课程教学大纲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一、课程基本信息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课程名称（中英文）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工业机器人技术  Industrial Robot Technology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课程代码</w:t>
            </w:r>
          </w:p>
        </w:tc>
        <w:tc>
          <w:tcPr>
            <w:tcW w:type="dxa" w:w="2849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25JD32409</w:t>
            </w:r>
          </w:p>
        </w:tc>
        <w:tc>
          <w:tcPr>
            <w:tcW w:type="dxa" w:w="1581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课程类别</w:t>
            </w:r>
          </w:p>
        </w:tc>
        <w:tc>
          <w:tcPr>
            <w:tcW w:type="dxa" w:w="2693"/>
            <w:vAlign w:val="center"/>
            <w:gridSpan w:val="3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专业类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课程性质</w:t>
            </w:r>
          </w:p>
        </w:tc>
        <w:tc>
          <w:tcPr>
            <w:tcW w:type="dxa" w:w="2849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选修课</w:t>
            </w:r>
          </w:p>
        </w:tc>
        <w:tc>
          <w:tcPr>
            <w:tcW w:type="dxa" w:w="1581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授课语言</w:t>
            </w:r>
          </w:p>
        </w:tc>
        <w:tc>
          <w:tcPr>
            <w:tcW w:type="dxa" w:w="2693"/>
            <w:vAlign w:val="center"/>
            <w:gridSpan w:val="3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中文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授课学期</w:t>
            </w:r>
          </w:p>
        </w:tc>
        <w:tc>
          <w:tcPr>
            <w:tcW w:type="dxa" w:w="2849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第6学期</w:t>
            </w:r>
          </w:p>
        </w:tc>
        <w:tc>
          <w:tcPr>
            <w:tcW w:type="dxa" w:w="1581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学分</w:t>
            </w:r>
          </w:p>
        </w:tc>
        <w:tc>
          <w:tcPr>
            <w:tcW w:type="dxa" w:w="2693"/>
            <w:vAlign w:val="center"/>
            <w:gridSpan w:val="3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c>
          <w:tcPr>
            <w:tcW w:type="dxa" w:w="1931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课程学时及分配</w:t>
            </w:r>
          </w:p>
        </w:tc>
        <w:tc>
          <w:tcPr>
            <w:tcW w:type="dxa" w:w="163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总学时</w:t>
            </w:r>
          </w:p>
        </w:tc>
        <w:tc>
          <w:tcPr>
            <w:tcW w:type="dxa" w:w="1215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理论</w:t>
            </w:r>
          </w:p>
        </w:tc>
        <w:tc>
          <w:tcPr>
            <w:tcW w:type="dxa" w:w="110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实践</w:t>
            </w:r>
          </w:p>
        </w:tc>
        <w:tc>
          <w:tcPr>
            <w:tcW w:type="dxa" w:w="1104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实验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项目式</w:t>
            </w:r>
          </w:p>
        </w:tc>
      </w:tr>
      <w:tr>
        <w:tc>
          <w:tcPr>
            <w:tcW w:type="dxa" w:w="1931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163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type="dxa" w:w="1215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type="dxa" w:w="110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104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type="dxa" w:w="1033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适用专业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智能制造工程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授课学院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机械与动力工程学院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先修课程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机器人技术与应用（A）、智能测试技术、PLC技术基础或同等基础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后续课程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先进装备系统设计与开发（ROS）、智能工厂集成技术、毕业设计（论文）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课程简介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r>
              <w:rPr>
                <w:rFonts w:ascii="Times New Roman" w:hAnsi="Times New Roman" w:eastAsia="宋体"/>
                <w:b/>
                <w:sz w:val="18"/>
              </w:rPr>
              <w:t>课程基本定位</w:t>
              <w:br/>
            </w:r>
            <w:r>
              <w:rPr>
                <w:rFonts w:ascii="Times New Roman" w:hAnsi="Times New Roman" w:eastAsia="宋体"/>
                <w:b w:val="0"/>
                <w:sz w:val="17"/>
              </w:rPr>
              <w:t>本课程是智能制造工程专业的专业选修课。在《机器人技术与应用（A）》已建立机器人运动学、动力学与轨迹基础的前提下，本课程不重复系统推导机器人学公式，而以工业机器人工作站为对象，围绕“安全与规范—坐标与示教—程序与工艺—外围接口—工作站集成—离线仿真—调试维护”组织教学。课程强调机器人本体、末端执行器、传感器、PLC/CNC/视觉及安全装置之间的工程协同，为后续ROS系统开发、智能工厂集成和毕业设计建立应用基础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核心学习结果</w:t>
              <w:br/>
            </w:r>
            <w:r>
              <w:rPr>
                <w:rFonts w:ascii="Times New Roman" w:hAnsi="Times New Roman" w:eastAsia="宋体"/>
                <w:b w:val="0"/>
                <w:sz w:val="17"/>
              </w:rPr>
              <w:t>学生能够识别工业机器人系统组成、技术参数、工作空间和主要安全风险；完成工具/工件坐标设置、点位示教、轨迹与速度规划和基础程序编写；根据搬运、上下料、码垛和装配任务设计末端工具、I/O握手、安全互锁和异常恢复逻辑；在离线仿真环境中搭建工作站、规划路径、检查碰撞与节拍；依据报警、程序状态和点检结果完成基本调试、备份恢复和维护分析，并形成可复核的工程文档。</w:t>
            </w:r>
          </w:p>
          <w:p>
            <w:r>
              <w:rPr>
                <w:rFonts w:ascii="Times New Roman" w:hAnsi="Times New Roman" w:eastAsia="宋体"/>
                <w:b/>
                <w:sz w:val="18"/>
              </w:rPr>
              <w:t>主要教学方法</w:t>
              <w:br/>
            </w:r>
            <w:r>
              <w:rPr>
                <w:rFonts w:ascii="Times New Roman" w:hAnsi="Times New Roman" w:eastAsia="宋体"/>
                <w:b w:val="0"/>
                <w:sz w:val="17"/>
              </w:rPr>
              <w:t>采用“短讲解—案例拆解—离线建站—程序与接口实现—故障注入—验收复盘”的理实融合方式。上机可使用RobotStudio、RoboDK、Visual Components、PQArt或等价平台，不绑定单一厂商；所有任务通过程序、接口表、时序图、日志、截图和个人解释形成工程证据。</w:t>
            </w:r>
          </w:p>
        </w:tc>
      </w:tr>
      <w:tr>
        <w:tc>
          <w:tcPr>
            <w:tcW w:type="dxa" w:w="193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大纲更新时间</w:t>
            </w:r>
          </w:p>
        </w:tc>
        <w:tc>
          <w:tcPr>
            <w:tcW w:type="dxa" w:w="7123"/>
            <w:vAlign w:val="center"/>
            <w:gridSpan w:val="7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2026年9月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二、课程目标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809"/>
        <w:gridCol w:w="4248"/>
        <w:gridCol w:w="4229"/>
      </w:tblGrid>
      <w:tr>
        <w:trPr>
          <w:tblHeader w:val="true"/>
        </w:trPr>
        <w:tc>
          <w:tcPr>
            <w:tcW w:type="dxa" w:w="809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课程总目标</w:t>
            </w:r>
          </w:p>
        </w:tc>
        <w:tc>
          <w:tcPr>
            <w:tcW w:type="dxa" w:w="4248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课程子目标（参考学校定位、培养目标、毕业要求）</w:t>
            </w:r>
          </w:p>
        </w:tc>
        <w:tc>
          <w:tcPr>
            <w:tcW w:type="dxa" w:w="4229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达成方法</w:t>
            </w:r>
          </w:p>
        </w:tc>
      </w:tr>
      <w:tr>
        <w:trPr/>
        <w:tc>
          <w:tcPr>
            <w:tcW w:type="dxa" w:w="809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1.知识</w:t>
            </w:r>
          </w:p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1.1 理解工业机器人定义、分类、系统组成、技术参数、工作空间、运行模式、典型应用和主要安全风险。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通过本体、控制柜、示教器和工作站案例建立系统框架，结合安全区域、急停和模式切换说明工程责任。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1.2 掌握关节、基、工具和工件坐标的工程含义，理解点位、直线、圆弧运动及速度、姿态和过渡参数。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结合示教与离线仿真完成TCP、工件坐标和轨迹比较。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1.3 掌握示教编程的运动指令、程序数据、逻辑控制、子程序和异常分支，理解程序可维护性要求。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以搬运/上下料程序讲解程序结构并开展错误程序诊所。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1.4 掌握末端执行器、传感器、I/O、PLC/CNC及视觉外围接口，理解设备握手、安全互锁和状态同步。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以机床上下料工作站绘制I/O表、握手时序和互锁逻辑。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1.5 理解离线编程流程，掌握模型布局、路径规划、碰撞检查、节拍分析和虚实迁移基本概念。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通过虚拟工作站比较在线示教与离线编程并分析碰撞、超限和节拍。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1.6 理解运行调试、程序备份、报警诊断、点检维护和典型工艺要求，理解职业规范和处置权限边界。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结合报警、程序恢复和点检案例区分可操作、停机和专业维护事项。</w:t>
            </w:r>
          </w:p>
        </w:tc>
      </w:tr>
      <w:tr>
        <w:trPr/>
        <w:tc>
          <w:tcPr>
            <w:tcW w:type="dxa" w:w="809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2.能力</w:t>
            </w:r>
          </w:p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2.1 能够识别工作站功能边界、风险源和安全条件，形成布局、风险清单和操作前检查表。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开展工作站风险辨识和安全评审。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2.2 能够完成工具/工件坐标设置，设计点位、直线和圆弧轨迹并验证可达性。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使用轨迹回放、碰撞和可达性检查验证结果。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2.3 能够编写和调试搬运、上下料、码垛或装配基础程序，使用逻辑、子程序和异常分支。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通过骨架程序、单步、低速和自动运行三级验证。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2.4 能够设计I/O点表、机器人与PLC/CNC/夹具的握手时序、安全互锁和异常恢复逻辑。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通过等待、超时、急停、复位等故障注入验证接口。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2.5 能够使用离线仿真工具完成布局、模型配置、路径规划、碰撞检查和节拍分析并进行基本优化。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比较不同布局、路径和速度方案并保留修改记录。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2.6 能够依据报警、程序状态、I/O状态和点检结果完成基本调试、备份恢复和维护分析。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采用“现象—证据—定位—处置—复测”流程形成记录。</w:t>
            </w:r>
          </w:p>
        </w:tc>
      </w:tr>
      <w:tr>
        <w:trPr/>
        <w:tc>
          <w:tcPr>
            <w:tcW w:type="dxa" w:w="809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3.素质</w:t>
            </w:r>
          </w:p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3.1 形成安全第一、遵守操作规程和风险预控的工程意识。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所有任务执行安全检查、低速验证和自动运行前确认。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3.2 形成规范示教、参数留痕和结果复核意识。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保存坐标、程序、参数和版本变更记录。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3.3 形成模块化编程和工程可维护性意识。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通过程序重构和代码讲评评价命名、分层和异常处理。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3.4 形成接口契约和团队协同意识。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采用I/O表、时序图和联调记录进行接口评审。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3.5 形成尊重安全标准、职业规范和工具边界的责任意识。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通过“仿真可行但现场不安全”反例明确现场复核。</w:t>
            </w:r>
          </w:p>
        </w:tc>
      </w:tr>
      <w:tr>
        <w:trPr/>
        <w:tc>
          <w:tcPr>
            <w:tcW w:type="dxa" w:w="809"/>
            <w:vMerge/>
            <w:vAlign w:val="center"/>
          </w:tcPr>
          <w:p/>
        </w:tc>
        <w:tc>
          <w:tcPr>
            <w:tcW w:type="dxa" w:w="4248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3.6 形成规范运维、诚实记录和持续改进意识。</w:t>
            </w:r>
          </w:p>
        </w:tc>
        <w:tc>
          <w:tcPr>
            <w:tcW w:type="dxa" w:w="4229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保留原始报警、处置步骤和复测证据，不越权处置。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三、理论教学环节及基本要求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070"/>
        <w:gridCol w:w="1424"/>
        <w:gridCol w:w="688"/>
        <w:gridCol w:w="1137"/>
        <w:gridCol w:w="3640"/>
        <w:gridCol w:w="1111"/>
      </w:tblGrid>
      <w:tr>
        <w:trPr>
          <w:tblHeader w:val="true"/>
        </w:trPr>
        <w:tc>
          <w:tcPr>
            <w:tcW w:type="dxa" w:w="107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单元标题</w:t>
            </w:r>
          </w:p>
        </w:tc>
        <w:tc>
          <w:tcPr>
            <w:tcW w:type="dxa" w:w="1424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教学内容</w:t>
            </w:r>
          </w:p>
        </w:tc>
        <w:tc>
          <w:tcPr>
            <w:tcW w:type="dxa" w:w="688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4777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课程要求</w:t>
            </w:r>
          </w:p>
        </w:tc>
        <w:tc>
          <w:tcPr>
            <w:tcW w:type="dxa" w:w="1111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第一单元 工业机器人系统、安全与工程应用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工业机器人定义与分类；系统组成与技术参数；工作空间、运行模式；本体、控制柜、示教器、末端工具；工作站组成；安全区域、急停、限位、防护；搬运、上下料、码垛、装配等典型应用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结合自动运行和高速运动风险案例，强调安全标准、操作权限和工程责任。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1.1，2.1，3.1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知识：理解系统组成、参数、应用与安全要求。\n能力：识别功能边界、风险源和安全条件。\n素养：形成安全第一和风险预控意识。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讲授、案例、风险辨识、安全检查表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第二单元 坐标标定、示教编程与轨迹工艺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关节/基/工具/工件坐标；TCP与工件坐标；点位、直线、圆弧运动；速度、姿态与过渡；示教操作；运动指令、程序数据、逻辑、子程序与异常分支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通过坐标、速度和逻辑错误案例，强调参数修改可追溯并经过低速验证。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1.2，1.3，2.2，2.3，3.2，3.3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知识：掌握坐标、轨迹和示教编程。\n能力：完成坐标、轨迹和基础程序设计。\n素养：形成参数留痕和程序可维护意识。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讲授、示教演示、轨迹比较、程序阅读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第三单元 末端执行器、I/O与工作站接口集成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夹爪、吸盘和专用末端执行器；工装夹具；传感器；数字/模拟I/O；机器人与PLC、CNC、输送及视觉接口；握手、等待、超时、安全互锁、异常恢复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通过跨专业接口联调案例强调“接口就是契约”，培养团队协作和失效安全意识。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1.4，2.4，3.4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知识：掌握末端工具、I/O和外围接口。\n能力：设计I/O点表、握手时序和安全互锁。\n素养：形成接口契约和规范沟通意识。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讲授、I/O表、时序图、状态推演、接口评审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第四单元 离线编程、典型工作站与运行维护</w:t>
            </w:r>
          </w:p>
        </w:tc>
        <w:tc>
          <w:tcPr>
            <w:tcW w:type="dxa" w:w="1424"/>
            <w:vMerge w:val="restart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离线编程流程；工作站模型布局；工具/工件配置；路径生成；碰撞、奇异和超限检查；节拍分析；虚实迁移；典型工作站；程序备份恢复；报警日志；点检维护</w:t>
            </w:r>
          </w:p>
        </w:tc>
        <w:tc>
          <w:tcPr>
            <w:tcW w:type="dxa" w:w="68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通过仿真与真实设备差异、报警处置和维护权限案例，强调工具边界和现场复核。</w:t>
            </w:r>
          </w:p>
        </w:tc>
        <w:tc>
          <w:tcPr>
            <w:tcW w:type="dxa" w:w="1111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1.5，1.6，2.5，2.6，3.5，3.6</w:t>
            </w:r>
          </w:p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知识：理解离线编程、工作站和运维流程。\n能力：完成仿真验证、基本优化和故障证据分析。\n素养：形成现场复核、规范运维和持续改进意识。</w:t>
            </w:r>
          </w:p>
        </w:tc>
        <w:tc>
          <w:tcPr>
            <w:tcW w:type="dxa" w:w="1111"/>
            <w:vMerge/>
          </w:tcPr>
          <w:p/>
        </w:tc>
      </w:tr>
      <w:tr>
        <w:trPr/>
        <w:tc>
          <w:tcPr>
            <w:tcW w:type="dxa" w:w="1070"/>
            <w:vMerge/>
          </w:tcPr>
          <w:p/>
        </w:tc>
        <w:tc>
          <w:tcPr>
            <w:tcW w:type="dxa" w:w="1424"/>
            <w:vMerge/>
          </w:tcPr>
          <w:p/>
        </w:tc>
        <w:tc>
          <w:tcPr>
            <w:tcW w:type="dxa" w:w="688"/>
            <w:vMerge/>
          </w:tcPr>
          <w:p/>
        </w:tc>
        <w:tc>
          <w:tcPr>
            <w:tcW w:type="dxa" w:w="1137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364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讲授、离线仿真、碰撞/节拍分析、报警维护案例</w:t>
            </w:r>
          </w:p>
        </w:tc>
        <w:tc>
          <w:tcPr>
            <w:tcW w:type="dxa" w:w="1111"/>
            <w:vMerge/>
          </w:tcPr>
          <w:p/>
        </w:tc>
      </w:tr>
    </w:tbl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理论总学时 16</w:t>
      </w:r>
    </w:p>
    <w:p>
      <w:pPr>
        <w:keepNext/>
        <w:pageBreakBefore w:val="0"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四、上机教学环节及基本要求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068"/>
        <w:gridCol w:w="1407"/>
        <w:gridCol w:w="707"/>
        <w:gridCol w:w="905"/>
        <w:gridCol w:w="4273"/>
        <w:gridCol w:w="710"/>
      </w:tblGrid>
      <w:tr>
        <w:trPr>
          <w:tblHeader w:val="true"/>
        </w:trPr>
        <w:tc>
          <w:tcPr>
            <w:tcW w:type="dxa" w:w="1068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上机项目</w:t>
            </w:r>
          </w:p>
        </w:tc>
        <w:tc>
          <w:tcPr>
            <w:tcW w:type="dxa" w:w="1407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上机内容</w:t>
            </w:r>
          </w:p>
        </w:tc>
        <w:tc>
          <w:tcPr>
            <w:tcW w:type="dxa" w:w="707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学时</w:t>
            </w:r>
          </w:p>
        </w:tc>
        <w:tc>
          <w:tcPr>
            <w:tcW w:type="dxa" w:w="5178"/>
            <w:vAlign w:val="center"/>
            <w:gridSpan w:val="2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上机要求</w:t>
            </w:r>
          </w:p>
        </w:tc>
        <w:tc>
          <w:tcPr>
            <w:tcW w:type="dxa" w:w="71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/>
        <w:tc>
          <w:tcPr>
            <w:tcW w:type="dxa" w:w="106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上机一 工作站建模、风险辨识与坐标标定</w:t>
            </w:r>
          </w:p>
        </w:tc>
        <w:tc>
          <w:tcPr>
            <w:tcW w:type="dxa" w:w="1407"/>
            <w:vMerge w:val="restart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建立基本工作站，配置机器人、工具和工件；识别工作空间与风险区；完成工具/工件坐标设置并验证关键点位</w:t>
            </w:r>
          </w:p>
        </w:tc>
        <w:tc>
          <w:tcPr>
            <w:tcW w:type="dxa" w:w="707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任务类型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设计型；运动先低速/单步验证，记录坐标、点位和安全边界。</w:t>
            </w:r>
          </w:p>
        </w:tc>
        <w:tc>
          <w:tcPr>
            <w:tcW w:type="dxa" w:w="71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1.1，1.2，2.1，2.2，3.1，3.2</w:t>
            </w:r>
          </w:p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安全区域和坐标错误注入，强化操作权限与风险预控。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能够建立工作站、完成坐标设置和安全检查。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离线建站、坐标标定、点位验证、同伴评审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上机二 搬运/上下料示教程序与轨迹优化</w:t>
            </w:r>
          </w:p>
        </w:tc>
        <w:tc>
          <w:tcPr>
            <w:tcW w:type="dxa" w:w="1407"/>
            <w:vMerge w:val="restart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完成抓取、搬运、放置或机床上下料程序；使用点位/直线运动、变量、逻辑和子程序；比较速度、过渡和路径方案</w:t>
            </w:r>
          </w:p>
        </w:tc>
        <w:tc>
          <w:tcPr>
            <w:tcW w:type="dxa" w:w="707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任务类型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设计型；程序必须含安全初始位、异常分支和可解释的速度设置。</w:t>
            </w:r>
          </w:p>
        </w:tc>
        <w:tc>
          <w:tcPr>
            <w:tcW w:type="dxa" w:w="71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1.2，1.3，2.2，2.3，3.2，3.3</w:t>
            </w:r>
          </w:p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通过错误轨迹和过高速度案例强化规范编程与低速验证。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能够完成基础应用程序并对轨迹、节拍和安全进行验证。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骨架程序、分段调试、轨迹回放、节拍比较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上机三 I/O握手、安全互锁与异常恢复</w:t>
            </w:r>
          </w:p>
        </w:tc>
        <w:tc>
          <w:tcPr>
            <w:tcW w:type="dxa" w:w="1407"/>
            <w:vMerge w:val="restart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设计机器人与PLC/CNC/夹具的I/O点表和握手时序；实现等待、超时、互锁、报警、复位和恢复；注入信号丢失/顺序错误</w:t>
            </w:r>
          </w:p>
        </w:tc>
        <w:tc>
          <w:tcPr>
            <w:tcW w:type="dxa" w:w="707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任务类型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综合型；接口状态、超时条件和恢复步骤必须文档化。</w:t>
            </w:r>
          </w:p>
        </w:tc>
        <w:tc>
          <w:tcPr>
            <w:tcW w:type="dxa" w:w="71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1.4，2.4，3.4</w:t>
            </w:r>
          </w:p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通过接口失效案例培养契约意识和跨专业协同责任。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能够完成接口逻辑、互锁和异常恢复验证。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I/O配置、时序图、故障注入、联调记录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上机四 离线工作站综合仿真与运维验收</w:t>
            </w:r>
          </w:p>
        </w:tc>
        <w:tc>
          <w:tcPr>
            <w:tcW w:type="dxa" w:w="1407"/>
            <w:vMerge w:val="restart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完成搬运、码垛、上下料或装配工作站布局；路径规划、碰撞检查、节拍优化；保存程序与配置；分析报警并形成点检/维护记录</w:t>
            </w:r>
          </w:p>
        </w:tc>
        <w:tc>
          <w:tcPr>
            <w:tcW w:type="dxa" w:w="707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任务类型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综合型；最终方案须提供程序、模型、碰撞/节拍证据、备份和维护清单。</w:t>
            </w:r>
          </w:p>
        </w:tc>
        <w:tc>
          <w:tcPr>
            <w:tcW w:type="dxa" w:w="710"/>
            <w:vMerge w:val="restart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 1.5，1.6，2.5，2.6，3.5，3.6</w:t>
            </w:r>
          </w:p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思政融入点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强调仿真不能替代现场安全确认，报警与维护记录必须真实可追溯。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预期学习成果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能够完成工作站综合仿真、优化、备份和基本运维分析。</w:t>
            </w:r>
          </w:p>
        </w:tc>
        <w:tc>
          <w:tcPr>
            <w:tcW w:type="dxa" w:w="710"/>
            <w:vMerge/>
          </w:tcPr>
          <w:p/>
        </w:tc>
      </w:tr>
      <w:tr>
        <w:trPr/>
        <w:tc>
          <w:tcPr>
            <w:tcW w:type="dxa" w:w="1068"/>
            <w:vMerge/>
          </w:tcPr>
          <w:p/>
        </w:tc>
        <w:tc>
          <w:tcPr>
            <w:tcW w:type="dxa" w:w="1407"/>
            <w:vMerge/>
          </w:tcPr>
          <w:p/>
        </w:tc>
        <w:tc>
          <w:tcPr>
            <w:tcW w:type="dxa" w:w="707"/>
            <w:vMerge/>
          </w:tcPr>
          <w:p/>
        </w:tc>
        <w:tc>
          <w:tcPr>
            <w:tcW w:type="dxa" w:w="905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教学方式</w:t>
            </w:r>
          </w:p>
        </w:tc>
        <w:tc>
          <w:tcPr>
            <w:tcW w:type="dxa" w:w="4273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综合仿真、碰撞检查、节拍优化、报警诊断、验收答辩</w:t>
            </w:r>
          </w:p>
        </w:tc>
        <w:tc>
          <w:tcPr>
            <w:tcW w:type="dxa" w:w="710"/>
            <w:vMerge/>
          </w:tcPr>
          <w:p/>
        </w:tc>
      </w:tr>
    </w:tbl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上机总学时 16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五、课程评价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（一）考核内容、考核方式与课程目标对应关系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300"/>
        <w:gridCol w:w="600"/>
        <w:gridCol w:w="600"/>
        <w:gridCol w:w="700"/>
        <w:gridCol w:w="1100"/>
        <w:gridCol w:w="1100"/>
        <w:gridCol w:w="1100"/>
        <w:gridCol w:w="1100"/>
        <w:gridCol w:w="1370"/>
      </w:tblGrid>
      <w:tr>
        <w:trPr>
          <w:tblHeader w:val="true"/>
        </w:trPr>
        <w:tc>
          <w:tcPr>
            <w:tcW w:type="dxa" w:w="13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考核内容</w:t>
            </w:r>
          </w:p>
        </w:tc>
        <w:tc>
          <w:tcPr>
            <w:tcW w:type="dxa" w:w="6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总学时</w:t>
            </w:r>
          </w:p>
        </w:tc>
        <w:tc>
          <w:tcPr>
            <w:tcW w:type="dxa" w:w="6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理论学时</w:t>
            </w:r>
          </w:p>
        </w:tc>
        <w:tc>
          <w:tcPr>
            <w:tcW w:type="dxa" w:w="70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实践学时</w:t>
            </w:r>
          </w:p>
        </w:tc>
        <w:tc>
          <w:tcPr>
            <w:tcW w:type="dxa" w:w="4400"/>
            <w:vAlign w:val="center"/>
            <w:gridSpan w:val="4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考核方式及占比（100%）</w:t>
            </w:r>
          </w:p>
        </w:tc>
        <w:tc>
          <w:tcPr>
            <w:tcW w:type="dxa" w:w="1370"/>
            <w:vAlign w:val="center"/>
            <w:vMerge w:val="restart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课程目标</w:t>
            </w:r>
          </w:p>
        </w:tc>
      </w:tr>
      <w:tr>
        <w:trPr>
          <w:tblHeader w:val="true"/>
        </w:trPr>
        <w:tc>
          <w:tcPr>
            <w:tcW w:type="dxa" w:w="13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6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6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70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平时表现（15%）</w:t>
            </w:r>
          </w:p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上机任务（35%）</w:t>
            </w:r>
          </w:p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综合项目（40%）</w:t>
            </w:r>
          </w:p>
        </w:tc>
        <w:tc>
          <w:tcPr>
            <w:tcW w:type="dxa" w:w="11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5"/>
              </w:rPr>
              <w:t>个人核验（10%）</w:t>
            </w:r>
          </w:p>
        </w:tc>
        <w:tc>
          <w:tcPr>
            <w:tcW w:type="dxa" w:w="1370"/>
            <w:vAlign w:val="center"/>
            <w:vMerge/>
            <w:tcMar>
              <w:top w:w="60" w:type="dxa"/>
              <w:bottom w:w="60" w:type="dxa"/>
              <w:start w:w="65" w:type="dxa"/>
              <w:end w:w="65" w:type="dxa"/>
            </w:tcMar>
          </w:tcPr>
          <w:p/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系统、安全与应用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8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1100"/>
            <w:vMerge w:val="restart"/>
            <w:vAlign w:val="center"/>
          </w:tcPr>
          <w:p>
            <w:pPr>
              <w:keepNext w:val="0"/>
              <w:spacing w:before="0" w:after="0" w:line="228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—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目标1.1/2.1/3.1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坐标、编程与轨迹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8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25%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目标1.2-1.3/2.2-2.3/3.2-3.3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接口与集成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8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25%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25%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目标1.4/2.4/3.4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35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离线仿真与运维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8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4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30%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目标1.5-1.6/2.5-2.6/3.5-3.6</w:t>
            </w:r>
          </w:p>
        </w:tc>
      </w:tr>
      <w:tr>
        <w:trPr/>
        <w:tc>
          <w:tcPr>
            <w:tcW w:type="dxa" w:w="13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32</w:t>
            </w:r>
          </w:p>
        </w:tc>
        <w:tc>
          <w:tcPr>
            <w:tcW w:type="dxa" w:w="6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16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16</w:t>
            </w:r>
          </w:p>
        </w:tc>
        <w:tc>
          <w:tcPr>
            <w:tcW w:type="dxa" w:w="1100"/>
            <w:vMerge/>
            <w:vAlign w:val="center"/>
          </w:tcPr>
          <w:p/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110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1370"/>
            <w:vAlign w:val="center"/>
          </w:tcPr>
          <w:p>
            <w:pPr>
              <w:keepNext w:val="0"/>
              <w:spacing w:before="0" w:after="0" w:line="235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—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（二）考核方式与评分标准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1.考核方式</w:t>
      </w:r>
    </w:p>
    <w:p>
      <w:pPr>
        <w:keepNext w:val="0"/>
        <w:spacing w:before="0" w:after="0" w:line="300" w:lineRule="auto"/>
        <w:jc w:val="both"/>
      </w:pPr>
      <w:r>
        <w:rPr>
          <w:rFonts w:ascii="Times New Roman" w:hAnsi="Times New Roman" w:eastAsia="宋体"/>
          <w:b w:val="0"/>
          <w:sz w:val="21"/>
        </w:rPr>
        <w:t>考查。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2.评分说明</w:t>
      </w:r>
    </w:p>
    <w:p>
      <w:pPr>
        <w:keepNext w:val="0"/>
        <w:spacing w:before="0" w:after="0" w:line="288" w:lineRule="auto"/>
        <w:ind w:firstLine="420"/>
        <w:jc w:val="both"/>
      </w:pPr>
      <w:r>
        <w:rPr>
          <w:rFonts w:ascii="Times New Roman" w:hAnsi="Times New Roman" w:eastAsia="宋体"/>
          <w:b w:val="0"/>
          <w:sz w:val="21"/>
        </w:rPr>
        <w:t>本课程采用平时表现、上机任务、综合工作站项目和个人核验与答辩相结合的方式。最终成绩100%=平时表现15%＋上机任务35%＋综合工作站项目40%＋个人核验与答辩10%。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3.评分标准分项说明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（1）平时表现评分标准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350"/>
        <w:gridCol w:w="700"/>
        <w:gridCol w:w="1400"/>
        <w:gridCol w:w="1400"/>
        <w:gridCol w:w="1400"/>
        <w:gridCol w:w="1400"/>
        <w:gridCol w:w="1400"/>
      </w:tblGrid>
      <w:tr>
        <w:trPr>
          <w:tblHeader w:val="true"/>
        </w:trPr>
        <w:tc>
          <w:tcPr>
            <w:tcW w:type="dxa" w:w="13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评分指标</w:t>
            </w:r>
          </w:p>
        </w:tc>
        <w:tc>
          <w:tcPr>
            <w:tcW w:type="dxa" w:w="7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指标权重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90–100（优）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80–89（良）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70–79（中）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60–69（及格）</w:t>
            </w:r>
          </w:p>
        </w:tc>
        <w:tc>
          <w:tcPr>
            <w:tcW w:type="dxa" w:w="14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5"/>
              </w:rPr>
              <w:t>0–59（不及格）</w:t>
            </w:r>
          </w:p>
        </w:tc>
      </w:tr>
      <w:tr>
        <w:trPr/>
        <w:tc>
          <w:tcPr>
            <w:tcW w:type="dxa" w:w="135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考勤与安全规范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3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40%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表现优秀，规范完整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表现良好，少量疏漏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达到最低要求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缺勤/违规或无法完成</w:t>
            </w:r>
          </w:p>
        </w:tc>
      </w:tr>
      <w:tr>
        <w:trPr/>
        <w:tc>
          <w:tcPr>
            <w:tcW w:type="dxa" w:w="135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课堂学习与参与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3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30%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表现优秀，规范完整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表现良好，少量疏漏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达到最低要求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缺勤/违规或无法完成</w:t>
            </w:r>
          </w:p>
        </w:tc>
      </w:tr>
      <w:tr>
        <w:trPr/>
        <w:tc>
          <w:tcPr>
            <w:tcW w:type="dxa" w:w="135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/>
                <w:sz w:val="16"/>
              </w:rPr>
              <w:t>工程记录与技术表达</w:t>
            </w:r>
          </w:p>
        </w:tc>
        <w:tc>
          <w:tcPr>
            <w:tcW w:type="dxa" w:w="700"/>
            <w:vAlign w:val="center"/>
          </w:tcPr>
          <w:p>
            <w:pPr>
              <w:keepNext w:val="0"/>
              <w:spacing w:before="0" w:after="0" w:line="23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30%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表现优秀，规范完整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表现良好，少量疏漏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完成主要要求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达到最低要求</w:t>
            </w:r>
          </w:p>
        </w:tc>
        <w:tc>
          <w:tcPr>
            <w:tcW w:type="dxa" w:w="1400"/>
            <w:vAlign w:val="center"/>
          </w:tcPr>
          <w:p>
            <w:pPr>
              <w:keepNext w:val="0"/>
              <w:spacing w:before="0" w:after="0" w:line="23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5"/>
              </w:rPr>
              <w:t>缺勤/违规或无法完成</w:t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（2）上机任务评分标准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550"/>
        <w:gridCol w:w="850"/>
        <w:gridCol w:w="5200"/>
        <w:gridCol w:w="1450"/>
      </w:tblGrid>
      <w:tr>
        <w:trPr>
          <w:tblHeader w:val="true"/>
        </w:trPr>
        <w:tc>
          <w:tcPr>
            <w:tcW w:type="dxa" w:w="15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2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考核目标与评分要求</w:t>
            </w:r>
          </w:p>
        </w:tc>
        <w:tc>
          <w:tcPr>
            <w:tcW w:type="dxa" w:w="14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建模与坐标标定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模型、风险区、坐标和点位正确。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目标1.1-1.2/2.1-2.2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示教程序与轨迹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程序、轨迹、速度、节拍验证充分。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目标1.2-1.3/2.2-2.3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I/O与安全互锁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点表、时序、互锁和恢复逻辑正确。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目标1.4/2.4/3.4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综合仿真与运维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30%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碰撞、节拍、备份、报警和点检记录完整。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目标1.5-1.6/2.5-2.6</w:t>
            </w:r>
          </w:p>
        </w:tc>
      </w:tr>
      <w:t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（3）综合工作站项目评分标准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550"/>
        <w:gridCol w:w="850"/>
        <w:gridCol w:w="5200"/>
        <w:gridCol w:w="1450"/>
      </w:tblGrid>
      <w:tr>
        <w:trPr>
          <w:tblHeader w:val="true"/>
        </w:trPr>
        <w:tc>
          <w:tcPr>
            <w:tcW w:type="dxa" w:w="15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2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考核目标与评分要求</w:t>
            </w:r>
          </w:p>
        </w:tc>
        <w:tc>
          <w:tcPr>
            <w:tcW w:type="dxa" w:w="14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需求布局与安全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方案正确、证据完整、符合安全与工程规范。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目标1-3相关子目标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坐标轨迹与程序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方案正确、证据完整、符合安全与工程规范。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目标1-3相关子目标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末端工具与接口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方案正确、证据完整、符合安全与工程规范。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目标1-3相关子目标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离线仿真与节拍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方案正确、证据完整、符合安全与工程规范。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目标1-3相关子目标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异常恢复与运维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方案正确、证据完整、符合安全与工程规范。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目标1-3相关子目标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工程交付与贡献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方案正确、证据完整、符合安全与工程规范。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目标1-3相关子目标</w:t>
            </w:r>
          </w:p>
        </w:tc>
      </w:tr>
      <w:t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（4）个人核验与答辩评分标准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1550"/>
        <w:gridCol w:w="850"/>
        <w:gridCol w:w="5200"/>
        <w:gridCol w:w="1450"/>
      </w:tblGrid>
      <w:tr>
        <w:trPr>
          <w:tblHeader w:val="true"/>
        </w:trPr>
        <w:tc>
          <w:tcPr>
            <w:tcW w:type="dxa" w:w="15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考核内容</w:t>
            </w:r>
          </w:p>
        </w:tc>
        <w:tc>
          <w:tcPr>
            <w:tcW w:type="dxa" w:w="8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成绩占比</w:t>
            </w:r>
          </w:p>
        </w:tc>
        <w:tc>
          <w:tcPr>
            <w:tcW w:type="dxa" w:w="520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考点与要求</w:t>
            </w:r>
          </w:p>
        </w:tc>
        <w:tc>
          <w:tcPr>
            <w:tcW w:type="dxa" w:w="1450"/>
            <w:vAlign w:val="center"/>
            <w:tcMar>
              <w:top w:w="60" w:type="dxa"/>
              <w:bottom w:w="60" w:type="dxa"/>
              <w:start w:w="65" w:type="dxa"/>
              <w:end w:w="65" w:type="dxa"/>
            </w:tcMar>
          </w:tcPr>
          <w:p>
            <w:pPr>
              <w:keepNext w:val="0"/>
              <w:spacing w:before="0" w:after="0" w:line="252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7"/>
              </w:rPr>
              <w:t>课程目标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安全与系统说明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能够独立解释、修改或排查，并以运行证据验证。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目标1-3相关子目标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坐标与轨迹说明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能够独立解释、修改或排查，并以运行证据验证。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目标1-3相关子目标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程序现场修改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能够独立解释、修改或排查，并以运行证据验证。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目标1-3相关子目标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接口与互锁排查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能够独立解释、修改或排查，并以运行证据验证。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目标1-3相关子目标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仿真与优化解释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能够独立解释、修改或排查，并以运行证据验证。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目标1-3相关子目标</w:t>
            </w:r>
          </w:p>
        </w:tc>
      </w:tr>
      <w:tr>
        <w:trPr/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报警运维与记录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6"/>
              </w:rPr>
              <w:t>能够独立解释、修改或排查，并以运行证据验证。</w:t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5"/>
              </w:rPr>
              <w:t>目标1-3相关子目标</w:t>
            </w:r>
          </w:p>
        </w:tc>
      </w:tr>
      <w:tr>
        <w:tc>
          <w:tcPr>
            <w:tcW w:type="dxa" w:w="15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合计</w:t>
            </w:r>
          </w:p>
        </w:tc>
        <w:tc>
          <w:tcPr>
            <w:tcW w:type="dxa" w:w="8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  <w:t>100%</w:t>
            </w:r>
          </w:p>
        </w:tc>
        <w:tc>
          <w:tcPr>
            <w:tcW w:type="dxa" w:w="520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  <w:tc>
          <w:tcPr>
            <w:tcW w:type="dxa" w:w="1450"/>
            <w:vAlign w:val="center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/>
                <w:b/>
                <w:sz w:val="16"/>
              </w:rPr>
            </w:r>
          </w:p>
        </w:tc>
      </w:tr>
    </w:tbl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黑体" w:cs="Times New Roman"/>
          <w:b/>
          <w:sz w:val="28"/>
        </w:rPr>
        <w:t>六、参考书目及学习资料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（一）选用教材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  <w:t>张小刚, 方遒. 工业机器人系统综合设计[M]. 北京：机械工业出版社，2025. ISBN 9787111776192</w:t>
      </w:r>
    </w:p>
    <w:p>
      <w:pPr>
        <w:keepNext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b/>
          <w:sz w:val="24"/>
        </w:rPr>
        <w:t>（二）学习资料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  <w:t>[1] 陈乾, 刘静文, 李志卿. 工业机器人技术及应用[M]. 北京：机械工业出版社，2024. ISBN 9787111758297。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  <w:t>[2] 朱洪雷, 代慧. 工业机器人离线编程（ABB）（第2版）[M]. 北京：高等教育出版社，2024. ISBN 9787040602012。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  <w:t>[3] 倪寿勇. 工业机器人离线编程与仿真[M]. 北京：高等教育出版社，2024. ISBN 9787040601824。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  <w:t>[4] 北京华航唯实机器人科技股份有限公司, 李金亮, 张明奎. 工业机器人系统集成[M]. 北京：机械工业出版社，2025. ISBN 9787111773887。</w:t>
      </w:r>
    </w:p>
    <w:p>
      <w:pPr>
        <w:keepNext w:val="0"/>
        <w:spacing w:before="0" w:after="0" w:line="252" w:lineRule="auto"/>
        <w:jc w:val="left"/>
      </w:pPr>
      <w:r>
        <w:rPr>
          <w:rFonts w:ascii="Times New Roman" w:hAnsi="Times New Roman" w:eastAsia="宋体"/>
          <w:b w:val="0"/>
          <w:sz w:val="21"/>
        </w:rPr>
        <w:t>[5] 谭志彬. 工业机器人操作与运维实训（初级）[M]. 北京：电子工业出版社，2024. ISBN 9787121378676。</w:t>
      </w:r>
    </w:p>
    <w:p>
      <w:pPr>
        <w:keepNext w:val="0"/>
        <w:spacing w:before="0" w:after="0" w:line="240" w:lineRule="auto"/>
        <w:jc w:val="left"/>
      </w:pPr>
      <w:r>
        <w:rPr>
          <w:rFonts w:ascii="Times New Roman" w:hAnsi="Times New Roman" w:eastAsia="宋体" w:cs="Times New Roman"/>
          <w:sz w:val="21"/>
        </w:rPr>
        <w:t xml:space="preserve">制定人：　　　　　　　　审定人：　　　　　　　　批准人：　　　　　　　　</w:t>
      </w:r>
    </w:p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宋体"/>
          <w:b w:val="0"/>
          <w:sz w:val="21"/>
        </w:rPr>
        <w:t>2026年9月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工业机器人技术课程教学大纲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