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83" w:lineRule="auto" w:before="0" w:after="160"/>
        <w:jc w:val="center"/>
      </w:pPr>
      <w:r>
        <w:rPr>
          <w:rFonts w:ascii="Times New Roman" w:hAnsi="Times New Roman" w:eastAsia="黑体"/>
          <w:b/>
          <w:sz w:val="32"/>
        </w:rPr>
        <w:t>《工业网络技术及应用》课程教学大纲</w:t>
      </w:r>
    </w:p>
    <w:p>
      <w:pPr>
        <w:keepNext/>
        <w:spacing w:line="283" w:lineRule="auto" w:before="100" w:after="60"/>
      </w:pPr>
      <w:r>
        <w:rPr>
          <w:rFonts w:ascii="Times New Roman" w:hAnsi="Times New Roman" w:eastAsia="黑体"/>
          <w:b/>
          <w:sz w:val="28"/>
        </w:rPr>
        <w:t>一、课程基本信息</w:t>
      </w:r>
    </w:p>
    <w:tbl>
      <w:tblPr>
        <w:tblW w:type="dxa" w:w="9054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31"/>
        <w:gridCol w:w="1634"/>
        <w:gridCol w:w="1215"/>
        <w:gridCol w:w="1104"/>
        <w:gridCol w:w="477"/>
        <w:gridCol w:w="627"/>
        <w:gridCol w:w="1033"/>
        <w:gridCol w:w="1033"/>
      </w:tblGrid>
      <w:tr>
        <w:trPr>
          <w:cantSplit/>
        </w:trPr>
        <w:tc>
          <w:tcPr>
            <w:tcW w:type="dxa" w:w="1931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课程名称（中英文）</w:t>
            </w:r>
          </w:p>
        </w:tc>
        <w:tc>
          <w:tcPr>
            <w:tcW w:type="dxa" w:w="7123"/>
            <w:gridSpan w:val="7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工业网络技术及应用  Industrial Network Technology and Applications</w:t>
            </w:r>
          </w:p>
        </w:tc>
      </w:tr>
      <w:tr>
        <w:trPr>
          <w:cantSplit/>
        </w:trPr>
        <w:tc>
          <w:tcPr>
            <w:tcW w:type="dxa" w:w="1931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课程代码</w:t>
            </w:r>
          </w:p>
        </w:tc>
        <w:tc>
          <w:tcPr>
            <w:tcW w:type="dxa" w:w="2849"/>
            <w:gridSpan w:val="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25JD32410</w:t>
            </w:r>
          </w:p>
        </w:tc>
        <w:tc>
          <w:tcPr>
            <w:tcW w:type="dxa" w:w="110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课程类别</w:t>
            </w:r>
          </w:p>
        </w:tc>
        <w:tc>
          <w:tcPr>
            <w:tcW w:type="dxa" w:w="3170"/>
            <w:gridSpan w:val="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专业类</w:t>
            </w:r>
          </w:p>
        </w:tc>
      </w:tr>
      <w:tr>
        <w:trPr>
          <w:cantSplit/>
        </w:trPr>
        <w:tc>
          <w:tcPr>
            <w:tcW w:type="dxa" w:w="1931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课程性质</w:t>
            </w:r>
          </w:p>
        </w:tc>
        <w:tc>
          <w:tcPr>
            <w:tcW w:type="dxa" w:w="2849"/>
            <w:gridSpan w:val="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选修课</w:t>
            </w:r>
          </w:p>
        </w:tc>
        <w:tc>
          <w:tcPr>
            <w:tcW w:type="dxa" w:w="110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授课语言</w:t>
            </w:r>
          </w:p>
        </w:tc>
        <w:tc>
          <w:tcPr>
            <w:tcW w:type="dxa" w:w="3170"/>
            <w:gridSpan w:val="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中文</w:t>
            </w:r>
          </w:p>
        </w:tc>
      </w:tr>
      <w:tr>
        <w:trPr>
          <w:cantSplit/>
        </w:trPr>
        <w:tc>
          <w:tcPr>
            <w:tcW w:type="dxa" w:w="1931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授课学期</w:t>
            </w:r>
          </w:p>
        </w:tc>
        <w:tc>
          <w:tcPr>
            <w:tcW w:type="dxa" w:w="2849"/>
            <w:gridSpan w:val="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第6学期</w:t>
            </w:r>
          </w:p>
        </w:tc>
        <w:tc>
          <w:tcPr>
            <w:tcW w:type="dxa" w:w="110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学分</w:t>
            </w:r>
          </w:p>
        </w:tc>
        <w:tc>
          <w:tcPr>
            <w:tcW w:type="dxa" w:w="3170"/>
            <w:gridSpan w:val="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3565"/>
            <w:gridSpan w:val="2"/>
            <w:vMerge w:val="restart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课程学时及分配</w:t>
            </w:r>
          </w:p>
        </w:tc>
        <w:tc>
          <w:tcPr>
            <w:tcW w:type="dxa" w:w="1215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总学时</w:t>
            </w:r>
          </w:p>
        </w:tc>
        <w:tc>
          <w:tcPr>
            <w:tcW w:type="dxa" w:w="110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理论</w:t>
            </w:r>
          </w:p>
        </w:tc>
        <w:tc>
          <w:tcPr>
            <w:tcW w:type="dxa" w:w="477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实践</w:t>
            </w:r>
          </w:p>
        </w:tc>
        <w:tc>
          <w:tcPr>
            <w:tcW w:type="dxa" w:w="627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实验</w:t>
            </w:r>
          </w:p>
        </w:tc>
        <w:tc>
          <w:tcPr>
            <w:tcW w:type="dxa" w:w="1033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上机</w:t>
            </w:r>
          </w:p>
        </w:tc>
        <w:tc>
          <w:tcPr>
            <w:tcW w:type="dxa" w:w="1033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项目式</w:t>
            </w:r>
          </w:p>
        </w:tc>
      </w:tr>
      <w:tr>
        <w:trPr>
          <w:cantSplit/>
        </w:trPr>
        <w:tc>
          <w:tcPr>
            <w:tcW w:type="dxa" w:w="3565"/>
            <w:gridSpan w:val="2"/>
            <w:vMerge/>
            <w:tcMar>
              <w:top w:w="80" w:type="dxa"/>
              <w:start w:w="70" w:type="dxa"/>
              <w:bottom w:w="80" w:type="dxa"/>
              <w:end w:w="70" w:type="dxa"/>
            </w:tcMar>
          </w:tcPr>
          <w:p/>
        </w:tc>
        <w:tc>
          <w:tcPr>
            <w:tcW w:type="dxa" w:w="1215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48</w:t>
            </w:r>
          </w:p>
        </w:tc>
        <w:tc>
          <w:tcPr>
            <w:tcW w:type="dxa" w:w="110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48</w:t>
            </w:r>
          </w:p>
        </w:tc>
        <w:tc>
          <w:tcPr>
            <w:tcW w:type="dxa" w:w="477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</w:t>
            </w:r>
          </w:p>
        </w:tc>
        <w:tc>
          <w:tcPr>
            <w:tcW w:type="dxa" w:w="627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</w:t>
            </w:r>
          </w:p>
        </w:tc>
        <w:tc>
          <w:tcPr>
            <w:tcW w:type="dxa" w:w="1033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</w:t>
            </w:r>
          </w:p>
        </w:tc>
        <w:tc>
          <w:tcPr>
            <w:tcW w:type="dxa" w:w="1033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1931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适用专业</w:t>
            </w:r>
          </w:p>
        </w:tc>
        <w:tc>
          <w:tcPr>
            <w:tcW w:type="dxa" w:w="7123"/>
            <w:gridSpan w:val="7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智能制造工程</w:t>
            </w:r>
          </w:p>
        </w:tc>
      </w:tr>
      <w:tr>
        <w:trPr>
          <w:cantSplit/>
        </w:trPr>
        <w:tc>
          <w:tcPr>
            <w:tcW w:type="dxa" w:w="1931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授课学院</w:t>
            </w:r>
          </w:p>
        </w:tc>
        <w:tc>
          <w:tcPr>
            <w:tcW w:type="dxa" w:w="7123"/>
            <w:gridSpan w:val="7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计算机与信息技术学院</w:t>
            </w:r>
          </w:p>
        </w:tc>
      </w:tr>
      <w:tr>
        <w:trPr>
          <w:cantSplit/>
        </w:trPr>
        <w:tc>
          <w:tcPr>
            <w:tcW w:type="dxa" w:w="1931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先修课程</w:t>
            </w:r>
          </w:p>
        </w:tc>
        <w:tc>
          <w:tcPr>
            <w:tcW w:type="dxa" w:w="7123"/>
            <w:gridSpan w:val="7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计算机网络（B）、PLC技术与应用、微机原理及接口技术</w:t>
            </w:r>
          </w:p>
        </w:tc>
      </w:tr>
      <w:tr>
        <w:trPr>
          <w:cantSplit/>
        </w:trPr>
        <w:tc>
          <w:tcPr>
            <w:tcW w:type="dxa" w:w="1931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后续课程</w:t>
            </w:r>
          </w:p>
        </w:tc>
        <w:tc>
          <w:tcPr>
            <w:tcW w:type="dxa" w:w="7123"/>
            <w:gridSpan w:val="7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先进装备系统设计与开发（ROS）、智能生产计划管理（MES/ERP）、毕业设计（论文）</w:t>
            </w:r>
          </w:p>
        </w:tc>
      </w:tr>
      <w:tr>
        <w:trPr>
          <w:cantSplit/>
        </w:trPr>
        <w:tc>
          <w:tcPr>
            <w:tcW w:type="dxa" w:w="1931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课程简介</w:t>
            </w:r>
          </w:p>
        </w:tc>
        <w:tc>
          <w:tcPr>
            <w:tcW w:type="dxa" w:w="7123"/>
            <w:gridSpan w:val="7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78" w:lineRule="auto" w:before="0" w:after="4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课程基本定位</w:t>
              <w:br/>
            </w:r>
            <w:r>
              <w:rPr>
                <w:rFonts w:ascii="Times New Roman" w:hAnsi="Times New Roman" w:eastAsia="宋体"/>
                <w:b w:val="0"/>
                <w:sz w:val="18"/>
              </w:rPr>
              <w:t>本课程是智能制造工程专业的专业选修课，面向数字化车间和智能装备的网络互联与数据集成，建立“工业通信基础—现场总线—工业以太网—实时工业网络—信息互操作—网络诊断与安全”的知识主线。课程不重复普通计算机网络的通用原理，也不把某一厂商组态步骤作为唯一目标，而是从工业现场对确定性、实时性、可靠性、可维护性和安全性的要求出发，理解Modbus、PROFINET、EtherCAT、OPC UA、MQTT、TSN等典型技术的工作机制、应用层级和选型边界。</w:t>
            </w:r>
          </w:p>
          <w:p>
            <w:pPr>
              <w:spacing w:line="278" w:lineRule="auto" w:before="0" w:after="40"/>
            </w:pPr>
            <w:r>
              <w:rPr>
                <w:rFonts w:ascii="Times New Roman" w:hAnsi="Times New Roman" w:eastAsia="宋体"/>
                <w:b/>
                <w:sz w:val="18"/>
              </w:rPr>
              <w:t>核心学习结果</w:t>
              <w:br/>
            </w:r>
            <w:r>
              <w:rPr>
                <w:rFonts w:ascii="Times New Roman" w:hAnsi="Times New Roman" w:eastAsia="宋体"/>
                <w:b w:val="0"/>
                <w:sz w:val="18"/>
              </w:rPr>
              <w:t>学生能够解释工业网络与普通办公网络在实时性、可靠性和运行环境方面的差异；能够依据OSI/TCP-IP模型分析典型工业通信过程，识读工业网络拓扑、地址、端口、报文与数据点；能够比较Modbus RTU/TCP、PROFINET、EtherCAT等协议的通信模型和适用场景；能够说明OPC UA、MQTT和边缘网关在OT/IT融合中的作用；能够使用抓包、拓扑、日志和诊断信息分析常见通信故障，形成包含拓扑、协议、冗余、分区分域、安全边界和验证方法的工业网络方案。</w:t>
            </w:r>
          </w:p>
          <w:p>
            <w:pPr>
              <w:spacing w:line="278" w:lineRule="auto" w:before="0" w:after="40"/>
            </w:pPr>
            <w:r>
              <w:rPr>
                <w:rFonts w:ascii="Times New Roman" w:hAnsi="Times New Roman" w:eastAsia="宋体"/>
                <w:b/>
                <w:sz w:val="18"/>
              </w:rPr>
              <w:t>主要教学方法</w:t>
              <w:br/>
            </w:r>
            <w:r>
              <w:rPr>
                <w:rFonts w:ascii="Times New Roman" w:hAnsi="Times New Roman" w:eastAsia="宋体"/>
                <w:b w:val="0"/>
                <w:sz w:val="18"/>
              </w:rPr>
              <w:t>采用原理讲授、协议报文解析、网络拓扑推演、Wireshark或厂商诊断工具演示、案例研讨和方案评审相结合的方式。培养方案未设置实验、上机或项目式学时，因此软件抓包、仿真和组态均作为课堂演示、课内分析或课后作业，不单列实践学时。教学案例以PLC、HMI、机器人、变频器、远程I/O、边缘网关和MES数据接口为对象；涉及真实工业控制网络时不进行未经授权的扫描、攻击或配置修改。</w:t>
            </w:r>
          </w:p>
        </w:tc>
      </w:tr>
      <w:tr>
        <w:trPr>
          <w:cantSplit/>
        </w:trPr>
        <w:tc>
          <w:tcPr>
            <w:tcW w:type="dxa" w:w="1931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大纲更新时间</w:t>
            </w:r>
          </w:p>
        </w:tc>
        <w:tc>
          <w:tcPr>
            <w:tcW w:type="dxa" w:w="7123"/>
            <w:gridSpan w:val="7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2026年9月</w:t>
            </w:r>
          </w:p>
        </w:tc>
      </w:tr>
    </w:tbl>
    <w:p>
      <w:pPr>
        <w:keepNext/>
        <w:spacing w:line="283" w:lineRule="auto" w:before="100" w:after="60"/>
      </w:pPr>
      <w:r>
        <w:rPr>
          <w:rFonts w:ascii="Times New Roman" w:hAnsi="Times New Roman" w:eastAsia="黑体"/>
          <w:b/>
          <w:sz w:val="28"/>
        </w:rPr>
        <w:t>二、课程目标</w:t>
      </w:r>
    </w:p>
    <w:tbl>
      <w:tblPr>
        <w:tblW w:type="dxa" w:w="9054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050"/>
        <w:gridCol w:w="4650"/>
        <w:gridCol w:w="3354"/>
      </w:tblGrid>
      <w:tr>
        <w:trPr>
          <w:tblHeader w:val="true"/>
          <w:cantSplit/>
        </w:trPr>
        <w:tc>
          <w:tcPr>
            <w:tcW w:type="dxa" w:w="105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课程总目标</w:t>
            </w:r>
          </w:p>
        </w:tc>
        <w:tc>
          <w:tcPr>
            <w:tcW w:type="dxa" w:w="465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课程子目标（参考学校定位、培养目标、毕业要求）</w:t>
            </w:r>
          </w:p>
        </w:tc>
        <w:tc>
          <w:tcPr>
            <w:tcW w:type="dxa" w:w="335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达成方法</w:t>
            </w:r>
          </w:p>
        </w:tc>
      </w:tr>
      <w:tr>
        <w:tc>
          <w:tcPr>
            <w:tcW w:type="dxa" w:w="10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1.知识</w:t>
            </w:r>
          </w:p>
        </w:tc>
        <w:tc>
          <w:tcPr>
            <w:tcW w:type="dxa" w:w="46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1.1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 理解工业网络层级、性能指标和通信模型。</w:t>
            </w:r>
          </w:p>
        </w:tc>
        <w:tc>
          <w:tcPr>
            <w:tcW w:type="dxa" w:w="3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通过拓扑推演、报文示意和性能案例检验。</w:t>
            </w:r>
          </w:p>
        </w:tc>
      </w:tr>
      <w:tr>
        <w:tc>
          <w:tcPr>
            <w:tcW w:type="dxa" w:w="10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</w:p>
        </w:tc>
        <w:tc>
          <w:tcPr>
            <w:tcW w:type="dxa" w:w="46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1.2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 掌握Modbus RTU/TCP的数据模型与基本报文。</w:t>
            </w:r>
          </w:p>
        </w:tc>
        <w:tc>
          <w:tcPr>
            <w:tcW w:type="dxa" w:w="3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通过帧格式、寄存器表和故障案例检验。</w:t>
            </w:r>
          </w:p>
        </w:tc>
      </w:tr>
      <w:tr>
        <w:tc>
          <w:tcPr>
            <w:tcW w:type="dxa" w:w="10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</w:p>
        </w:tc>
        <w:tc>
          <w:tcPr>
            <w:tcW w:type="dxa" w:w="46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1.3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 理解工业以太网、交换网络和PROFINET的关键机制。</w:t>
            </w:r>
          </w:p>
        </w:tc>
        <w:tc>
          <w:tcPr>
            <w:tcW w:type="dxa" w:w="3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通过交换、VLAN和PROFINET拓扑案例检验。</w:t>
            </w:r>
          </w:p>
        </w:tc>
      </w:tr>
      <w:tr>
        <w:tc>
          <w:tcPr>
            <w:tcW w:type="dxa" w:w="10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</w:p>
        </w:tc>
        <w:tc>
          <w:tcPr>
            <w:tcW w:type="dxa" w:w="46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1.4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 理解PROFINET实时通信、EtherCAT和TSN的确定性机制。</w:t>
            </w:r>
          </w:p>
        </w:tc>
        <w:tc>
          <w:tcPr>
            <w:tcW w:type="dxa" w:w="3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通过时序图、协议比较和性能指标分析检验。</w:t>
            </w:r>
          </w:p>
        </w:tc>
      </w:tr>
      <w:tr>
        <w:tc>
          <w:tcPr>
            <w:tcW w:type="dxa" w:w="10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</w:p>
        </w:tc>
        <w:tc>
          <w:tcPr>
            <w:tcW w:type="dxa" w:w="46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1.5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 掌握OPC UA、MQTT和边缘网关的基本交互模型。</w:t>
            </w:r>
          </w:p>
        </w:tc>
        <w:tc>
          <w:tcPr>
            <w:tcW w:type="dxa" w:w="3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通过地址空间、数据点表和OT/IT集成案例检验。</w:t>
            </w:r>
          </w:p>
        </w:tc>
      </w:tr>
      <w:tr>
        <w:tc>
          <w:tcPr>
            <w:tcW w:type="dxa" w:w="10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</w:p>
        </w:tc>
        <w:tc>
          <w:tcPr>
            <w:tcW w:type="dxa" w:w="46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1.6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 掌握工业网络分层诊断、可靠性和基础安全防护思路。</w:t>
            </w:r>
          </w:p>
        </w:tc>
        <w:tc>
          <w:tcPr>
            <w:tcW w:type="dxa" w:w="3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通过故障树、抓包演示和安全案例检验。</w:t>
            </w:r>
          </w:p>
        </w:tc>
      </w:tr>
      <w:tr>
        <w:tc>
          <w:tcPr>
            <w:tcW w:type="dxa" w:w="10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2.能力</w:t>
            </w:r>
          </w:p>
        </w:tc>
        <w:tc>
          <w:tcPr>
            <w:tcW w:type="dxa" w:w="46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2.1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 能够识读工业网络拓扑、地址、链路关系并分析性能需求。</w:t>
            </w:r>
          </w:p>
        </w:tc>
        <w:tc>
          <w:tcPr>
            <w:tcW w:type="dxa" w:w="3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通过拓扑和参数分析任务检验。</w:t>
            </w:r>
          </w:p>
        </w:tc>
      </w:tr>
      <w:tr>
        <w:tc>
          <w:tcPr>
            <w:tcW w:type="dxa" w:w="10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</w:p>
        </w:tc>
        <w:tc>
          <w:tcPr>
            <w:tcW w:type="dxa" w:w="46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2.2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 能够依据Modbus寄存器表、功能码和报文定位常见配置错误。</w:t>
            </w:r>
          </w:p>
        </w:tc>
        <w:tc>
          <w:tcPr>
            <w:tcW w:type="dxa" w:w="3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通过协议与故障分析作业检验。</w:t>
            </w:r>
          </w:p>
        </w:tc>
      </w:tr>
      <w:tr>
        <w:tc>
          <w:tcPr>
            <w:tcW w:type="dxa" w:w="10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</w:p>
        </w:tc>
        <w:tc>
          <w:tcPr>
            <w:tcW w:type="dxa" w:w="46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2.3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 能够设计基础VLAN、冗余拓扑并说明PROFINET设备关系。</w:t>
            </w:r>
          </w:p>
        </w:tc>
        <w:tc>
          <w:tcPr>
            <w:tcW w:type="dxa" w:w="3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通过网络方案与故障案例检验。</w:t>
            </w:r>
          </w:p>
        </w:tc>
      </w:tr>
      <w:tr>
        <w:tc>
          <w:tcPr>
            <w:tcW w:type="dxa" w:w="10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</w:p>
        </w:tc>
        <w:tc>
          <w:tcPr>
            <w:tcW w:type="dxa" w:w="46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2.4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 能够依据实时性、同步和拓扑要求比较PROFINET、EtherCAT和TSN。</w:t>
            </w:r>
          </w:p>
        </w:tc>
        <w:tc>
          <w:tcPr>
            <w:tcW w:type="dxa" w:w="3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通过协议选型和性能分析任务检验。</w:t>
            </w:r>
          </w:p>
        </w:tc>
      </w:tr>
      <w:tr>
        <w:tc>
          <w:tcPr>
            <w:tcW w:type="dxa" w:w="10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</w:p>
        </w:tc>
        <w:tc>
          <w:tcPr>
            <w:tcW w:type="dxa" w:w="46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2.5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 能够设计从设备到MES或边缘平台的数据点与接口链。</w:t>
            </w:r>
          </w:p>
        </w:tc>
        <w:tc>
          <w:tcPr>
            <w:tcW w:type="dxa" w:w="3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通过OPC UA/MQTT数据集成方案检验。</w:t>
            </w:r>
          </w:p>
        </w:tc>
      </w:tr>
      <w:tr>
        <w:tc>
          <w:tcPr>
            <w:tcW w:type="dxa" w:w="10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</w:p>
        </w:tc>
        <w:tc>
          <w:tcPr>
            <w:tcW w:type="dxa" w:w="46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2.6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 能够根据需求形成工业网络方案并设计分层诊断和验证清单。</w:t>
            </w:r>
          </w:p>
        </w:tc>
        <w:tc>
          <w:tcPr>
            <w:tcW w:type="dxa" w:w="3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通过综合网络方案报告和个人核验检验。</w:t>
            </w:r>
          </w:p>
        </w:tc>
      </w:tr>
      <w:tr>
        <w:tc>
          <w:tcPr>
            <w:tcW w:type="dxa" w:w="10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3.素质</w:t>
            </w:r>
          </w:p>
        </w:tc>
        <w:tc>
          <w:tcPr>
            <w:tcW w:type="dxa" w:w="46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3.1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 形成以需求、指标和证据定义网络性能的工程习惯。</w:t>
            </w:r>
          </w:p>
        </w:tc>
        <w:tc>
          <w:tcPr>
            <w:tcW w:type="dxa" w:w="3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通过性能案例和方案说明检验。</w:t>
            </w:r>
          </w:p>
        </w:tc>
      </w:tr>
      <w:tr>
        <w:tc>
          <w:tcPr>
            <w:tcW w:type="dxa" w:w="10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</w:p>
        </w:tc>
        <w:tc>
          <w:tcPr>
            <w:tcW w:type="dxa" w:w="46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3.2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 形成接口契约、配置可追溯和如实记录意识。</w:t>
            </w:r>
          </w:p>
        </w:tc>
        <w:tc>
          <w:tcPr>
            <w:tcW w:type="dxa" w:w="3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通过寄存器表、配置记录和故障复盘检验。</w:t>
            </w:r>
          </w:p>
        </w:tc>
      </w:tr>
      <w:tr>
        <w:tc>
          <w:tcPr>
            <w:tcW w:type="dxa" w:w="10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</w:p>
        </w:tc>
        <w:tc>
          <w:tcPr>
            <w:tcW w:type="dxa" w:w="46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3.3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 形成网络变更受控、分区设计和故障隔离意识。</w:t>
            </w:r>
          </w:p>
        </w:tc>
        <w:tc>
          <w:tcPr>
            <w:tcW w:type="dxa" w:w="3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通过VLAN、环网和广播风暴案例检验。</w:t>
            </w:r>
          </w:p>
        </w:tc>
      </w:tr>
      <w:tr>
        <w:tc>
          <w:tcPr>
            <w:tcW w:type="dxa" w:w="10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</w:p>
        </w:tc>
        <w:tc>
          <w:tcPr>
            <w:tcW w:type="dxa" w:w="46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3.4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 形成以时延、抖动、同步和可用性评价实时网络的意识。</w:t>
            </w:r>
          </w:p>
        </w:tc>
        <w:tc>
          <w:tcPr>
            <w:tcW w:type="dxa" w:w="3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通过实时协议比较和技术论证检验。</w:t>
            </w:r>
          </w:p>
        </w:tc>
      </w:tr>
      <w:tr>
        <w:tc>
          <w:tcPr>
            <w:tcW w:type="dxa" w:w="10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</w:p>
        </w:tc>
        <w:tc>
          <w:tcPr>
            <w:tcW w:type="dxa" w:w="46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3.5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 形成数据语义一致、最小权限和跨部门协作意识。</w:t>
            </w:r>
          </w:p>
        </w:tc>
        <w:tc>
          <w:tcPr>
            <w:tcW w:type="dxa" w:w="3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通过OT/IT数据链和权限案例检验。</w:t>
            </w:r>
          </w:p>
        </w:tc>
      </w:tr>
      <w:tr>
        <w:tc>
          <w:tcPr>
            <w:tcW w:type="dxa" w:w="10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</w:p>
        </w:tc>
        <w:tc>
          <w:tcPr>
            <w:tcW w:type="dxa" w:w="46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3.6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 形成合法授权、最小影响、可恢复和持续学习意识。</w:t>
            </w:r>
          </w:p>
        </w:tc>
        <w:tc>
          <w:tcPr>
            <w:tcW w:type="dxa" w:w="3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通过工业控制系统安全与诊断案例检验。</w:t>
            </w:r>
          </w:p>
        </w:tc>
      </w:tr>
    </w:tbl>
    <w:p>
      <w:pPr>
        <w:keepNext/>
        <w:spacing w:line="283" w:lineRule="auto" w:before="100" w:after="60"/>
      </w:pPr>
      <w:r>
        <w:rPr>
          <w:rFonts w:ascii="Times New Roman" w:hAnsi="Times New Roman" w:eastAsia="黑体"/>
          <w:b/>
          <w:sz w:val="28"/>
        </w:rPr>
        <w:t>三、理论教学环节及基本要求</w:t>
      </w:r>
    </w:p>
    <w:tbl>
      <w:tblPr>
        <w:tblW w:type="dxa" w:w="9054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00"/>
        <w:gridCol w:w="1900"/>
        <w:gridCol w:w="600"/>
        <w:gridCol w:w="4000"/>
        <w:gridCol w:w="1254"/>
      </w:tblGrid>
      <w:tr>
        <w:trPr>
          <w:tblHeader w:val="true"/>
          <w:cantSplit/>
        </w:trPr>
        <w:tc>
          <w:tcPr>
            <w:tcW w:type="dxa" w:w="130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单元标题</w:t>
            </w:r>
          </w:p>
        </w:tc>
        <w:tc>
          <w:tcPr>
            <w:tcW w:type="dxa" w:w="190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教学内容</w:t>
            </w:r>
          </w:p>
        </w:tc>
        <w:tc>
          <w:tcPr>
            <w:tcW w:type="dxa" w:w="60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学时</w:t>
            </w:r>
          </w:p>
        </w:tc>
        <w:tc>
          <w:tcPr>
            <w:tcW w:type="dxa" w:w="400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课程要求</w:t>
            </w:r>
          </w:p>
        </w:tc>
        <w:tc>
          <w:tcPr>
            <w:tcW w:type="dxa" w:w="125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课程目标</w:t>
            </w:r>
          </w:p>
        </w:tc>
      </w:tr>
      <w:tr>
        <w:tc>
          <w:tcPr>
            <w:tcW w:type="dxa" w:w="13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第一单元 工业网络体系与通信基础</w:t>
            </w:r>
          </w:p>
        </w:tc>
        <w:tc>
          <w:tcPr>
            <w:tcW w:type="dxa" w:w="19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工业网络层级与发展；IT/OT网络差异；现场级、控制级、监控级和企业级互联；OSI与TCP/IP模型在工业通信中的映射；传输介质、拓扑、交换、IP地址、子网、端口、时延、抖动、丢包和带宽；实时性、确定性、可靠性与可维护性。</w:t>
            </w:r>
          </w:p>
        </w:tc>
        <w:tc>
          <w:tcPr>
            <w:tcW w:type="dxa" w:w="6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8</w:t>
            </w:r>
          </w:p>
        </w:tc>
        <w:tc>
          <w:tcPr>
            <w:tcW w:type="dxa" w:w="40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思政融入点：</w:t>
            </w:r>
            <w:r>
              <w:rPr>
                <w:rFonts w:ascii="Times New Roman" w:hAnsi="Times New Roman" w:eastAsia="宋体"/>
                <w:b w:val="0"/>
                <w:sz w:val="17"/>
              </w:rPr>
              <w:t>通过关键基础设施和生产停线案例讨论网络设计对人员、设备、质量和社会运行的影响。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预期学习成果：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知识层面：理解工业网络层级、性能指标和通信模型。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能力层面：能够识读基本拓扑、地址和链路关系。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素养层面：形成以需求和证据定义网络指标的习惯。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教学方式：</w:t>
            </w:r>
            <w:r>
              <w:rPr>
                <w:rFonts w:ascii="Times New Roman" w:hAnsi="Times New Roman" w:eastAsia="宋体"/>
                <w:b w:val="0"/>
                <w:sz w:val="17"/>
              </w:rPr>
              <w:t>讲授、拓扑推演、报文示意、性能案例</w:t>
            </w:r>
          </w:p>
        </w:tc>
        <w:tc>
          <w:tcPr>
            <w:tcW w:type="dxa" w:w="12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目标 1.1，2.1，3.1</w:t>
            </w:r>
          </w:p>
        </w:tc>
      </w:tr>
      <w:tr>
        <w:tc>
          <w:tcPr>
            <w:tcW w:type="dxa" w:w="13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第二单元 现场总线与Modbus通信</w:t>
            </w:r>
          </w:p>
        </w:tc>
        <w:tc>
          <w:tcPr>
            <w:tcW w:type="dxa" w:w="19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现场总线基本思想；主从/客户端服务器与周期/非周期通信；RS-485基础；Modbus RTU帧、站号、功能码、寄存器与CRC概念；Modbus TCP的MBAP、端口和事务；串口—以太网网关与协议转换；PROFIBUS、CAN/CANopen概览。</w:t>
            </w:r>
          </w:p>
        </w:tc>
        <w:tc>
          <w:tcPr>
            <w:tcW w:type="dxa" w:w="6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8</w:t>
            </w:r>
          </w:p>
        </w:tc>
        <w:tc>
          <w:tcPr>
            <w:tcW w:type="dxa" w:w="40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思政融入点：</w:t>
            </w:r>
            <w:r>
              <w:rPr>
                <w:rFonts w:ascii="Times New Roman" w:hAnsi="Times New Roman" w:eastAsia="宋体"/>
                <w:b w:val="0"/>
                <w:sz w:val="17"/>
              </w:rPr>
              <w:t>通过错误站号、寄存器映射和终端匹配故障强调按手册、按接口表实施和诚实记录。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预期学习成果：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知识层面：掌握Modbus RTU/TCP的数据模型与基本报文。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能力层面：能够依据寄存器表和抓包定位地址或功能码错误。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素养层面：形成接口契约和配置可追溯意识。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教学方式：</w:t>
            </w:r>
            <w:r>
              <w:rPr>
                <w:rFonts w:ascii="Times New Roman" w:hAnsi="Times New Roman" w:eastAsia="宋体"/>
                <w:b w:val="0"/>
                <w:sz w:val="17"/>
              </w:rPr>
              <w:t>讲授、帧格式解析、寄存器案例、故障推演</w:t>
            </w:r>
          </w:p>
        </w:tc>
        <w:tc>
          <w:tcPr>
            <w:tcW w:type="dxa" w:w="12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目标 1.2，2.2，3.2</w:t>
            </w:r>
          </w:p>
        </w:tc>
      </w:tr>
      <w:tr>
        <w:tc>
          <w:tcPr>
            <w:tcW w:type="dxa" w:w="13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第三单元 工业以太网与交换网络设计</w:t>
            </w:r>
          </w:p>
        </w:tc>
        <w:tc>
          <w:tcPr>
            <w:tcW w:type="dxa" w:w="19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以太网帧、MAC、ARP、IP、TCP/UDP与交换机转发；工业交换机、VLAN、环网与冗余；网络分段、广播域、QoS与时间同步；PROFINET体系、IO Controller/Device、设备名称、GSDML、周期数据与诊断；EtherNet/IP及CIP对象模型概览。</w:t>
            </w:r>
          </w:p>
        </w:tc>
        <w:tc>
          <w:tcPr>
            <w:tcW w:type="dxa" w:w="6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8</w:t>
            </w:r>
          </w:p>
        </w:tc>
        <w:tc>
          <w:tcPr>
            <w:tcW w:type="dxa" w:w="40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思政融入点：</w:t>
            </w:r>
            <w:r>
              <w:rPr>
                <w:rFonts w:ascii="Times New Roman" w:hAnsi="Times New Roman" w:eastAsia="宋体"/>
                <w:b w:val="0"/>
                <w:sz w:val="17"/>
              </w:rPr>
              <w:t>通过网络环路、广播风暴和错误VLAN案例强化变更审批、分区设计和生产连续性责任。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预期学习成果：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知识层面：理解工业以太网与交换网络的关键机制。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能力层面：能够设计基础VLAN或冗余拓扑并说明PROFINET设备关系。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素养层面：形成变更受控和故障隔离意识。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教学方式：</w:t>
            </w:r>
            <w:r>
              <w:rPr>
                <w:rFonts w:ascii="Times New Roman" w:hAnsi="Times New Roman" w:eastAsia="宋体"/>
                <w:b w:val="0"/>
                <w:sz w:val="17"/>
              </w:rPr>
              <w:t>讲授、交换转发演示、VLAN拓扑、PROFINET案例</w:t>
            </w:r>
          </w:p>
        </w:tc>
        <w:tc>
          <w:tcPr>
            <w:tcW w:type="dxa" w:w="12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目标 1.3，2.3，3.3</w:t>
            </w:r>
          </w:p>
        </w:tc>
      </w:tr>
      <w:tr>
        <w:tc>
          <w:tcPr>
            <w:tcW w:type="dxa" w:w="13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第四单元 实时工业以太网、EtherCAT与TSN</w:t>
            </w:r>
          </w:p>
        </w:tc>
        <w:tc>
          <w:tcPr>
            <w:tcW w:type="dxa" w:w="19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工业实时通信需求；实时与非实时数据；PROFINET RT/IRT概念；EtherCAT帧处理、主从结构、分布式时钟和过程数据映射；EtherCAT与PROFINET适用场景比较；TSN的时间同步、流量调度、可靠传输等基本机制；确定性网络性能评价。</w:t>
            </w:r>
          </w:p>
        </w:tc>
        <w:tc>
          <w:tcPr>
            <w:tcW w:type="dxa" w:w="6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8</w:t>
            </w:r>
          </w:p>
        </w:tc>
        <w:tc>
          <w:tcPr>
            <w:tcW w:type="dxa" w:w="40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思政融入点：</w:t>
            </w:r>
            <w:r>
              <w:rPr>
                <w:rFonts w:ascii="Times New Roman" w:hAnsi="Times New Roman" w:eastAsia="宋体"/>
                <w:b w:val="0"/>
                <w:sz w:val="17"/>
              </w:rPr>
              <w:t>以高速装备、机器人和运动控制对时延与同步的要求讨论性能指标必须可测量、可验证。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预期学习成果：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知识层面：理解实时工业网络的确定性机制。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能力层面：能够比较PROFINET、EtherCAT和TSN的特点及边界。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素养层面：形成以时延、抖动、同步和可用性评价方案的意识。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教学方式：</w:t>
            </w:r>
            <w:r>
              <w:rPr>
                <w:rFonts w:ascii="Times New Roman" w:hAnsi="Times New Roman" w:eastAsia="宋体"/>
                <w:b w:val="0"/>
                <w:sz w:val="17"/>
              </w:rPr>
              <w:t>讲授、时序图、协议比较、性能指标分析</w:t>
            </w:r>
          </w:p>
        </w:tc>
        <w:tc>
          <w:tcPr>
            <w:tcW w:type="dxa" w:w="12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目标 1.4，2.4，3.4</w:t>
            </w:r>
          </w:p>
        </w:tc>
      </w:tr>
      <w:tr>
        <w:tc>
          <w:tcPr>
            <w:tcW w:type="dxa" w:w="13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第五单元 OPC UA、MQTT与OT/IT数据集成</w:t>
            </w:r>
          </w:p>
        </w:tc>
        <w:tc>
          <w:tcPr>
            <w:tcW w:type="dxa" w:w="19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OPC UA客户端/服务器、地址空间、节点、数据访问、订阅、信息模型和安全机制；MQTT发布/订阅、主题、QoS与Broker；边缘网关、协议适配、数据采集与上送；PLC/HMI/SCADA/MES/云平台数据链；信息模型、命名、时间戳和数据质量；OPC UA PubSub与MQTT定位比较。</w:t>
            </w:r>
          </w:p>
        </w:tc>
        <w:tc>
          <w:tcPr>
            <w:tcW w:type="dxa" w:w="6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8</w:t>
            </w:r>
          </w:p>
        </w:tc>
        <w:tc>
          <w:tcPr>
            <w:tcW w:type="dxa" w:w="40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思政融入点：</w:t>
            </w:r>
            <w:r>
              <w:rPr>
                <w:rFonts w:ascii="Times New Roman" w:hAnsi="Times New Roman" w:eastAsia="宋体"/>
                <w:b w:val="0"/>
                <w:sz w:val="17"/>
              </w:rPr>
              <w:t>通过工业数据越权、错误时间戳和语义不一致案例强调数据所有权、最小权限、真实记录和跨部门协作。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预期学习成果：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知识层面：掌握OPC UA与MQTT的基本交互模型。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能力层面：能够设计从设备到MES或边缘平台的数据点与接口链。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素养层面：形成语义一致、权限清楚和数据质量意识。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教学方式：</w:t>
            </w:r>
            <w:r>
              <w:rPr>
                <w:rFonts w:ascii="Times New Roman" w:hAnsi="Times New Roman" w:eastAsia="宋体"/>
                <w:b w:val="0"/>
                <w:sz w:val="17"/>
              </w:rPr>
              <w:t>讲授、地址空间示意、数据点表、OT/IT集成案例</w:t>
            </w:r>
          </w:p>
        </w:tc>
        <w:tc>
          <w:tcPr>
            <w:tcW w:type="dxa" w:w="12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目标 1.5，2.5，3.5</w:t>
            </w:r>
          </w:p>
        </w:tc>
      </w:tr>
      <w:tr>
        <w:tc>
          <w:tcPr>
            <w:tcW w:type="dxa" w:w="13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第六单元 网络诊断、可靠性、安全与方案设计</w:t>
            </w:r>
          </w:p>
        </w:tc>
        <w:tc>
          <w:tcPr>
            <w:tcW w:type="dxa" w:w="19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工业网络故障分层定位；物理链路、地址、VLAN、端口、协议、应用数据和设备状态的诊断顺序；Ping、ARP、抓包、端口统计和设备诊断的合规使用；冗余与可用性；工业网络分区分域、防火墙、白名单、账号权限、远程维护和备份；网络资产与配置基线；方案需求、拓扑、协议、性能、安全、测试和交付。</w:t>
            </w:r>
          </w:p>
        </w:tc>
        <w:tc>
          <w:tcPr>
            <w:tcW w:type="dxa" w:w="6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8</w:t>
            </w:r>
          </w:p>
        </w:tc>
        <w:tc>
          <w:tcPr>
            <w:tcW w:type="dxa" w:w="40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思政融入点：</w:t>
            </w:r>
            <w:r>
              <w:rPr>
                <w:rFonts w:ascii="Times New Roman" w:hAnsi="Times New Roman" w:eastAsia="宋体"/>
                <w:b w:val="0"/>
                <w:sz w:val="17"/>
              </w:rPr>
              <w:t>以工业控制系统安全事件和未经授权扫描风险强调法律法规、最小权限、生产连续性和工程伦理。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预期学习成果：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知识层面：掌握分层诊断与基础防护思路。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能力层面：能够根据需求形成工业网络方案并设计验证清单。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素养层面：形成合法授权、最小影响、可恢复和持续学习意识。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教学方式：</w:t>
            </w:r>
            <w:r>
              <w:rPr>
                <w:rFonts w:ascii="Times New Roman" w:hAnsi="Times New Roman" w:eastAsia="宋体"/>
                <w:b w:val="0"/>
                <w:sz w:val="17"/>
              </w:rPr>
              <w:t>案例研讨、故障树、抓包演示、方案评审</w:t>
            </w:r>
          </w:p>
        </w:tc>
        <w:tc>
          <w:tcPr>
            <w:tcW w:type="dxa" w:w="12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目标 1.6，2.6，3.6</w:t>
            </w:r>
          </w:p>
        </w:tc>
      </w:tr>
    </w:tbl>
    <w:p>
      <w:pPr>
        <w:keepNext/>
        <w:spacing w:line="283" w:lineRule="auto" w:before="60" w:after="20"/>
      </w:pPr>
      <w:r>
        <w:rPr>
          <w:rFonts w:ascii="Times New Roman" w:hAnsi="Times New Roman" w:eastAsia="宋体"/>
          <w:b/>
          <w:sz w:val="21"/>
        </w:rPr>
        <w:t>理论总学时：48学时。</w:t>
      </w:r>
    </w:p>
    <w:p>
      <w:pPr>
        <w:keepNext/>
        <w:spacing w:line="283" w:lineRule="auto" w:before="100" w:after="60"/>
      </w:pPr>
      <w:r>
        <w:rPr>
          <w:rFonts w:ascii="Times New Roman" w:hAnsi="Times New Roman" w:eastAsia="黑体"/>
          <w:b/>
          <w:sz w:val="28"/>
        </w:rPr>
        <w:t>四、课程评价</w:t>
      </w:r>
    </w:p>
    <w:p>
      <w:pPr>
        <w:keepNext/>
        <w:spacing w:line="283" w:lineRule="auto" w:before="80" w:after="40"/>
      </w:pPr>
      <w:r>
        <w:rPr>
          <w:rFonts w:ascii="Times New Roman" w:hAnsi="Times New Roman" w:eastAsia="宋体"/>
          <w:b/>
          <w:sz w:val="24"/>
        </w:rPr>
        <w:t>（一）考核内容、考核方式与课程目标对应关系</w:t>
      </w:r>
    </w:p>
    <w:p>
      <w:pPr>
        <w:spacing w:line="283" w:lineRule="auto" w:before="0" w:after="20"/>
        <w:ind w:firstLine="420"/>
        <w:jc w:val="left"/>
      </w:pPr>
      <w:r>
        <w:rPr>
          <w:rFonts w:ascii="Times New Roman" w:hAnsi="Times New Roman" w:eastAsia="宋体"/>
          <w:b w:val="0"/>
          <w:sz w:val="21"/>
        </w:rPr>
        <w:t>本课程采用考查。总评由平时学习与课堂分析20%、协议与故障分析作业30%、工业网络方案报告40%、个人核验与答辩10%构成。下表各考核列百分比是该项考核内部的教学内容分配，各列分别合计100%。</w:t>
      </w:r>
    </w:p>
    <w:tbl>
      <w:tblPr>
        <w:tblW w:type="dxa" w:w="9054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45"/>
        <w:gridCol w:w="746"/>
        <w:gridCol w:w="746"/>
        <w:gridCol w:w="746"/>
        <w:gridCol w:w="959"/>
        <w:gridCol w:w="959"/>
        <w:gridCol w:w="959"/>
        <w:gridCol w:w="959"/>
        <w:gridCol w:w="1435"/>
      </w:tblGrid>
      <w:tr>
        <w:trPr>
          <w:tblHeader w:val="true"/>
          <w:cantSplit/>
        </w:trPr>
        <w:tc>
          <w:tcPr>
            <w:tcW w:type="dxa" w:w="1545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考核内容</w:t>
            </w:r>
          </w:p>
        </w:tc>
        <w:tc>
          <w:tcPr>
            <w:tcW w:type="dxa" w:w="74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总学时</w:t>
            </w:r>
          </w:p>
        </w:tc>
        <w:tc>
          <w:tcPr>
            <w:tcW w:type="dxa" w:w="74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理论学时</w:t>
            </w:r>
          </w:p>
        </w:tc>
        <w:tc>
          <w:tcPr>
            <w:tcW w:type="dxa" w:w="74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上机学时</w:t>
            </w:r>
          </w:p>
        </w:tc>
        <w:tc>
          <w:tcPr>
            <w:tcW w:type="dxa" w:w="959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平时分析（20%）</w:t>
            </w:r>
          </w:p>
        </w:tc>
        <w:tc>
          <w:tcPr>
            <w:tcW w:type="dxa" w:w="959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协议作业（30%）</w:t>
            </w:r>
          </w:p>
        </w:tc>
        <w:tc>
          <w:tcPr>
            <w:tcW w:type="dxa" w:w="959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方案报告（40%）</w:t>
            </w:r>
          </w:p>
        </w:tc>
        <w:tc>
          <w:tcPr>
            <w:tcW w:type="dxa" w:w="959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个人核验（10%）</w:t>
            </w:r>
          </w:p>
        </w:tc>
        <w:tc>
          <w:tcPr>
            <w:tcW w:type="dxa" w:w="1435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课程目标</w:t>
            </w:r>
          </w:p>
        </w:tc>
      </w:tr>
      <w:tr>
        <w:tc>
          <w:tcPr>
            <w:tcW w:type="dxa" w:w="1545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工业网络体系与通信基础</w:t>
            </w:r>
          </w:p>
        </w:tc>
        <w:tc>
          <w:tcPr>
            <w:tcW w:type="dxa" w:w="746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8</w:t>
            </w:r>
          </w:p>
        </w:tc>
        <w:tc>
          <w:tcPr>
            <w:tcW w:type="dxa" w:w="746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8</w:t>
            </w:r>
          </w:p>
        </w:tc>
        <w:tc>
          <w:tcPr>
            <w:tcW w:type="dxa" w:w="746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</w:t>
            </w:r>
          </w:p>
        </w:tc>
        <w:tc>
          <w:tcPr>
            <w:tcW w:type="dxa" w:w="959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15%</w:t>
            </w:r>
          </w:p>
        </w:tc>
        <w:tc>
          <w:tcPr>
            <w:tcW w:type="dxa" w:w="959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10%</w:t>
            </w:r>
          </w:p>
        </w:tc>
        <w:tc>
          <w:tcPr>
            <w:tcW w:type="dxa" w:w="959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10%</w:t>
            </w:r>
          </w:p>
        </w:tc>
        <w:tc>
          <w:tcPr>
            <w:tcW w:type="dxa" w:w="959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15%</w:t>
            </w:r>
          </w:p>
        </w:tc>
        <w:tc>
          <w:tcPr>
            <w:tcW w:type="dxa" w:w="1435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目标 1.1，2.1，3.1</w:t>
            </w:r>
          </w:p>
        </w:tc>
      </w:tr>
      <w:tr>
        <w:tc>
          <w:tcPr>
            <w:tcW w:type="dxa" w:w="1545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现场总线与Modbus通信</w:t>
            </w:r>
          </w:p>
        </w:tc>
        <w:tc>
          <w:tcPr>
            <w:tcW w:type="dxa" w:w="746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8</w:t>
            </w:r>
          </w:p>
        </w:tc>
        <w:tc>
          <w:tcPr>
            <w:tcW w:type="dxa" w:w="746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8</w:t>
            </w:r>
          </w:p>
        </w:tc>
        <w:tc>
          <w:tcPr>
            <w:tcW w:type="dxa" w:w="746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</w:t>
            </w:r>
          </w:p>
        </w:tc>
        <w:tc>
          <w:tcPr>
            <w:tcW w:type="dxa" w:w="959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15%</w:t>
            </w:r>
          </w:p>
        </w:tc>
        <w:tc>
          <w:tcPr>
            <w:tcW w:type="dxa" w:w="959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20%</w:t>
            </w:r>
          </w:p>
        </w:tc>
        <w:tc>
          <w:tcPr>
            <w:tcW w:type="dxa" w:w="959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10%</w:t>
            </w:r>
          </w:p>
        </w:tc>
        <w:tc>
          <w:tcPr>
            <w:tcW w:type="dxa" w:w="959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15%</w:t>
            </w:r>
          </w:p>
        </w:tc>
        <w:tc>
          <w:tcPr>
            <w:tcW w:type="dxa" w:w="1435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目标 1.2，2.2，3.2</w:t>
            </w:r>
          </w:p>
        </w:tc>
      </w:tr>
      <w:tr>
        <w:tc>
          <w:tcPr>
            <w:tcW w:type="dxa" w:w="1545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工业以太网与交换网络设计</w:t>
            </w:r>
          </w:p>
        </w:tc>
        <w:tc>
          <w:tcPr>
            <w:tcW w:type="dxa" w:w="746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8</w:t>
            </w:r>
          </w:p>
        </w:tc>
        <w:tc>
          <w:tcPr>
            <w:tcW w:type="dxa" w:w="746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8</w:t>
            </w:r>
          </w:p>
        </w:tc>
        <w:tc>
          <w:tcPr>
            <w:tcW w:type="dxa" w:w="746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</w:t>
            </w:r>
          </w:p>
        </w:tc>
        <w:tc>
          <w:tcPr>
            <w:tcW w:type="dxa" w:w="959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15%</w:t>
            </w:r>
          </w:p>
        </w:tc>
        <w:tc>
          <w:tcPr>
            <w:tcW w:type="dxa" w:w="959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20%</w:t>
            </w:r>
          </w:p>
        </w:tc>
        <w:tc>
          <w:tcPr>
            <w:tcW w:type="dxa" w:w="959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20%</w:t>
            </w:r>
          </w:p>
        </w:tc>
        <w:tc>
          <w:tcPr>
            <w:tcW w:type="dxa" w:w="959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15%</w:t>
            </w:r>
          </w:p>
        </w:tc>
        <w:tc>
          <w:tcPr>
            <w:tcW w:type="dxa" w:w="1435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目标 1.3，2.3，3.3</w:t>
            </w:r>
          </w:p>
        </w:tc>
      </w:tr>
      <w:tr>
        <w:tc>
          <w:tcPr>
            <w:tcW w:type="dxa" w:w="1545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实时工业以太网、EtherCAT与TSN</w:t>
            </w:r>
          </w:p>
        </w:tc>
        <w:tc>
          <w:tcPr>
            <w:tcW w:type="dxa" w:w="746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8</w:t>
            </w:r>
          </w:p>
        </w:tc>
        <w:tc>
          <w:tcPr>
            <w:tcW w:type="dxa" w:w="746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8</w:t>
            </w:r>
          </w:p>
        </w:tc>
        <w:tc>
          <w:tcPr>
            <w:tcW w:type="dxa" w:w="746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</w:t>
            </w:r>
          </w:p>
        </w:tc>
        <w:tc>
          <w:tcPr>
            <w:tcW w:type="dxa" w:w="959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20%</w:t>
            </w:r>
          </w:p>
        </w:tc>
        <w:tc>
          <w:tcPr>
            <w:tcW w:type="dxa" w:w="959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20%</w:t>
            </w:r>
          </w:p>
        </w:tc>
        <w:tc>
          <w:tcPr>
            <w:tcW w:type="dxa" w:w="959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20%</w:t>
            </w:r>
          </w:p>
        </w:tc>
        <w:tc>
          <w:tcPr>
            <w:tcW w:type="dxa" w:w="959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20%</w:t>
            </w:r>
          </w:p>
        </w:tc>
        <w:tc>
          <w:tcPr>
            <w:tcW w:type="dxa" w:w="1435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目标 1.4，2.4，3.4</w:t>
            </w:r>
          </w:p>
        </w:tc>
      </w:tr>
      <w:tr>
        <w:tc>
          <w:tcPr>
            <w:tcW w:type="dxa" w:w="1545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OPC UA、MQTT与OT/IT数据集成</w:t>
            </w:r>
          </w:p>
        </w:tc>
        <w:tc>
          <w:tcPr>
            <w:tcW w:type="dxa" w:w="746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8</w:t>
            </w:r>
          </w:p>
        </w:tc>
        <w:tc>
          <w:tcPr>
            <w:tcW w:type="dxa" w:w="746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8</w:t>
            </w:r>
          </w:p>
        </w:tc>
        <w:tc>
          <w:tcPr>
            <w:tcW w:type="dxa" w:w="746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</w:t>
            </w:r>
          </w:p>
        </w:tc>
        <w:tc>
          <w:tcPr>
            <w:tcW w:type="dxa" w:w="959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15%</w:t>
            </w:r>
          </w:p>
        </w:tc>
        <w:tc>
          <w:tcPr>
            <w:tcW w:type="dxa" w:w="959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15%</w:t>
            </w:r>
          </w:p>
        </w:tc>
        <w:tc>
          <w:tcPr>
            <w:tcW w:type="dxa" w:w="959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20%</w:t>
            </w:r>
          </w:p>
        </w:tc>
        <w:tc>
          <w:tcPr>
            <w:tcW w:type="dxa" w:w="959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15%</w:t>
            </w:r>
          </w:p>
        </w:tc>
        <w:tc>
          <w:tcPr>
            <w:tcW w:type="dxa" w:w="1435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目标 1.5，2.5，3.5</w:t>
            </w:r>
          </w:p>
        </w:tc>
      </w:tr>
      <w:tr>
        <w:tc>
          <w:tcPr>
            <w:tcW w:type="dxa" w:w="1545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网络诊断、可靠性、安全与方案设计</w:t>
            </w:r>
          </w:p>
        </w:tc>
        <w:tc>
          <w:tcPr>
            <w:tcW w:type="dxa" w:w="746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8</w:t>
            </w:r>
          </w:p>
        </w:tc>
        <w:tc>
          <w:tcPr>
            <w:tcW w:type="dxa" w:w="746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8</w:t>
            </w:r>
          </w:p>
        </w:tc>
        <w:tc>
          <w:tcPr>
            <w:tcW w:type="dxa" w:w="746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</w:t>
            </w:r>
          </w:p>
        </w:tc>
        <w:tc>
          <w:tcPr>
            <w:tcW w:type="dxa" w:w="959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20%</w:t>
            </w:r>
          </w:p>
        </w:tc>
        <w:tc>
          <w:tcPr>
            <w:tcW w:type="dxa" w:w="959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15%</w:t>
            </w:r>
          </w:p>
        </w:tc>
        <w:tc>
          <w:tcPr>
            <w:tcW w:type="dxa" w:w="959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20%</w:t>
            </w:r>
          </w:p>
        </w:tc>
        <w:tc>
          <w:tcPr>
            <w:tcW w:type="dxa" w:w="959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15%</w:t>
            </w:r>
          </w:p>
        </w:tc>
        <w:tc>
          <w:tcPr>
            <w:tcW w:type="dxa" w:w="1435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目标 1.6，2.6，3.6</w:t>
            </w:r>
          </w:p>
        </w:tc>
      </w:tr>
      <w:tr>
        <w:tc>
          <w:tcPr>
            <w:tcW w:type="dxa" w:w="1545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合计</w:t>
            </w:r>
          </w:p>
        </w:tc>
        <w:tc>
          <w:tcPr>
            <w:tcW w:type="dxa" w:w="746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48</w:t>
            </w:r>
          </w:p>
        </w:tc>
        <w:tc>
          <w:tcPr>
            <w:tcW w:type="dxa" w:w="746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48</w:t>
            </w:r>
          </w:p>
        </w:tc>
        <w:tc>
          <w:tcPr>
            <w:tcW w:type="dxa" w:w="746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</w:t>
            </w:r>
          </w:p>
        </w:tc>
        <w:tc>
          <w:tcPr>
            <w:tcW w:type="dxa" w:w="959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100%</w:t>
            </w:r>
          </w:p>
        </w:tc>
        <w:tc>
          <w:tcPr>
            <w:tcW w:type="dxa" w:w="959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100%</w:t>
            </w:r>
          </w:p>
        </w:tc>
        <w:tc>
          <w:tcPr>
            <w:tcW w:type="dxa" w:w="959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100%</w:t>
            </w:r>
          </w:p>
        </w:tc>
        <w:tc>
          <w:tcPr>
            <w:tcW w:type="dxa" w:w="959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100%</w:t>
            </w:r>
          </w:p>
        </w:tc>
        <w:tc>
          <w:tcPr>
            <w:tcW w:type="dxa" w:w="1435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全部课程目标</w:t>
            </w:r>
          </w:p>
        </w:tc>
      </w:tr>
    </w:tbl>
    <w:p>
      <w:pPr>
        <w:keepNext/>
        <w:spacing w:line="283" w:lineRule="auto" w:before="80" w:after="40"/>
      </w:pPr>
      <w:r>
        <w:rPr>
          <w:rFonts w:ascii="Times New Roman" w:hAnsi="Times New Roman" w:eastAsia="宋体"/>
          <w:b/>
          <w:sz w:val="24"/>
        </w:rPr>
        <w:t>（二）考核方式与评分标准</w:t>
      </w:r>
    </w:p>
    <w:p>
      <w:pPr>
        <w:keepNext/>
        <w:spacing w:line="283" w:lineRule="auto" w:before="60" w:after="20"/>
      </w:pPr>
      <w:r>
        <w:rPr>
          <w:rFonts w:ascii="Times New Roman" w:hAnsi="Times New Roman" w:eastAsia="宋体"/>
          <w:b/>
          <w:sz w:val="21"/>
        </w:rPr>
        <w:t>1.考核方式</w:t>
      </w:r>
    </w:p>
    <w:p>
      <w:pPr>
        <w:spacing w:line="283" w:lineRule="auto" w:before="0" w:after="20"/>
        <w:ind w:firstLine="420"/>
        <w:jc w:val="left"/>
      </w:pPr>
      <w:r>
        <w:rPr>
          <w:rFonts w:ascii="Times New Roman" w:hAnsi="Times New Roman" w:eastAsia="宋体"/>
          <w:b w:val="0"/>
          <w:sz w:val="21"/>
        </w:rPr>
        <w:t>考查。</w:t>
      </w:r>
    </w:p>
    <w:p>
      <w:pPr>
        <w:keepNext/>
        <w:spacing w:line="283" w:lineRule="auto" w:before="60" w:after="20"/>
      </w:pPr>
      <w:r>
        <w:rPr>
          <w:rFonts w:ascii="Times New Roman" w:hAnsi="Times New Roman" w:eastAsia="宋体"/>
          <w:b/>
          <w:sz w:val="21"/>
        </w:rPr>
        <w:t>2.评分说明</w:t>
      </w:r>
    </w:p>
    <w:p>
      <w:pPr>
        <w:spacing w:line="283" w:lineRule="auto" w:before="0" w:after="20"/>
        <w:ind w:firstLine="420"/>
        <w:jc w:val="left"/>
      </w:pPr>
      <w:r>
        <w:rPr>
          <w:rFonts w:ascii="Times New Roman" w:hAnsi="Times New Roman" w:eastAsia="宋体"/>
          <w:b w:val="0"/>
          <w:sz w:val="21"/>
        </w:rPr>
        <w:t>各项按百分制评分。总评成绩=平时学习与课堂分析×20%＋协议与故障分析作业×30%＋工业网络方案报告×40%＋个人核验与答辩×10%。培养方案没有实验、上机和项目式学时，方案报告属于课程考核成果，不另计项目学时。所有抓包、仿真、配置或网络工具演示均须在授权环境或教师提供数据上完成，不以未经授权的真实工业网络扫描作为考核内容。</w:t>
      </w:r>
    </w:p>
    <w:p>
      <w:pPr>
        <w:spacing w:line="283" w:lineRule="auto" w:before="0" w:after="20"/>
        <w:ind w:firstLine="420"/>
        <w:jc w:val="left"/>
      </w:pPr>
      <w:r>
        <w:rPr>
          <w:rFonts w:ascii="Times New Roman" w:hAnsi="Times New Roman" w:eastAsia="宋体"/>
          <w:b w:val="0"/>
          <w:sz w:val="21"/>
        </w:rPr>
        <w:t>各评分指标按共用档级判定：优秀90—100分，原理正确、证据充分、方案完整且能独立解释；良好80—89分，主要内容正确、证据完整，少量非关键缺陷；中等70—79分，完成基本分析与方案，边界或论证不够充分；及格60—69分，在指导下完成基本要求，但诊断、验证或文档较弱；不及格0—59分，核心分析错误、方案不可实施、无有效证据或无法解释本人提交内容。</w:t>
      </w:r>
    </w:p>
    <w:p>
      <w:pPr>
        <w:keepNext/>
        <w:spacing w:line="283" w:lineRule="auto" w:before="60" w:after="20"/>
      </w:pPr>
      <w:r>
        <w:rPr>
          <w:rFonts w:ascii="Times New Roman" w:hAnsi="Times New Roman" w:eastAsia="宋体"/>
          <w:b/>
          <w:sz w:val="21"/>
        </w:rPr>
        <w:t>3.评分标准分项说明</w:t>
      </w:r>
    </w:p>
    <w:p>
      <w:pPr>
        <w:keepNext/>
        <w:spacing w:line="283" w:lineRule="auto" w:before="60" w:after="20"/>
      </w:pPr>
      <w:r>
        <w:rPr>
          <w:rFonts w:ascii="Times New Roman" w:hAnsi="Times New Roman" w:eastAsia="宋体"/>
          <w:b/>
          <w:sz w:val="21"/>
        </w:rPr>
        <w:t>（1）平时学习与课堂分析评分标准</w:t>
      </w:r>
    </w:p>
    <w:tbl>
      <w:tblPr>
        <w:tblW w:type="dxa" w:w="9054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700"/>
        <w:gridCol w:w="900"/>
        <w:gridCol w:w="5100"/>
        <w:gridCol w:w="1354"/>
      </w:tblGrid>
      <w:tr>
        <w:trPr>
          <w:tblHeader w:val="true"/>
          <w:cantSplit/>
        </w:trPr>
        <w:tc>
          <w:tcPr>
            <w:tcW w:type="dxa" w:w="170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评分指标</w:t>
            </w:r>
          </w:p>
        </w:tc>
        <w:tc>
          <w:tcPr>
            <w:tcW w:type="dxa" w:w="90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指标权重</w:t>
            </w:r>
          </w:p>
        </w:tc>
        <w:tc>
          <w:tcPr>
            <w:tcW w:type="dxa" w:w="510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评分要求</w:t>
            </w:r>
          </w:p>
        </w:tc>
        <w:tc>
          <w:tcPr>
            <w:tcW w:type="dxa" w:w="135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课程目标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课堂参与与概念理解</w:t>
            </w:r>
          </w:p>
        </w:tc>
        <w:tc>
          <w:tcPr>
            <w:tcW w:type="dxa" w:w="9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40%</w:t>
            </w:r>
          </w:p>
        </w:tc>
        <w:tc>
          <w:tcPr>
            <w:tcW w:type="dxa" w:w="51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准确使用工业网络术语，完成拓扑、协议和性能问题分析并说明依据。</w:t>
            </w:r>
          </w:p>
        </w:tc>
        <w:tc>
          <w:tcPr>
            <w:tcW w:type="dxa" w:w="1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全部课程目标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过程记录与资料规范</w:t>
            </w:r>
          </w:p>
        </w:tc>
        <w:tc>
          <w:tcPr>
            <w:tcW w:type="dxa" w:w="9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35%</w:t>
            </w:r>
          </w:p>
        </w:tc>
        <w:tc>
          <w:tcPr>
            <w:tcW w:type="dxa" w:w="51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课堂笔记、协议表、拓扑图和资料来源完整，参数、单位、版本和引用可追溯。</w:t>
            </w:r>
          </w:p>
        </w:tc>
        <w:tc>
          <w:tcPr>
            <w:tcW w:type="dxa" w:w="1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全部课程目标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安全、协作与学习责任</w:t>
            </w:r>
          </w:p>
        </w:tc>
        <w:tc>
          <w:tcPr>
            <w:tcW w:type="dxa" w:w="9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25%</w:t>
            </w:r>
          </w:p>
        </w:tc>
        <w:tc>
          <w:tcPr>
            <w:tcW w:type="dxa" w:w="51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遵守网络访问和设备操作边界，主动反馈不确定项，能够查阅标准或手册并参与讨论。</w:t>
            </w:r>
          </w:p>
        </w:tc>
        <w:tc>
          <w:tcPr>
            <w:tcW w:type="dxa" w:w="1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全部课程目标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合计</w:t>
            </w:r>
          </w:p>
        </w:tc>
        <w:tc>
          <w:tcPr>
            <w:tcW w:type="dxa" w:w="9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100%</w:t>
            </w:r>
          </w:p>
        </w:tc>
        <w:tc>
          <w:tcPr>
            <w:tcW w:type="dxa" w:w="51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</w:p>
        </w:tc>
        <w:tc>
          <w:tcPr>
            <w:tcW w:type="dxa" w:w="1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</w:p>
        </w:tc>
      </w:tr>
    </w:tbl>
    <w:p>
      <w:pPr>
        <w:keepNext/>
        <w:spacing w:line="283" w:lineRule="auto" w:before="60" w:after="20"/>
      </w:pPr>
      <w:r>
        <w:rPr>
          <w:rFonts w:ascii="Times New Roman" w:hAnsi="Times New Roman" w:eastAsia="宋体"/>
          <w:b/>
          <w:sz w:val="21"/>
        </w:rPr>
        <w:t>（2）协议与故障分析作业评分标准</w:t>
      </w:r>
    </w:p>
    <w:tbl>
      <w:tblPr>
        <w:tblW w:type="dxa" w:w="9054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700"/>
        <w:gridCol w:w="900"/>
        <w:gridCol w:w="5100"/>
        <w:gridCol w:w="1354"/>
      </w:tblGrid>
      <w:tr>
        <w:trPr>
          <w:tblHeader w:val="true"/>
          <w:cantSplit/>
        </w:trPr>
        <w:tc>
          <w:tcPr>
            <w:tcW w:type="dxa" w:w="170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考核内容</w:t>
            </w:r>
          </w:p>
        </w:tc>
        <w:tc>
          <w:tcPr>
            <w:tcW w:type="dxa" w:w="90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成绩占比</w:t>
            </w:r>
          </w:p>
        </w:tc>
        <w:tc>
          <w:tcPr>
            <w:tcW w:type="dxa" w:w="510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评分要求</w:t>
            </w:r>
          </w:p>
        </w:tc>
        <w:tc>
          <w:tcPr>
            <w:tcW w:type="dxa" w:w="135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课程目标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通信基础与拓扑分析</w:t>
            </w:r>
          </w:p>
        </w:tc>
        <w:tc>
          <w:tcPr>
            <w:tcW w:type="dxa" w:w="9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15%</w:t>
            </w:r>
          </w:p>
        </w:tc>
        <w:tc>
          <w:tcPr>
            <w:tcW w:type="dxa" w:w="51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从层级、地址、链路和性能指标分析工业网络问题。</w:t>
            </w:r>
          </w:p>
        </w:tc>
        <w:tc>
          <w:tcPr>
            <w:tcW w:type="dxa" w:w="1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目标 1.1，2.1，3.1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Modbus/现场总线分析</w:t>
            </w:r>
          </w:p>
        </w:tc>
        <w:tc>
          <w:tcPr>
            <w:tcW w:type="dxa" w:w="9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20%</w:t>
            </w:r>
          </w:p>
        </w:tc>
        <w:tc>
          <w:tcPr>
            <w:tcW w:type="dxa" w:w="51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依据帧、功能码、寄存器或站点配置判断通信问题。</w:t>
            </w:r>
          </w:p>
        </w:tc>
        <w:tc>
          <w:tcPr>
            <w:tcW w:type="dxa" w:w="1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目标 1.2，2.2，3.2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工业以太网与PROFINET</w:t>
            </w:r>
          </w:p>
        </w:tc>
        <w:tc>
          <w:tcPr>
            <w:tcW w:type="dxa" w:w="9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20%</w:t>
            </w:r>
          </w:p>
        </w:tc>
        <w:tc>
          <w:tcPr>
            <w:tcW w:type="dxa" w:w="51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分析交换、VLAN、设备关系和周期通信问题。</w:t>
            </w:r>
          </w:p>
        </w:tc>
        <w:tc>
          <w:tcPr>
            <w:tcW w:type="dxa" w:w="1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目标 1.3，2.3，3.3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实时网络比较</w:t>
            </w:r>
          </w:p>
        </w:tc>
        <w:tc>
          <w:tcPr>
            <w:tcW w:type="dxa" w:w="9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20%</w:t>
            </w:r>
          </w:p>
        </w:tc>
        <w:tc>
          <w:tcPr>
            <w:tcW w:type="dxa" w:w="51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依据实时性、同步和拓扑要求比较PROFINET、EtherCAT与TSN。</w:t>
            </w:r>
          </w:p>
        </w:tc>
        <w:tc>
          <w:tcPr>
            <w:tcW w:type="dxa" w:w="1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目标 1.4，2.4，3.4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OPC UA/MQTT数据链</w:t>
            </w:r>
          </w:p>
        </w:tc>
        <w:tc>
          <w:tcPr>
            <w:tcW w:type="dxa" w:w="9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15%</w:t>
            </w:r>
          </w:p>
        </w:tc>
        <w:tc>
          <w:tcPr>
            <w:tcW w:type="dxa" w:w="51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识别客户端/服务器或发布/订阅关系，检查数据点、时间戳和权限。</w:t>
            </w:r>
          </w:p>
        </w:tc>
        <w:tc>
          <w:tcPr>
            <w:tcW w:type="dxa" w:w="1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目标 1.5，2.5，3.5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诊断与安全</w:t>
            </w:r>
          </w:p>
        </w:tc>
        <w:tc>
          <w:tcPr>
            <w:tcW w:type="dxa" w:w="9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10%</w:t>
            </w:r>
          </w:p>
        </w:tc>
        <w:tc>
          <w:tcPr>
            <w:tcW w:type="dxa" w:w="51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按分层顺序定位故障，并提出不破坏生产的验证与安全措施。</w:t>
            </w:r>
          </w:p>
        </w:tc>
        <w:tc>
          <w:tcPr>
            <w:tcW w:type="dxa" w:w="1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目标 1.6，2.6，3.6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合计</w:t>
            </w:r>
          </w:p>
        </w:tc>
        <w:tc>
          <w:tcPr>
            <w:tcW w:type="dxa" w:w="9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100%</w:t>
            </w:r>
          </w:p>
        </w:tc>
        <w:tc>
          <w:tcPr>
            <w:tcW w:type="dxa" w:w="51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</w:p>
        </w:tc>
        <w:tc>
          <w:tcPr>
            <w:tcW w:type="dxa" w:w="1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</w:p>
        </w:tc>
      </w:tr>
    </w:tbl>
    <w:p>
      <w:pPr>
        <w:keepNext/>
        <w:spacing w:line="283" w:lineRule="auto" w:before="60" w:after="20"/>
      </w:pPr>
      <w:r>
        <w:rPr>
          <w:rFonts w:ascii="Times New Roman" w:hAnsi="Times New Roman" w:eastAsia="宋体"/>
          <w:b/>
          <w:sz w:val="21"/>
        </w:rPr>
        <w:t>（3）工业网络方案报告评分标准</w:t>
      </w:r>
    </w:p>
    <w:tbl>
      <w:tblPr>
        <w:tblW w:type="dxa" w:w="9054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700"/>
        <w:gridCol w:w="900"/>
        <w:gridCol w:w="5100"/>
        <w:gridCol w:w="1354"/>
      </w:tblGrid>
      <w:tr>
        <w:trPr>
          <w:tblHeader w:val="true"/>
          <w:cantSplit/>
        </w:trPr>
        <w:tc>
          <w:tcPr>
            <w:tcW w:type="dxa" w:w="170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考核内容</w:t>
            </w:r>
          </w:p>
        </w:tc>
        <w:tc>
          <w:tcPr>
            <w:tcW w:type="dxa" w:w="90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成绩占比</w:t>
            </w:r>
          </w:p>
        </w:tc>
        <w:tc>
          <w:tcPr>
            <w:tcW w:type="dxa" w:w="510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评分要求</w:t>
            </w:r>
          </w:p>
        </w:tc>
        <w:tc>
          <w:tcPr>
            <w:tcW w:type="dxa" w:w="135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课程目标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需求、资产与网络分层</w:t>
            </w:r>
          </w:p>
        </w:tc>
        <w:tc>
          <w:tcPr>
            <w:tcW w:type="dxa" w:w="9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10%</w:t>
            </w:r>
          </w:p>
        </w:tc>
        <w:tc>
          <w:tcPr>
            <w:tcW w:type="dxa" w:w="51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明确设备、数据流、实时性、可用性和运维需求，网络层级与边界清楚。</w:t>
            </w:r>
          </w:p>
        </w:tc>
        <w:tc>
          <w:tcPr>
            <w:tcW w:type="dxa" w:w="1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目标 1.1，2.1，3.1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现场层协议与数据点</w:t>
            </w:r>
          </w:p>
        </w:tc>
        <w:tc>
          <w:tcPr>
            <w:tcW w:type="dxa" w:w="9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10%</w:t>
            </w:r>
          </w:p>
        </w:tc>
        <w:tc>
          <w:tcPr>
            <w:tcW w:type="dxa" w:w="51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现场总线或Modbus选择有依据，站点、寄存器或数据点表清楚。</w:t>
            </w:r>
          </w:p>
        </w:tc>
        <w:tc>
          <w:tcPr>
            <w:tcW w:type="dxa" w:w="1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目标 1.2，2.2，3.2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工业以太网拓扑与冗余</w:t>
            </w:r>
          </w:p>
        </w:tc>
        <w:tc>
          <w:tcPr>
            <w:tcW w:type="dxa" w:w="9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20%</w:t>
            </w:r>
          </w:p>
        </w:tc>
        <w:tc>
          <w:tcPr>
            <w:tcW w:type="dxa" w:w="51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交换、VLAN、地址、PROFINET关系和冗余方案合理。</w:t>
            </w:r>
          </w:p>
        </w:tc>
        <w:tc>
          <w:tcPr>
            <w:tcW w:type="dxa" w:w="1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目标 1.3，2.3，3.3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实时性与确定性设计</w:t>
            </w:r>
          </w:p>
        </w:tc>
        <w:tc>
          <w:tcPr>
            <w:tcW w:type="dxa" w:w="9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20%</w:t>
            </w:r>
          </w:p>
        </w:tc>
        <w:tc>
          <w:tcPr>
            <w:tcW w:type="dxa" w:w="51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说明关键数据周期、时延、同步和网络技术选择依据。</w:t>
            </w:r>
          </w:p>
        </w:tc>
        <w:tc>
          <w:tcPr>
            <w:tcW w:type="dxa" w:w="1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目标 1.4，2.4，3.4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OT/IT集成与数据语义</w:t>
            </w:r>
          </w:p>
        </w:tc>
        <w:tc>
          <w:tcPr>
            <w:tcW w:type="dxa" w:w="9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20%</w:t>
            </w:r>
          </w:p>
        </w:tc>
        <w:tc>
          <w:tcPr>
            <w:tcW w:type="dxa" w:w="51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OPC UA/MQTT/边缘网关的数据链、命名、时间戳和权限设计一致。</w:t>
            </w:r>
          </w:p>
        </w:tc>
        <w:tc>
          <w:tcPr>
            <w:tcW w:type="dxa" w:w="1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目标 1.5，2.5，3.5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诊断、安全与验收</w:t>
            </w:r>
          </w:p>
        </w:tc>
        <w:tc>
          <w:tcPr>
            <w:tcW w:type="dxa" w:w="9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20%</w:t>
            </w:r>
          </w:p>
        </w:tc>
        <w:tc>
          <w:tcPr>
            <w:tcW w:type="dxa" w:w="51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故障定位流程、分区分域、访问控制、备份恢复和验收清单完整。</w:t>
            </w:r>
          </w:p>
        </w:tc>
        <w:tc>
          <w:tcPr>
            <w:tcW w:type="dxa" w:w="1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目标 1.6，2.6，3.6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合计</w:t>
            </w:r>
          </w:p>
        </w:tc>
        <w:tc>
          <w:tcPr>
            <w:tcW w:type="dxa" w:w="9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100%</w:t>
            </w:r>
          </w:p>
        </w:tc>
        <w:tc>
          <w:tcPr>
            <w:tcW w:type="dxa" w:w="51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</w:p>
        </w:tc>
        <w:tc>
          <w:tcPr>
            <w:tcW w:type="dxa" w:w="1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</w:p>
        </w:tc>
      </w:tr>
    </w:tbl>
    <w:p>
      <w:pPr>
        <w:keepNext/>
        <w:spacing w:line="283" w:lineRule="auto" w:before="60" w:after="20"/>
      </w:pPr>
      <w:r>
        <w:rPr>
          <w:rFonts w:ascii="Times New Roman" w:hAnsi="Times New Roman" w:eastAsia="宋体"/>
          <w:b/>
          <w:sz w:val="21"/>
        </w:rPr>
        <w:t>（4）个人核验与答辩评分标准</w:t>
      </w:r>
    </w:p>
    <w:tbl>
      <w:tblPr>
        <w:tblW w:type="dxa" w:w="9054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700"/>
        <w:gridCol w:w="900"/>
        <w:gridCol w:w="5100"/>
        <w:gridCol w:w="1354"/>
      </w:tblGrid>
      <w:tr>
        <w:trPr>
          <w:tblHeader w:val="true"/>
          <w:cantSplit/>
        </w:trPr>
        <w:tc>
          <w:tcPr>
            <w:tcW w:type="dxa" w:w="170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考核内容</w:t>
            </w:r>
          </w:p>
        </w:tc>
        <w:tc>
          <w:tcPr>
            <w:tcW w:type="dxa" w:w="90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成绩占比</w:t>
            </w:r>
          </w:p>
        </w:tc>
        <w:tc>
          <w:tcPr>
            <w:tcW w:type="dxa" w:w="510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评分要求</w:t>
            </w:r>
          </w:p>
        </w:tc>
        <w:tc>
          <w:tcPr>
            <w:tcW w:type="dxa" w:w="135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课程目标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网络原理与协议解释</w:t>
            </w:r>
          </w:p>
        </w:tc>
        <w:tc>
          <w:tcPr>
            <w:tcW w:type="dxa" w:w="9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35%</w:t>
            </w:r>
          </w:p>
        </w:tc>
        <w:tc>
          <w:tcPr>
            <w:tcW w:type="dxa" w:w="51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独立解释本人方案中的网络层级、协议、地址、实时性和数据流。</w:t>
            </w:r>
          </w:p>
        </w:tc>
        <w:tc>
          <w:tcPr>
            <w:tcW w:type="dxa" w:w="1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全部课程目标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故障定位与现场修改</w:t>
            </w:r>
          </w:p>
        </w:tc>
        <w:tc>
          <w:tcPr>
            <w:tcW w:type="dxa" w:w="9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45%</w:t>
            </w:r>
          </w:p>
        </w:tc>
        <w:tc>
          <w:tcPr>
            <w:tcW w:type="dxa" w:w="51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针对给定故障或需求变更修改拓扑、参数或数据链，并说明验证步骤和风险。</w:t>
            </w:r>
          </w:p>
        </w:tc>
        <w:tc>
          <w:tcPr>
            <w:tcW w:type="dxa" w:w="1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全部课程目标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资料依据与个人贡献</w:t>
            </w:r>
          </w:p>
        </w:tc>
        <w:tc>
          <w:tcPr>
            <w:tcW w:type="dxa" w:w="9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20%</w:t>
            </w:r>
          </w:p>
        </w:tc>
        <w:tc>
          <w:tcPr>
            <w:tcW w:type="dxa" w:w="51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指出教材、标准或设备手册依据，说明方案边界和个人完成内容。</w:t>
            </w:r>
          </w:p>
        </w:tc>
        <w:tc>
          <w:tcPr>
            <w:tcW w:type="dxa" w:w="1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全部课程目标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合计</w:t>
            </w:r>
          </w:p>
        </w:tc>
        <w:tc>
          <w:tcPr>
            <w:tcW w:type="dxa" w:w="9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100%</w:t>
            </w:r>
          </w:p>
        </w:tc>
        <w:tc>
          <w:tcPr>
            <w:tcW w:type="dxa" w:w="51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</w:p>
        </w:tc>
        <w:tc>
          <w:tcPr>
            <w:tcW w:type="dxa" w:w="1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</w:p>
        </w:tc>
      </w:tr>
    </w:tbl>
    <w:p>
      <w:pPr>
        <w:keepNext/>
        <w:spacing w:line="283" w:lineRule="auto" w:before="100" w:after="60"/>
      </w:pPr>
      <w:r>
        <w:rPr>
          <w:rFonts w:ascii="Times New Roman" w:hAnsi="Times New Roman" w:eastAsia="黑体"/>
          <w:b/>
          <w:sz w:val="28"/>
        </w:rPr>
        <w:t>五、参考书目及学习资料</w:t>
      </w:r>
    </w:p>
    <w:p>
      <w:pPr>
        <w:keepNext/>
        <w:spacing w:line="283" w:lineRule="auto" w:before="80" w:after="40"/>
      </w:pPr>
      <w:r>
        <w:rPr>
          <w:rFonts w:ascii="Times New Roman" w:hAnsi="Times New Roman" w:eastAsia="宋体"/>
          <w:b/>
          <w:sz w:val="24"/>
        </w:rPr>
        <w:t>（一）选用教材</w:t>
      </w:r>
    </w:p>
    <w:p>
      <w:pPr>
        <w:spacing w:line="283" w:lineRule="auto" w:before="0" w:after="20"/>
        <w:ind w:firstLine="420"/>
        <w:jc w:val="left"/>
      </w:pPr>
      <w:r>
        <w:rPr>
          <w:rFonts w:ascii="Times New Roman" w:hAnsi="Times New Roman" w:eastAsia="宋体"/>
          <w:b w:val="0"/>
          <w:sz w:val="21"/>
        </w:rPr>
        <w:t>邬贺铨, 于海斌, 杨善林. 工业互联网技术[M]. 北京：机械工业出版社，2025. ISBN 9787111776352</w:t>
      </w:r>
    </w:p>
    <w:p>
      <w:pPr>
        <w:keepNext/>
        <w:spacing w:line="283" w:lineRule="auto" w:before="80" w:after="40"/>
      </w:pPr>
      <w:r>
        <w:rPr>
          <w:rFonts w:ascii="Times New Roman" w:hAnsi="Times New Roman" w:eastAsia="宋体"/>
          <w:b/>
          <w:sz w:val="24"/>
        </w:rPr>
        <w:t>（二）学习资料</w:t>
      </w:r>
    </w:p>
    <w:p>
      <w:pPr>
        <w:spacing w:line="283" w:lineRule="auto" w:before="0" w:after="20"/>
        <w:jc w:val="left"/>
      </w:pPr>
      <w:r>
        <w:rPr>
          <w:rFonts w:ascii="Times New Roman" w:hAnsi="Times New Roman" w:eastAsia="宋体"/>
          <w:b w:val="0"/>
          <w:sz w:val="21"/>
        </w:rPr>
        <w:t>[1] 王春峰, 朱铝芬. 工业控制网络技术应用[M]. 北京：机械工业出版社，2025. ISBN 9787111772804</w:t>
      </w:r>
    </w:p>
    <w:p>
      <w:pPr>
        <w:spacing w:line="283" w:lineRule="auto" w:before="0" w:after="20"/>
        <w:jc w:val="left"/>
      </w:pPr>
      <w:r>
        <w:rPr>
          <w:rFonts w:ascii="Times New Roman" w:hAnsi="Times New Roman" w:eastAsia="宋体"/>
          <w:b w:val="0"/>
          <w:sz w:val="21"/>
        </w:rPr>
        <w:t>[2] 鲁子卉, 唐敏. 工业网络与组态技术[M]. 北京：机械工业出版社，2024. ISBN 9787111764540</w:t>
      </w:r>
    </w:p>
    <w:p>
      <w:pPr>
        <w:spacing w:line="283" w:lineRule="auto" w:before="0" w:after="20"/>
        <w:jc w:val="left"/>
      </w:pPr>
      <w:r>
        <w:rPr>
          <w:rFonts w:ascii="Times New Roman" w:hAnsi="Times New Roman" w:eastAsia="宋体"/>
          <w:b w:val="0"/>
          <w:sz w:val="21"/>
        </w:rPr>
        <w:t>[3] 孔宪光. 工业边缘计算[M]. 北京：机械工业出版社，2025. ISBN 9787111769248</w:t>
      </w:r>
    </w:p>
    <w:p>
      <w:pPr>
        <w:spacing w:line="283" w:lineRule="auto" w:before="0" w:after="20"/>
        <w:jc w:val="left"/>
      </w:pPr>
      <w:r>
        <w:rPr>
          <w:rFonts w:ascii="Times New Roman" w:hAnsi="Times New Roman" w:eastAsia="宋体"/>
          <w:b w:val="0"/>
          <w:sz w:val="21"/>
        </w:rPr>
        <w:t>[4] 刘科, 王峰. 工业网络及应用技术[M]. 北京：高等教育出版社，2022. ISBN 9787040561869</w:t>
      </w:r>
    </w:p>
    <w:p>
      <w:pPr>
        <w:spacing w:line="283" w:lineRule="auto" w:before="0" w:after="20"/>
        <w:ind w:firstLine="420"/>
        <w:jc w:val="left"/>
      </w:pPr>
      <w:r>
        <w:rPr>
          <w:rFonts w:ascii="Times New Roman" w:hAnsi="Times New Roman" w:eastAsia="宋体"/>
          <w:b w:val="0"/>
          <w:sz w:val="21"/>
        </w:rPr>
        <w:t>制定人：________________　审定人：________________　批准人：________________</w:t>
      </w:r>
    </w:p>
    <w:p>
      <w:pPr>
        <w:spacing w:line="283" w:lineRule="auto" w:before="0" w:after="20"/>
        <w:ind w:firstLine="420"/>
        <w:jc w:val="left"/>
      </w:pPr>
      <w:r>
        <w:rPr>
          <w:rFonts w:ascii="Times New Roman" w:hAnsi="Times New Roman" w:eastAsia="宋体"/>
          <w:b w:val="0"/>
          <w:sz w:val="21"/>
        </w:rPr>
        <w:t>日期：________________</w:t>
      </w:r>
    </w:p>
    <w:sectPr w:rsidR="00FC693F" w:rsidRPr="0006063C" w:rsidSect="00034616">
      <w:footerReference w:type="default" r:id="rId9"/>
      <w:pgSz w:w="11906" w:h="16838"/>
      <w:pgMar w:top="1417" w:right="1417" w:bottom="1417" w:left="1417" w:header="850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b w:val="0"/>
        <w:sz w:val="18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《工业网络技术及应用》课程教学大纲</dc:title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