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Times New Roman" w:hAnsi="Times New Roman" w:eastAsia="宋体"/>
          <w:b/>
          <w:sz w:val="28"/>
        </w:rPr>
        <w:t>《信息物理系统（CPS）》课程教学大纲</w:t>
      </w:r>
    </w:p>
    <w:p>
      <w:pPr>
        <w:keepNext/>
        <w:spacing w:before="140" w:after="60"/>
      </w:pPr>
      <w:r>
        <w:rPr>
          <w:rFonts w:ascii="Times New Roman" w:hAnsi="Times New Roman" w:cs="Times New Roman" w:eastAsia="黑体" w:hint="eastAsia"/>
          <w:b/>
          <w:sz w:val="28"/>
          <w:lang w:eastAsia="zh-CN"/>
        </w:rPr>
        <w:t>一、课程基本信息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31"/>
        <w:gridCol w:w="1634"/>
        <w:gridCol w:w="1215"/>
        <w:gridCol w:w="1104"/>
        <w:gridCol w:w="477"/>
        <w:gridCol w:w="627"/>
        <w:gridCol w:w="1033"/>
        <w:gridCol w:w="1033"/>
      </w:tblGrid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课程名称（中英文）</w:t>
            </w:r>
          </w:p>
        </w:tc>
        <w:tc>
          <w:tcPr>
            <w:tcW w:type="dxa" w:w="7123"/>
            <w:vAlign w:val="center"/>
            <w:gridSpan w:val="7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信息物理系统（CPS）  Cyber-Physical Systems (CPS)</w:t>
            </w:r>
          </w:p>
        </w:tc>
      </w:tr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课程代码</w:t>
            </w:r>
          </w:p>
        </w:tc>
        <w:tc>
          <w:tcPr>
            <w:tcW w:type="dxa" w:w="2849"/>
            <w:vAlign w:val="center"/>
            <w:gridSpan w:val="2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25JD32417</w:t>
            </w:r>
          </w:p>
        </w:tc>
        <w:tc>
          <w:tcPr>
            <w:tcW w:type="dxa" w:w="1581"/>
            <w:vAlign w:val="center"/>
            <w:gridSpan w:val="2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课程类别</w:t>
            </w:r>
          </w:p>
        </w:tc>
        <w:tc>
          <w:tcPr>
            <w:tcW w:type="dxa" w:w="2693"/>
            <w:vAlign w:val="center"/>
            <w:gridSpan w:val="3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专业类</w:t>
            </w:r>
          </w:p>
        </w:tc>
      </w:tr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课程性质</w:t>
            </w:r>
          </w:p>
        </w:tc>
        <w:tc>
          <w:tcPr>
            <w:tcW w:type="dxa" w:w="2849"/>
            <w:vAlign w:val="center"/>
            <w:gridSpan w:val="2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选修课</w:t>
            </w:r>
          </w:p>
        </w:tc>
        <w:tc>
          <w:tcPr>
            <w:tcW w:type="dxa" w:w="1581"/>
            <w:vAlign w:val="center"/>
            <w:gridSpan w:val="2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授课语言</w:t>
            </w:r>
          </w:p>
        </w:tc>
        <w:tc>
          <w:tcPr>
            <w:tcW w:type="dxa" w:w="2693"/>
            <w:vAlign w:val="center"/>
            <w:gridSpan w:val="3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中文</w:t>
            </w:r>
          </w:p>
        </w:tc>
      </w:tr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授课学期</w:t>
            </w:r>
          </w:p>
        </w:tc>
        <w:tc>
          <w:tcPr>
            <w:tcW w:type="dxa" w:w="2849"/>
            <w:vAlign w:val="center"/>
            <w:gridSpan w:val="2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第7学期</w:t>
            </w:r>
          </w:p>
        </w:tc>
        <w:tc>
          <w:tcPr>
            <w:tcW w:type="dxa" w:w="2208"/>
            <w:vAlign w:val="center"/>
            <w:gridSpan w:val="3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学分</w:t>
            </w:r>
          </w:p>
        </w:tc>
        <w:tc>
          <w:tcPr>
            <w:tcW w:type="dxa" w:w="2066"/>
            <w:vAlign w:val="center"/>
            <w:gridSpan w:val="2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1931"/>
            <w:vAlign w:val="center"/>
            <w:vMerge w:val="restart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课程学时及分配</w:t>
            </w:r>
          </w:p>
        </w:tc>
        <w:tc>
          <w:tcPr>
            <w:tcW w:type="dxa" w:w="1634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总学时</w:t>
            </w:r>
          </w:p>
        </w:tc>
        <w:tc>
          <w:tcPr>
            <w:tcW w:type="dxa" w:w="1215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理论</w:t>
            </w:r>
          </w:p>
        </w:tc>
        <w:tc>
          <w:tcPr>
            <w:tcW w:type="dxa" w:w="1104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实践</w:t>
            </w:r>
          </w:p>
        </w:tc>
        <w:tc>
          <w:tcPr>
            <w:tcW w:type="dxa" w:w="1104"/>
            <w:vAlign w:val="center"/>
            <w:gridSpan w:val="2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实验</w:t>
            </w:r>
          </w:p>
        </w:tc>
        <w:tc>
          <w:tcPr>
            <w:tcW w:type="dxa" w:w="1033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上机</w:t>
            </w:r>
          </w:p>
        </w:tc>
        <w:tc>
          <w:tcPr>
            <w:tcW w:type="dxa" w:w="1033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项目式</w:t>
            </w:r>
          </w:p>
        </w:tc>
      </w:tr>
      <w:tr>
        <w:tc>
          <w:tcPr>
            <w:tcW w:type="dxa" w:w="1931"/>
            <w:vAlign w:val="center"/>
            <w:vMerge/>
            <w:tcMar>
              <w:top w:w="65" w:type="dxa"/>
              <w:bottom w:w="65" w:type="dxa"/>
              <w:start w:w="65" w:type="dxa"/>
              <w:end w:w="65" w:type="dxa"/>
            </w:tcMar>
          </w:tcPr>
          <w:p/>
        </w:tc>
        <w:tc>
          <w:tcPr>
            <w:tcW w:type="dxa" w:w="1634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32</w:t>
            </w:r>
          </w:p>
        </w:tc>
        <w:tc>
          <w:tcPr>
            <w:tcW w:type="dxa" w:w="1215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32</w:t>
            </w:r>
          </w:p>
        </w:tc>
        <w:tc>
          <w:tcPr>
            <w:tcW w:type="dxa" w:w="1104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104"/>
            <w:vAlign w:val="center"/>
            <w:gridSpan w:val="2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033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033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适用专业</w:t>
            </w:r>
          </w:p>
        </w:tc>
        <w:tc>
          <w:tcPr>
            <w:tcW w:type="dxa" w:w="7123"/>
            <w:vAlign w:val="center"/>
            <w:gridSpan w:val="7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智能制造工程</w:t>
            </w:r>
          </w:p>
        </w:tc>
      </w:tr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授课学院</w:t>
            </w:r>
          </w:p>
        </w:tc>
        <w:tc>
          <w:tcPr>
            <w:tcW w:type="dxa" w:w="7123"/>
            <w:vAlign w:val="center"/>
            <w:gridSpan w:val="7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机械与动力工程学院</w:t>
            </w:r>
          </w:p>
        </w:tc>
      </w:tr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先修课程</w:t>
            </w:r>
          </w:p>
        </w:tc>
        <w:tc>
          <w:tcPr>
            <w:tcW w:type="dxa" w:w="7123"/>
            <w:vAlign w:val="center"/>
            <w:gridSpan w:val="7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工程建模与科学计算可视化基础（Python）、微机原理及接口技术、机械控制工程基础</w:t>
            </w:r>
          </w:p>
        </w:tc>
      </w:tr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后续课程</w:t>
            </w:r>
          </w:p>
        </w:tc>
        <w:tc>
          <w:tcPr>
            <w:tcW w:type="dxa" w:w="7123"/>
            <w:vAlign w:val="center"/>
            <w:gridSpan w:val="7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智能制造综合实践、毕业设计（论文）</w:t>
            </w:r>
          </w:p>
        </w:tc>
      </w:tr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课程简介</w:t>
            </w:r>
          </w:p>
        </w:tc>
        <w:tc>
          <w:tcPr>
            <w:tcW w:type="dxa" w:w="7123"/>
            <w:vAlign w:val="center"/>
            <w:gridSpan w:val="7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课程基本定位</w:t>
              <w:br/>
              <w:t>本课程是智能制造工程专业的专业选修课，面向智能装备、智能产线和数字化工厂中的计算过程与物理过程深度融合问题，系统讲授信息物理系统（CPS）的基本概念、体系架构、离散计算模型、连续物理模型、混杂系统、组合建模、需求与模型验证以及系统设计方法。课程突出“计算—通信—控制—物理对象—反馈”闭环，并将CPS原理与数控装备、工业机器人、移动机器人、增材制造设备、智能产线和数字孪生等智能制造场景联系起来。</w:t>
              <w:br/>
              <w:br/>
              <w:t>核心学习结果</w:t>
              <w:br/>
              <w:t>学生能够解释CPS中计算、通信、控制与物理过程的耦合关系；使用状态机/自动机描述离散行为，使用常微分方程描述连续动态，建立简化混杂自动机和组合模型；区分安全性与活性需求，使用可达性、不变量和反例等基本思想分析模型；围绕智能装备或智能产线绘制CPS架构、定义状态与接口、分析时序和故障传播、提出安全约束，并形成结构化设计说明。</w:t>
              <w:br/>
              <w:br/>
              <w:t>主要教学方法</w:t>
              <w:br/>
              <w:t>课程采用“概念框架—数学/状态模型—执行轨迹—需求约束—案例验证—系统设计”的教学方式。课堂以状态图、时序图、方程、可达状态和系统架构图为主要表达载体，结合Python或仿真结果演示辅助理解，但不设置独立上机学时。教材案例用于解释通用原理，再迁移到工业机器人工作站、AGV物流、数控装备、3D打印设备和智能产线。</w:t>
            </w:r>
          </w:p>
        </w:tc>
      </w:tr>
      <w:tr>
        <w:tc>
          <w:tcPr>
            <w:tcW w:type="dxa" w:w="1931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8"/>
                <w:lang w:eastAsia="zh-CN"/>
              </w:rPr>
              <w:t>大纲更新时间</w:t>
            </w:r>
          </w:p>
        </w:tc>
        <w:tc>
          <w:tcPr>
            <w:tcW w:type="dxa" w:w="7123"/>
            <w:vAlign w:val="center"/>
            <w:gridSpan w:val="7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2026年9月</w:t>
            </w:r>
          </w:p>
        </w:tc>
      </w:tr>
    </w:tbl>
    <w:p/>
    <w:p>
      <w:pPr>
        <w:keepNext/>
        <w:spacing w:before="140" w:after="60"/>
      </w:pPr>
      <w:r>
        <w:rPr>
          <w:rFonts w:ascii="Times New Roman" w:hAnsi="Times New Roman" w:cs="Times New Roman" w:eastAsia="黑体" w:hint="eastAsia"/>
          <w:b/>
          <w:sz w:val="28"/>
          <w:lang w:eastAsia="zh-CN"/>
        </w:rPr>
        <w:t>二、课程目标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50"/>
        <w:gridCol w:w="4500"/>
        <w:gridCol w:w="3904"/>
      </w:tblGrid>
      <w:tr>
        <w:trPr>
          <w:tblHeader w:val="true"/>
        </w:trPr>
        <w:tc>
          <w:tcPr>
            <w:tcW w:type="dxa" w:w="95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课程总目标</w:t>
            </w:r>
          </w:p>
        </w:tc>
        <w:tc>
          <w:tcPr>
            <w:tcW w:type="dxa" w:w="450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课程子目标（参考学校定位、培养目标、毕业要求）</w:t>
            </w:r>
          </w:p>
        </w:tc>
        <w:tc>
          <w:tcPr>
            <w:tcW w:type="dxa" w:w="3904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达成方法</w:t>
            </w:r>
          </w:p>
        </w:tc>
      </w:tr>
      <w:tr>
        <w:trPr/>
        <w:tc>
          <w:tcPr>
            <w:tcW w:type="dxa" w:w="9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2.能力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1.1 理解CPS的概念、发展背景和基本特征，掌握计算、通信、控制与物理过程闭环耦合的基本架构，理解CPS与嵌入式系统、物联网、工业互联网和数字孪生的联系与区别。</w:t>
            </w:r>
          </w:p>
        </w:tc>
        <w:tc>
          <w:tcPr>
            <w:tcW w:type="dxa" w:w="39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通过CPS架构图、典型智能装备和智能产线案例进行概念辨析。</w:t>
            </w:r>
          </w:p>
        </w:tc>
      </w:tr>
      <w:tr>
        <w:trPr/>
        <w:tc>
          <w:tcPr>
            <w:tcW w:type="dxa" w:w="950"/>
            <w:vMerge/>
          </w:tcPr>
          <w:p/>
        </w:tc>
        <w:tc>
          <w:tcPr>
            <w:tcW w:type="dxa" w:w="45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1.2 掌握状态、事件、迁移、有限状态机和自动机等离散计算模型基本概念，理解输入输出、同步交互和执行轨迹。</w:t>
            </w:r>
          </w:p>
        </w:tc>
        <w:tc>
          <w:tcPr>
            <w:tcW w:type="dxa" w:w="39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通过设备启停、互锁、机器人任务和故障恢复案例讲授状态机。</w:t>
            </w:r>
          </w:p>
        </w:tc>
      </w:tr>
      <w:tr>
        <w:trPr/>
        <w:tc>
          <w:tcPr>
            <w:tcW w:type="dxa" w:w="950"/>
            <w:vMerge/>
          </w:tcPr>
          <w:p/>
        </w:tc>
        <w:tc>
          <w:tcPr>
            <w:tcW w:type="dxa" w:w="45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1.3 理解连续物理过程的状态变量、输入输出、常微分方程和基本动态特性，掌握从物理对象到连续模型的基本建模思路。</w:t>
            </w:r>
          </w:p>
        </w:tc>
        <w:tc>
          <w:tcPr>
            <w:tcW w:type="dxa" w:w="39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以电机、移动平台和温度过程为例建立简化连续模型。</w:t>
            </w:r>
          </w:p>
        </w:tc>
      </w:tr>
      <w:tr>
        <w:trPr/>
        <w:tc>
          <w:tcPr>
            <w:tcW w:type="dxa" w:w="950"/>
            <w:vMerge/>
          </w:tcPr>
          <w:p/>
        </w:tc>
        <w:tc>
          <w:tcPr>
            <w:tcW w:type="dxa" w:w="45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1.4 掌握混杂系统、混杂自动机、组合建模、需求与模型验证的基本概念，理解安全性、活性、可达性、不变量和反例。</w:t>
            </w:r>
          </w:p>
        </w:tc>
        <w:tc>
          <w:tcPr>
            <w:tcW w:type="dxa" w:w="39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通过温控、运动控制、安全互锁和多设备协同案例分析。</w:t>
            </w:r>
          </w:p>
        </w:tc>
      </w:tr>
      <w:tr>
        <w:trPr/>
        <w:tc>
          <w:tcPr>
            <w:tcW w:type="dxa" w:w="950"/>
            <w:vMerge/>
          </w:tcPr>
          <w:p/>
        </w:tc>
        <w:tc>
          <w:tcPr>
            <w:tcW w:type="dxa" w:w="45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2.1 能够从智能制造场景中识别物理对象、计算节点、传感器、执行器、通信链路、控制逻辑和反馈关系，绘制CPS系统架构图。</w:t>
            </w:r>
          </w:p>
        </w:tc>
        <w:tc>
          <w:tcPr>
            <w:tcW w:type="dxa" w:w="39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使用“对象—信号—状态—动作—反馈”模板完成架构分析。</w:t>
            </w:r>
          </w:p>
        </w:tc>
      </w:tr>
      <w:tr>
        <w:trPr/>
        <w:tc>
          <w:tcPr>
            <w:tcW w:type="dxa" w:w="950"/>
            <w:vMerge/>
          </w:tcPr>
          <w:p/>
        </w:tc>
        <w:tc>
          <w:tcPr>
            <w:tcW w:type="dxa" w:w="45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2.2 能够建立设备有限状态机，定义状态、事件、迁移、守卫条件和异常状态，并根据执行轨迹检查逻辑完整性。</w:t>
            </w:r>
          </w:p>
        </w:tc>
        <w:tc>
          <w:tcPr>
            <w:tcW w:type="dxa" w:w="39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通过设备、机器人和AGV任务状态模型开展建模与互评。</w:t>
            </w:r>
          </w:p>
        </w:tc>
      </w:tr>
      <w:tr>
        <w:trPr/>
        <w:tc>
          <w:tcPr>
            <w:tcW w:type="dxa" w:w="95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3.素质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2.3 能够依据简化假设建立连续模型和混杂模型，解释参数与接口的工程意义，分析模式切换、组合冲突和模型适用边界。</w:t>
            </w:r>
          </w:p>
        </w:tc>
        <w:tc>
          <w:tcPr>
            <w:tcW w:type="dxa" w:w="39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采用方程、混杂自动机图和组合状态分析完成建模任务。</w:t>
            </w:r>
          </w:p>
        </w:tc>
      </w:tr>
      <w:tr>
        <w:trPr/>
        <w:tc>
          <w:tcPr>
            <w:tcW w:type="dxa" w:w="950"/>
            <w:vMerge/>
          </w:tcPr>
          <w:p/>
        </w:tc>
        <w:tc>
          <w:tcPr>
            <w:tcW w:type="dxa" w:w="45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2.4 能够把工程需求转化为安全性、活性或时序约束，使用可达性、不变量、轨迹检查和反例分析开展基本验证，并完成智能装备或产线CPS概念设计。</w:t>
            </w:r>
          </w:p>
        </w:tc>
        <w:tc>
          <w:tcPr>
            <w:tcW w:type="dxa" w:w="39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综合任务提交架构图、状态模型、接口表、需求表、验证证据和设计说明。</w:t>
            </w:r>
          </w:p>
        </w:tc>
      </w:tr>
      <w:tr>
        <w:trPr/>
        <w:tc>
          <w:tcPr>
            <w:tcW w:type="dxa" w:w="950"/>
            <w:vMerge/>
          </w:tcPr>
          <w:p/>
        </w:tc>
        <w:tc>
          <w:tcPr>
            <w:tcW w:type="dxa" w:w="45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3.1 形成跨学科系统思维，能够从机械、电气、控制、计算机和网络多层关系理解智能制造系统。</w:t>
            </w:r>
          </w:p>
        </w:tc>
        <w:tc>
          <w:tcPr>
            <w:tcW w:type="dxa" w:w="39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通过跨域架构拆解和系统边界讨论训练整体分析。</w:t>
            </w:r>
          </w:p>
        </w:tc>
      </w:tr>
      <w:tr>
        <w:trPr/>
        <w:tc>
          <w:tcPr>
            <w:tcW w:type="dxa" w:w="950"/>
            <w:vMerge/>
          </w:tcPr>
          <w:p/>
        </w:tc>
        <w:tc>
          <w:tcPr>
            <w:tcW w:type="dxa" w:w="45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3.2 形成模型与证据意识，能够明确建模假设、参数来源和适用边界，避免把模型结果等同于真实系统。</w:t>
            </w:r>
          </w:p>
        </w:tc>
        <w:tc>
          <w:tcPr>
            <w:tcW w:type="dxa" w:w="39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所有模型任务记录假设、参数、验证方法和局限。</w:t>
            </w:r>
          </w:p>
        </w:tc>
      </w:tr>
      <w:tr>
        <w:trPr/>
        <w:tc>
          <w:tcPr>
            <w:tcW w:type="dxa" w:w="950"/>
            <w:vMerge/>
          </w:tcPr>
          <w:p/>
        </w:tc>
        <w:tc>
          <w:tcPr>
            <w:tcW w:type="dxa" w:w="45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3.3 形成安全可靠与接口规范意识，理解软件逻辑、网络时延、传感误差和执行故障对物理设备与人员安全的影响。</w:t>
            </w:r>
          </w:p>
        </w:tc>
        <w:tc>
          <w:tcPr>
            <w:tcW w:type="dxa" w:w="39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结合互锁失效、通信延迟和错误控制命令开展风险分析。</w:t>
            </w:r>
          </w:p>
        </w:tc>
      </w:tr>
      <w:tr>
        <w:trPr/>
        <w:tc>
          <w:tcPr>
            <w:tcW w:type="dxa" w:w="950"/>
            <w:vMerge/>
          </w:tcPr>
          <w:p/>
        </w:tc>
        <w:tc>
          <w:tcPr>
            <w:tcW w:type="dxa" w:w="45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3.4 形成可验证设计、持续改进和自主学习意识，能够辨析数字孪生、工业互联网、边缘计算和AI在CPS中的角色与局限。</w:t>
            </w:r>
          </w:p>
        </w:tc>
        <w:tc>
          <w:tcPr>
            <w:tcW w:type="dxa" w:w="39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通过反例、故障注入和近年技术案例形成“发现—修正—复验”闭环。</w:t>
            </w:r>
          </w:p>
        </w:tc>
      </w:tr>
    </w:tbl>
    <w:p/>
    <w:p>
      <w:pPr>
        <w:keepNext/>
        <w:spacing w:before="140" w:after="60"/>
      </w:pPr>
      <w:r>
        <w:rPr>
          <w:rFonts w:ascii="Times New Roman" w:hAnsi="Times New Roman" w:cs="Times New Roman" w:eastAsia="黑体" w:hint="eastAsia"/>
          <w:b/>
          <w:sz w:val="28"/>
          <w:lang w:eastAsia="zh-CN"/>
        </w:rPr>
        <w:t>三、理论教学环节及基本要求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20"/>
        <w:gridCol w:w="1750"/>
        <w:gridCol w:w="600"/>
        <w:gridCol w:w="1050"/>
        <w:gridCol w:w="3750"/>
        <w:gridCol w:w="1084"/>
      </w:tblGrid>
      <w:tr>
        <w:trPr>
          <w:tblHeader w:val="true"/>
        </w:trPr>
        <w:tc>
          <w:tcPr>
            <w:tcW w:type="dxa" w:w="112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单元标题</w:t>
            </w:r>
          </w:p>
        </w:tc>
        <w:tc>
          <w:tcPr>
            <w:tcW w:type="dxa" w:w="175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教学内容</w:t>
            </w:r>
          </w:p>
        </w:tc>
        <w:tc>
          <w:tcPr>
            <w:tcW w:type="dxa" w:w="600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学时</w:t>
            </w:r>
          </w:p>
        </w:tc>
        <w:tc>
          <w:tcPr>
            <w:tcW w:type="dxa" w:w="4800"/>
            <w:vAlign w:val="center"/>
            <w:gridSpan w:val="2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课程要求</w:t>
            </w:r>
          </w:p>
        </w:tc>
        <w:tc>
          <w:tcPr>
            <w:tcW w:type="dxa" w:w="1084"/>
            <w:vAlign w:val="center"/>
            <w:tcMar>
              <w:top w:w="65" w:type="dxa"/>
              <w:bottom w:w="65" w:type="dxa"/>
              <w:start w:w="65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宋体" w:hint="eastAsia"/>
                <w:b/>
                <w:sz w:val="17"/>
                <w:lang w:eastAsia="zh-CN"/>
              </w:rPr>
              <w:t>课程目标</w:t>
            </w:r>
          </w:p>
        </w:tc>
      </w:tr>
      <w:tr>
        <w:trPr/>
        <w:tc>
          <w:tcPr>
            <w:tcW w:type="dxa" w:w="112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第一单元 CPS概念、架构与智能制造场景</w:t>
            </w:r>
          </w:p>
        </w:tc>
        <w:tc>
          <w:tcPr>
            <w:tcW w:type="dxa" w:w="1750"/>
            <w:vMerge w:val="restar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CPS定义与特征；计算、通信、控制和物理过程；闭环反馈；CPS与嵌入式系统、物联网、工业互联网、数字孪生的关系；智能装备与智能产线CPS架构</w:t>
            </w:r>
          </w:p>
        </w:tc>
        <w:tc>
          <w:tcPr>
            <w:tcW w:type="dxa" w:w="60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思政融入点</w:t>
            </w:r>
          </w:p>
        </w:tc>
        <w:tc>
          <w:tcPr>
            <w:tcW w:type="dxa" w:w="37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通过智能制造装备自主化和工业软件与实体装备融合案例，强化系统观、工程责任和科技创新意识。</w:t>
            </w:r>
          </w:p>
        </w:tc>
        <w:tc>
          <w:tcPr>
            <w:tcW w:type="dxa" w:w="1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1.1，2.1，3.1，3.4</w:t>
            </w:r>
          </w:p>
        </w:tc>
      </w:tr>
      <w:tr>
        <w:trPr/>
        <w:tc>
          <w:tcPr>
            <w:tcW w:type="dxa" w:w="1120"/>
            <w:vMerge/>
          </w:tcPr>
          <w:p/>
        </w:tc>
        <w:tc>
          <w:tcPr>
            <w:tcW w:type="dxa" w:w="175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预期学习成果</w:t>
            </w:r>
          </w:p>
        </w:tc>
        <w:tc>
          <w:tcPr>
            <w:tcW w:type="dxa" w:w="37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知识层面：理解CPS组成和跨域关系。</w:t>
              <w:br/>
              <w:t>能力层面：能够识别CPS组成并绘制系统架构。</w:t>
              <w:br/>
              <w:t>素养层面：形成跨学科系统思维。</w:t>
            </w:r>
          </w:p>
        </w:tc>
        <w:tc>
          <w:tcPr>
            <w:tcW w:type="dxa" w:w="1084"/>
            <w:vMerge/>
          </w:tcPr>
          <w:p/>
        </w:tc>
      </w:tr>
      <w:tr>
        <w:trPr/>
        <w:tc>
          <w:tcPr>
            <w:tcW w:type="dxa" w:w="1120"/>
            <w:vMerge/>
          </w:tcPr>
          <w:p/>
        </w:tc>
        <w:tc>
          <w:tcPr>
            <w:tcW w:type="dxa" w:w="175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教学方式</w:t>
            </w:r>
          </w:p>
        </w:tc>
        <w:tc>
          <w:tcPr>
            <w:tcW w:type="dxa" w:w="37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讲授、架构图分析、案例拆解、课堂建模</w:t>
            </w:r>
          </w:p>
        </w:tc>
        <w:tc>
          <w:tcPr>
            <w:tcW w:type="dxa" w:w="1084"/>
            <w:vMerge/>
          </w:tcPr>
          <w:p/>
        </w:tc>
      </w:tr>
      <w:tr>
        <w:trPr/>
        <w:tc>
          <w:tcPr>
            <w:tcW w:type="dxa" w:w="112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第二单元 离散计算模型与状态机</w:t>
            </w:r>
          </w:p>
        </w:tc>
        <w:tc>
          <w:tcPr>
            <w:tcW w:type="dxa" w:w="1750"/>
            <w:vMerge w:val="restar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状态、事件和迁移；有限状态机/自动机；输入输出；同步交互；执行轨迹；设备启停、互锁、任务调度和故障恢复状态模型</w:t>
            </w:r>
          </w:p>
        </w:tc>
        <w:tc>
          <w:tcPr>
            <w:tcW w:type="dxa" w:w="60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思政融入点</w:t>
            </w:r>
          </w:p>
        </w:tc>
        <w:tc>
          <w:tcPr>
            <w:tcW w:type="dxa" w:w="37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通过设备互锁和状态转换逻辑遗漏案例，强调规则、接口、异常状态和可追溯设计。</w:t>
            </w:r>
          </w:p>
        </w:tc>
        <w:tc>
          <w:tcPr>
            <w:tcW w:type="dxa" w:w="1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1.2，2.2，3.2，3.3</w:t>
            </w:r>
          </w:p>
        </w:tc>
      </w:tr>
      <w:tr>
        <w:trPr/>
        <w:tc>
          <w:tcPr>
            <w:tcW w:type="dxa" w:w="1120"/>
            <w:vMerge/>
          </w:tcPr>
          <w:p/>
        </w:tc>
        <w:tc>
          <w:tcPr>
            <w:tcW w:type="dxa" w:w="175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预期学习成果</w:t>
            </w:r>
          </w:p>
        </w:tc>
        <w:tc>
          <w:tcPr>
            <w:tcW w:type="dxa" w:w="37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知识层面：掌握自动机和状态机基本表达。</w:t>
              <w:br/>
              <w:t>能力层面：能够建立设备状态模型并检查迁移完整性。</w:t>
              <w:br/>
              <w:t>素养层面：形成严谨的逻辑和异常意识。</w:t>
            </w:r>
          </w:p>
        </w:tc>
        <w:tc>
          <w:tcPr>
            <w:tcW w:type="dxa" w:w="1084"/>
            <w:vMerge/>
          </w:tcPr>
          <w:p/>
        </w:tc>
      </w:tr>
      <w:tr>
        <w:trPr/>
        <w:tc>
          <w:tcPr>
            <w:tcW w:type="dxa" w:w="1120"/>
            <w:vMerge/>
          </w:tcPr>
          <w:p/>
        </w:tc>
        <w:tc>
          <w:tcPr>
            <w:tcW w:type="dxa" w:w="175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教学方式</w:t>
            </w:r>
          </w:p>
        </w:tc>
        <w:tc>
          <w:tcPr>
            <w:tcW w:type="dxa" w:w="37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讲授、状态图、执行轨迹、案例练习、模型互评</w:t>
            </w:r>
          </w:p>
        </w:tc>
        <w:tc>
          <w:tcPr>
            <w:tcW w:type="dxa" w:w="1084"/>
            <w:vMerge/>
          </w:tcPr>
          <w:p/>
        </w:tc>
      </w:tr>
      <w:tr>
        <w:trPr/>
        <w:tc>
          <w:tcPr>
            <w:tcW w:type="dxa" w:w="112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第三单元 连续物理过程建模</w:t>
            </w:r>
          </w:p>
        </w:tc>
        <w:tc>
          <w:tcPr>
            <w:tcW w:type="dxa" w:w="1750"/>
            <w:vMerge w:val="restar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连续时间系统；状态变量、输入输出和参数；常微分方程；状态空间思想；平衡点和动态响应；电机、移动平台、温度和设备运动过程简化模型</w:t>
            </w:r>
          </w:p>
        </w:tc>
        <w:tc>
          <w:tcPr>
            <w:tcW w:type="dxa" w:w="60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思政融入点</w:t>
            </w:r>
          </w:p>
        </w:tc>
        <w:tc>
          <w:tcPr>
            <w:tcW w:type="dxa" w:w="37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通过物理参数、单位和简化假设对结果的影响，培养尊重客观规律和模型边界的工程作风。</w:t>
            </w:r>
          </w:p>
        </w:tc>
        <w:tc>
          <w:tcPr>
            <w:tcW w:type="dxa" w:w="1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1.3，2.3，3.2</w:t>
            </w:r>
          </w:p>
        </w:tc>
      </w:tr>
      <w:tr>
        <w:trPr/>
        <w:tc>
          <w:tcPr>
            <w:tcW w:type="dxa" w:w="1120"/>
            <w:vMerge/>
          </w:tcPr>
          <w:p/>
        </w:tc>
        <w:tc>
          <w:tcPr>
            <w:tcW w:type="dxa" w:w="175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预期学习成果</w:t>
            </w:r>
          </w:p>
        </w:tc>
        <w:tc>
          <w:tcPr>
            <w:tcW w:type="dxa" w:w="37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知识层面：理解连续动态模型及参数意义。</w:t>
              <w:br/>
              <w:t>能力层面：能够建立简化连续模型并解释边界。</w:t>
              <w:br/>
              <w:t>素养层面：形成基于假设和证据建模的习惯。</w:t>
            </w:r>
          </w:p>
        </w:tc>
        <w:tc>
          <w:tcPr>
            <w:tcW w:type="dxa" w:w="1084"/>
            <w:vMerge/>
          </w:tcPr>
          <w:p/>
        </w:tc>
      </w:tr>
      <w:tr>
        <w:trPr/>
        <w:tc>
          <w:tcPr>
            <w:tcW w:type="dxa" w:w="1120"/>
            <w:vMerge/>
          </w:tcPr>
          <w:p/>
        </w:tc>
        <w:tc>
          <w:tcPr>
            <w:tcW w:type="dxa" w:w="175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教学方式</w:t>
            </w:r>
          </w:p>
        </w:tc>
        <w:tc>
          <w:tcPr>
            <w:tcW w:type="dxa" w:w="37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讲授、方程建模、参数分析、响应曲线演示</w:t>
            </w:r>
          </w:p>
        </w:tc>
        <w:tc>
          <w:tcPr>
            <w:tcW w:type="dxa" w:w="1084"/>
            <w:vMerge/>
          </w:tcPr>
          <w:p/>
        </w:tc>
      </w:tr>
      <w:tr>
        <w:trPr/>
        <w:tc>
          <w:tcPr>
            <w:tcW w:type="dxa" w:w="112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第四单元 混杂系统与组合建模</w:t>
            </w:r>
          </w:p>
        </w:tc>
        <w:tc>
          <w:tcPr>
            <w:tcW w:type="dxa" w:w="1750"/>
            <w:vMerge w:val="restar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混杂系统；离散模式与连续状态；混杂自动机；守卫条件、重置和不变量；模式切换；子系统接口；并行组合与层次化组合；温控、运动控制和安全互锁案例</w:t>
            </w:r>
          </w:p>
        </w:tc>
        <w:tc>
          <w:tcPr>
            <w:tcW w:type="dxa" w:w="60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思政融入点</w:t>
            </w:r>
          </w:p>
        </w:tc>
        <w:tc>
          <w:tcPr>
            <w:tcW w:type="dxa" w:w="37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通过软件模式切换改变真实物理状态的案例强化软件—物理双向责任，理解局部正确不等于整体安全。</w:t>
            </w:r>
          </w:p>
        </w:tc>
        <w:tc>
          <w:tcPr>
            <w:tcW w:type="dxa" w:w="1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1.4，2.3，3.1，3.3</w:t>
            </w:r>
          </w:p>
        </w:tc>
      </w:tr>
      <w:tr>
        <w:trPr/>
        <w:tc>
          <w:tcPr>
            <w:tcW w:type="dxa" w:w="1120"/>
            <w:vMerge/>
          </w:tcPr>
          <w:p/>
        </w:tc>
        <w:tc>
          <w:tcPr>
            <w:tcW w:type="dxa" w:w="175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预期学习成果</w:t>
            </w:r>
          </w:p>
        </w:tc>
        <w:tc>
          <w:tcPr>
            <w:tcW w:type="dxa" w:w="37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知识层面：掌握混杂自动机和组合建模思想。</w:t>
              <w:br/>
              <w:t>能力层面：能够建立简化混杂模型并分析组合冲突。</w:t>
              <w:br/>
              <w:t>素养层面：形成软硬件协同和全局安全意识。</w:t>
            </w:r>
          </w:p>
        </w:tc>
        <w:tc>
          <w:tcPr>
            <w:tcW w:type="dxa" w:w="1084"/>
            <w:vMerge/>
          </w:tcPr>
          <w:p/>
        </w:tc>
      </w:tr>
      <w:tr>
        <w:trPr/>
        <w:tc>
          <w:tcPr>
            <w:tcW w:type="dxa" w:w="1120"/>
            <w:vMerge/>
          </w:tcPr>
          <w:p/>
        </w:tc>
        <w:tc>
          <w:tcPr>
            <w:tcW w:type="dxa" w:w="175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教学方式</w:t>
            </w:r>
          </w:p>
        </w:tc>
        <w:tc>
          <w:tcPr>
            <w:tcW w:type="dxa" w:w="37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讲授、混杂自动机图、组合模型分析、案例研讨</w:t>
            </w:r>
          </w:p>
        </w:tc>
        <w:tc>
          <w:tcPr>
            <w:tcW w:type="dxa" w:w="1084"/>
            <w:vMerge/>
          </w:tcPr>
          <w:p/>
        </w:tc>
      </w:tr>
      <w:tr>
        <w:trPr/>
        <w:tc>
          <w:tcPr>
            <w:tcW w:type="dxa" w:w="112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第五单元 CPS需求、模型验证与安全</w:t>
            </w:r>
          </w:p>
        </w:tc>
        <w:tc>
          <w:tcPr>
            <w:tcW w:type="dxa" w:w="1750"/>
            <w:vMerge w:val="restar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需求与模型关系；安全性与活性；可达状态；不变量；执行轨迹与反例；死锁、不可达和越界；时序与边界约束；模型验证流程；故障注入与修正复验</w:t>
            </w:r>
          </w:p>
        </w:tc>
        <w:tc>
          <w:tcPr>
            <w:tcW w:type="dxa" w:w="60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思政融入点</w:t>
            </w:r>
          </w:p>
        </w:tc>
        <w:tc>
          <w:tcPr>
            <w:tcW w:type="dxa" w:w="37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通过安全约束、反例和故障传播案例强调主动寻找失败条件，培养质量责任和证据意识。</w:t>
            </w:r>
          </w:p>
        </w:tc>
        <w:tc>
          <w:tcPr>
            <w:tcW w:type="dxa" w:w="1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1.4，2.4，3.3，3.4</w:t>
            </w:r>
          </w:p>
        </w:tc>
      </w:tr>
      <w:tr>
        <w:trPr/>
        <w:tc>
          <w:tcPr>
            <w:tcW w:type="dxa" w:w="1120"/>
            <w:vMerge/>
          </w:tcPr>
          <w:p/>
        </w:tc>
        <w:tc>
          <w:tcPr>
            <w:tcW w:type="dxa" w:w="175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预期学习成果</w:t>
            </w:r>
          </w:p>
        </w:tc>
        <w:tc>
          <w:tcPr>
            <w:tcW w:type="dxa" w:w="37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知识层面：理解安全性、活性、可达性、不变量和反例。</w:t>
              <w:br/>
              <w:t>能力层面：能够把需求转化为约束并开展基本验证。</w:t>
              <w:br/>
              <w:t>素养层面：形成主动找错和持续改进意识。</w:t>
            </w:r>
          </w:p>
        </w:tc>
        <w:tc>
          <w:tcPr>
            <w:tcW w:type="dxa" w:w="1084"/>
            <w:vMerge/>
          </w:tcPr>
          <w:p/>
        </w:tc>
      </w:tr>
      <w:tr>
        <w:trPr/>
        <w:tc>
          <w:tcPr>
            <w:tcW w:type="dxa" w:w="1120"/>
            <w:vMerge/>
          </w:tcPr>
          <w:p/>
        </w:tc>
        <w:tc>
          <w:tcPr>
            <w:tcW w:type="dxa" w:w="175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教学方式</w:t>
            </w:r>
          </w:p>
        </w:tc>
        <w:tc>
          <w:tcPr>
            <w:tcW w:type="dxa" w:w="37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讲授、需求表、轨迹检查、反例分析、故障注入</w:t>
            </w:r>
          </w:p>
        </w:tc>
        <w:tc>
          <w:tcPr>
            <w:tcW w:type="dxa" w:w="1084"/>
            <w:vMerge/>
          </w:tcPr>
          <w:p/>
        </w:tc>
      </w:tr>
      <w:tr>
        <w:trPr/>
        <w:tc>
          <w:tcPr>
            <w:tcW w:type="dxa" w:w="112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第六单元 智能制造CPS设计与数字孪生</w:t>
            </w:r>
          </w:p>
        </w:tc>
        <w:tc>
          <w:tcPr>
            <w:tcW w:type="dxa" w:w="1750"/>
            <w:vMerge w:val="restar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CPS设计流程；感知与数据采集；边缘计算与网络通信；控制执行；时延与同步；数字孪生模型—数据—实体映射；工业互联网连接；智能产线、机器人工作站、AGV、数控和增材制造装备案例</w:t>
            </w:r>
          </w:p>
        </w:tc>
        <w:tc>
          <w:tcPr>
            <w:tcW w:type="dxa" w:w="60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思政融入点</w:t>
            </w:r>
          </w:p>
        </w:tc>
        <w:tc>
          <w:tcPr>
            <w:tcW w:type="dxa" w:w="37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结合智能工厂自主决策、数据可信和人机安全问题，强化工程伦理、技术边界和持续学习意识。</w:t>
            </w:r>
          </w:p>
        </w:tc>
        <w:tc>
          <w:tcPr>
            <w:tcW w:type="dxa" w:w="108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1.1，2.1，2.4，3.1，3.4</w:t>
            </w:r>
          </w:p>
        </w:tc>
      </w:tr>
      <w:tr>
        <w:trPr/>
        <w:tc>
          <w:tcPr>
            <w:tcW w:type="dxa" w:w="1120"/>
            <w:vMerge/>
          </w:tcPr>
          <w:p/>
        </w:tc>
        <w:tc>
          <w:tcPr>
            <w:tcW w:type="dxa" w:w="175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预期学习成果</w:t>
            </w:r>
          </w:p>
        </w:tc>
        <w:tc>
          <w:tcPr>
            <w:tcW w:type="dxa" w:w="37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知识层面：理解智能制造CPS设计流程及相关技术角色。</w:t>
              <w:br/>
              <w:t>能力层面：能够完成智能装备或产线CPS概念设计。</w:t>
              <w:br/>
              <w:t>素养层面：形成技术迁移、工程沟通和持续学习意识。</w:t>
            </w:r>
          </w:p>
        </w:tc>
        <w:tc>
          <w:tcPr>
            <w:tcW w:type="dxa" w:w="1084"/>
            <w:vMerge/>
          </w:tcPr>
          <w:p/>
        </w:tc>
      </w:tr>
      <w:tr>
        <w:trPr/>
        <w:tc>
          <w:tcPr>
            <w:tcW w:type="dxa" w:w="1120"/>
            <w:vMerge/>
          </w:tcPr>
          <w:p/>
        </w:tc>
        <w:tc>
          <w:tcPr>
            <w:tcW w:type="dxa" w:w="1750"/>
            <w:vMerge/>
          </w:tcPr>
          <w:p/>
        </w:tc>
        <w:tc>
          <w:tcPr>
            <w:tcW w:type="dxa" w:w="600"/>
            <w:vMerge/>
          </w:tcPr>
          <w:p/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教学方式</w:t>
            </w:r>
          </w:p>
        </w:tc>
        <w:tc>
          <w:tcPr>
            <w:tcW w:type="dxa" w:w="375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讲授、系统设计、案例评审、技术路线比较、汇报</w:t>
            </w:r>
          </w:p>
        </w:tc>
        <w:tc>
          <w:tcPr>
            <w:tcW w:type="dxa" w:w="1084"/>
            <w:vMerge/>
          </w:tcPr>
          <w:p/>
        </w:tc>
      </w:tr>
    </w:tbl>
    <w:p>
      <w:r>
        <w:rPr>
          <w:rFonts w:ascii="Times New Roman" w:hAnsi="Times New Roman" w:cs="Times New Roman" w:eastAsia="宋体" w:hint="eastAsia"/>
          <w:b/>
          <w:sz w:val="21"/>
          <w:lang w:eastAsia="zh-CN"/>
        </w:rPr>
        <w:t>理论总学时 32</w:t>
      </w:r>
    </w:p>
    <w:p>
      <w:pPr>
        <w:keepNext/>
        <w:spacing w:before="140" w:after="60"/>
      </w:pPr>
      <w:r>
        <w:rPr>
          <w:rFonts w:ascii="Times New Roman" w:hAnsi="Times New Roman" w:cs="Times New Roman" w:eastAsia="黑体" w:hint="eastAsia"/>
          <w:b/>
          <w:sz w:val="28"/>
          <w:lang w:eastAsia="zh-CN"/>
        </w:rPr>
        <w:t>四、课程评价</w:t>
      </w:r>
    </w:p>
    <w:p>
      <w:pPr>
        <w:keepNext/>
        <w:spacing w:before="80" w:after="40"/>
      </w:pPr>
      <w:r>
        <w:rPr>
          <w:rFonts w:ascii="Times New Roman" w:hAnsi="Times New Roman" w:cs="Times New Roman" w:eastAsia="宋体" w:hint="eastAsia"/>
          <w:b/>
          <w:sz w:val="24"/>
          <w:lang w:eastAsia="zh-CN"/>
        </w:rPr>
        <w:t>（一）考核内容、考核方式与课程目标对应关系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0"/>
        <w:gridCol w:w="650"/>
        <w:gridCol w:w="650"/>
        <w:gridCol w:w="1100"/>
        <w:gridCol w:w="1100"/>
        <w:gridCol w:w="1250"/>
        <w:gridCol w:w="3004"/>
      </w:tblGrid>
      <w:tr>
        <w:trPr>
          <w:tblHeader w:val="true"/>
        </w:trPr>
        <w:tc>
          <w:tcPr>
            <w:tcW w:type="dxa" w:w="1600"/>
            <w:vAlign w:val="center"/>
            <w:vMerge w:val="restart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sz w:val="15"/>
              </w:rPr>
            </w:r>
            <w:r>
              <w:rPr>
                <w:rFonts w:ascii="Times New Roman" w:hAnsi="Times New Roman" w:cs="Times New Roman" w:eastAsia="宋体" w:hint="eastAsia"/>
                <w:b/>
                <w:sz w:val="15"/>
                <w:lang w:eastAsia="zh-CN"/>
              </w:rPr>
              <w:t>考核内容</w:t>
            </w:r>
          </w:p>
        </w:tc>
        <w:tc>
          <w:tcPr>
            <w:tcW w:type="dxa" w:w="650"/>
            <w:vAlign w:val="center"/>
            <w:vMerge w:val="restart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sz w:val="15"/>
              </w:rPr>
            </w:r>
            <w:r>
              <w:rPr>
                <w:rFonts w:ascii="Times New Roman" w:hAnsi="Times New Roman" w:cs="Times New Roman" w:eastAsia="宋体" w:hint="eastAsia"/>
                <w:b/>
                <w:sz w:val="15"/>
                <w:lang w:eastAsia="zh-CN"/>
              </w:rPr>
              <w:t>总学时</w:t>
            </w:r>
          </w:p>
        </w:tc>
        <w:tc>
          <w:tcPr>
            <w:tcW w:type="dxa" w:w="650"/>
            <w:vAlign w:val="center"/>
            <w:vMerge w:val="restart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sz w:val="15"/>
              </w:rPr>
            </w:r>
            <w:r>
              <w:rPr>
                <w:rFonts w:ascii="Times New Roman" w:hAnsi="Times New Roman" w:cs="Times New Roman" w:eastAsia="宋体" w:hint="eastAsia"/>
                <w:b/>
                <w:sz w:val="15"/>
                <w:lang w:eastAsia="zh-CN"/>
              </w:rPr>
              <w:t>理论学时</w:t>
            </w:r>
          </w:p>
        </w:tc>
        <w:tc>
          <w:tcPr>
            <w:tcW w:type="dxa" w:w="3450"/>
            <w:vAlign w:val="center"/>
            <w:gridSpan w:val="3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sz w:val="15"/>
              </w:rPr>
            </w:r>
            <w:r>
              <w:rPr>
                <w:rFonts w:ascii="Times New Roman" w:hAnsi="Times New Roman" w:cs="Times New Roman" w:eastAsia="宋体" w:hint="eastAsia"/>
                <w:b/>
                <w:sz w:val="15"/>
                <w:lang w:eastAsia="zh-CN"/>
              </w:rPr>
              <w:t>考核方式及占比（100%）</w:t>
            </w:r>
          </w:p>
        </w:tc>
        <w:tc>
          <w:tcPr>
            <w:tcW w:type="dxa" w:w="3004"/>
            <w:vAlign w:val="center"/>
            <w:vMerge w:val="restart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sz w:val="15"/>
              </w:rPr>
            </w:r>
            <w:r>
              <w:rPr>
                <w:rFonts w:ascii="Times New Roman" w:hAnsi="Times New Roman" w:cs="Times New Roman" w:eastAsia="宋体" w:hint="eastAsia"/>
                <w:b/>
                <w:sz w:val="15"/>
                <w:lang w:eastAsia="zh-CN"/>
              </w:rPr>
              <w:t>课程目标</w:t>
            </w:r>
          </w:p>
        </w:tc>
      </w:tr>
      <w:tr>
        <w:trPr>
          <w:tblHeader w:val="true"/>
        </w:trPr>
        <w:tc>
          <w:tcPr>
            <w:tcW w:type="dxa" w:w="1600"/>
            <w:vAlign w:val="center"/>
            <w:vMerge/>
            <w:tcMar>
              <w:top w:w="65" w:type="dxa"/>
              <w:bottom w:w="65" w:type="dxa"/>
              <w:start w:w="65" w:type="dxa"/>
              <w:end w:w="65" w:type="dxa"/>
            </w:tcMar>
          </w:tcPr>
          <w:p/>
        </w:tc>
        <w:tc>
          <w:tcPr>
            <w:tcW w:type="dxa" w:w="650"/>
            <w:vAlign w:val="center"/>
            <w:vMerge/>
            <w:tcMar>
              <w:top w:w="65" w:type="dxa"/>
              <w:bottom w:w="65" w:type="dxa"/>
              <w:start w:w="65" w:type="dxa"/>
              <w:end w:w="65" w:type="dxa"/>
            </w:tcMar>
          </w:tcPr>
          <w:p/>
        </w:tc>
        <w:tc>
          <w:tcPr>
            <w:tcW w:type="dxa" w:w="650"/>
            <w:vAlign w:val="center"/>
            <w:vMerge/>
            <w:tcMar>
              <w:top w:w="65" w:type="dxa"/>
              <w:bottom w:w="65" w:type="dxa"/>
              <w:start w:w="65" w:type="dxa"/>
              <w:end w:w="65" w:type="dxa"/>
            </w:tcMar>
          </w:tcPr>
          <w:p/>
        </w:tc>
        <w:tc>
          <w:tcPr>
            <w:tcW w:type="dxa" w:w="11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平时成绩（20%）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课程作业（20%）</w:t>
            </w:r>
          </w:p>
        </w:tc>
        <w:tc>
          <w:tcPr>
            <w:tcW w:type="dxa" w:w="12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期末考核（60%）</w:t>
            </w:r>
          </w:p>
        </w:tc>
        <w:tc>
          <w:tcPr>
            <w:tcW w:type="dxa" w:w="3004"/>
            <w:vAlign w:val="center"/>
            <w:vMerge/>
            <w:tcMar>
              <w:top w:w="65" w:type="dxa"/>
              <w:bottom w:w="65" w:type="dxa"/>
              <w:start w:w="65" w:type="dxa"/>
              <w:end w:w="65" w:type="dxa"/>
            </w:tcMar>
          </w:tcPr>
          <w:p/>
        </w:tc>
      </w:tr>
      <w:tr>
        <w:trPr>
          <w:cantSplit/>
        </w:trPr>
        <w:tc>
          <w:tcPr>
            <w:tcW w:type="dxa" w:w="16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第一单元 CPS概念与架构</w:t>
            </w:r>
          </w:p>
        </w:tc>
        <w:tc>
          <w:tcPr>
            <w:tcW w:type="dxa" w:w="6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6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15%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10%</w:t>
            </w:r>
          </w:p>
        </w:tc>
        <w:tc>
          <w:tcPr>
            <w:tcW w:type="dxa" w:w="12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10%</w:t>
            </w:r>
          </w:p>
        </w:tc>
        <w:tc>
          <w:tcPr>
            <w:tcW w:type="dxa" w:w="3004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1.1，2.1，3.1，3.4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第二单元 离散计算模型</w:t>
            </w:r>
          </w:p>
        </w:tc>
        <w:tc>
          <w:tcPr>
            <w:tcW w:type="dxa" w:w="6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</w:t>
            </w:r>
          </w:p>
        </w:tc>
        <w:tc>
          <w:tcPr>
            <w:tcW w:type="dxa" w:w="6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20%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20%</w:t>
            </w:r>
          </w:p>
        </w:tc>
        <w:tc>
          <w:tcPr>
            <w:tcW w:type="dxa" w:w="12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10%</w:t>
            </w:r>
          </w:p>
        </w:tc>
        <w:tc>
          <w:tcPr>
            <w:tcW w:type="dxa" w:w="3004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1.2，2.2，3.2，3.3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第三单元 连续物理模型</w:t>
            </w:r>
          </w:p>
        </w:tc>
        <w:tc>
          <w:tcPr>
            <w:tcW w:type="dxa" w:w="6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6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15%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15%</w:t>
            </w:r>
          </w:p>
        </w:tc>
        <w:tc>
          <w:tcPr>
            <w:tcW w:type="dxa" w:w="12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10%</w:t>
            </w:r>
          </w:p>
        </w:tc>
        <w:tc>
          <w:tcPr>
            <w:tcW w:type="dxa" w:w="3004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1.3，2.3，3.2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第四单元 混杂与组合建模</w:t>
            </w:r>
          </w:p>
        </w:tc>
        <w:tc>
          <w:tcPr>
            <w:tcW w:type="dxa" w:w="6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</w:t>
            </w:r>
          </w:p>
        </w:tc>
        <w:tc>
          <w:tcPr>
            <w:tcW w:type="dxa" w:w="6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20%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25%</w:t>
            </w:r>
          </w:p>
        </w:tc>
        <w:tc>
          <w:tcPr>
            <w:tcW w:type="dxa" w:w="12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20%</w:t>
            </w:r>
          </w:p>
        </w:tc>
        <w:tc>
          <w:tcPr>
            <w:tcW w:type="dxa" w:w="3004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1.4，2.3，3.1，3.3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第五单元 需求验证与安全</w:t>
            </w:r>
          </w:p>
        </w:tc>
        <w:tc>
          <w:tcPr>
            <w:tcW w:type="dxa" w:w="6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</w:t>
            </w:r>
          </w:p>
        </w:tc>
        <w:tc>
          <w:tcPr>
            <w:tcW w:type="dxa" w:w="6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20%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20%</w:t>
            </w:r>
          </w:p>
        </w:tc>
        <w:tc>
          <w:tcPr>
            <w:tcW w:type="dxa" w:w="12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20%</w:t>
            </w:r>
          </w:p>
        </w:tc>
        <w:tc>
          <w:tcPr>
            <w:tcW w:type="dxa" w:w="3004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1.4，2.4，3.3，3.4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第六单元 智能制造CPS设计</w:t>
            </w:r>
          </w:p>
        </w:tc>
        <w:tc>
          <w:tcPr>
            <w:tcW w:type="dxa" w:w="6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</w:t>
            </w:r>
          </w:p>
        </w:tc>
        <w:tc>
          <w:tcPr>
            <w:tcW w:type="dxa" w:w="6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10%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10%</w:t>
            </w:r>
          </w:p>
        </w:tc>
        <w:tc>
          <w:tcPr>
            <w:tcW w:type="dxa" w:w="12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30%</w:t>
            </w:r>
          </w:p>
        </w:tc>
        <w:tc>
          <w:tcPr>
            <w:tcW w:type="dxa" w:w="3004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1.1，2.1，2.4，3.1，3.4</w:t>
            </w:r>
          </w:p>
        </w:tc>
      </w:tr>
      <w:tr>
        <w:tc>
          <w:tcPr>
            <w:tcW w:type="dxa" w:w="16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合计</w:t>
            </w:r>
          </w:p>
        </w:tc>
        <w:tc>
          <w:tcPr>
            <w:tcW w:type="dxa" w:w="6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32</w:t>
            </w:r>
          </w:p>
        </w:tc>
        <w:tc>
          <w:tcPr>
            <w:tcW w:type="dxa" w:w="6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32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100%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100%</w:t>
            </w:r>
          </w:p>
        </w:tc>
        <w:tc>
          <w:tcPr>
            <w:tcW w:type="dxa" w:w="12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100%</w:t>
            </w:r>
          </w:p>
        </w:tc>
        <w:tc>
          <w:tcPr>
            <w:tcW w:type="dxa" w:w="3004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—</w:t>
            </w:r>
          </w:p>
        </w:tc>
      </w:tr>
    </w:tbl>
    <w:p>
      <w:pPr>
        <w:spacing w:before="0" w:after="0" w:line="240" w:lineRule="auto"/>
        <w:jc w:val="left"/>
      </w:pPr>
      <w:r>
        <w:rPr>
          <w:rFonts w:ascii="Times New Roman" w:hAnsi="Times New Roman" w:eastAsia="宋体"/>
          <w:b w:val="0"/>
          <w:sz w:val="21"/>
        </w:rPr>
        <w:t>平时成绩占总评20%，按教学单元分配内部权重，主要依据课堂参与、学习过程、规范、记录与学术诚信综合评价。</w:t>
      </w:r>
    </w:p>
    <w:p>
      <w:pPr>
        <w:keepNext/>
        <w:spacing w:before="80" w:after="40"/>
      </w:pPr>
      <w:r>
        <w:rPr>
          <w:rFonts w:ascii="Times New Roman" w:hAnsi="Times New Roman" w:cs="Times New Roman" w:eastAsia="宋体" w:hint="eastAsia"/>
          <w:b/>
          <w:sz w:val="24"/>
          <w:lang w:eastAsia="zh-CN"/>
        </w:rPr>
        <w:t>（二）考核方式与评分标准</w:t>
      </w:r>
    </w:p>
    <w:p>
      <w:pPr>
        <w:keepNext/>
        <w:spacing w:before="80" w:after="40"/>
      </w:pPr>
      <w:r>
        <w:rPr>
          <w:rFonts w:ascii="Times New Roman" w:hAnsi="Times New Roman" w:cs="Times New Roman" w:eastAsia="宋体" w:hint="eastAsia"/>
          <w:b/>
          <w:sz w:val="24"/>
          <w:lang w:eastAsia="zh-CN"/>
        </w:rPr>
        <w:t>1.考核方式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宋体"/>
          <w:b w:val="0"/>
          <w:sz w:val="21"/>
        </w:rPr>
        <w:t>考查。</w:t>
      </w:r>
    </w:p>
    <w:p>
      <w:pPr>
        <w:keepNext/>
        <w:spacing w:before="80" w:after="40"/>
      </w:pPr>
      <w:r>
        <w:rPr>
          <w:rFonts w:ascii="Times New Roman" w:hAnsi="Times New Roman" w:cs="Times New Roman" w:eastAsia="宋体" w:hint="eastAsia"/>
          <w:b/>
          <w:sz w:val="24"/>
          <w:lang w:eastAsia="zh-CN"/>
        </w:rPr>
        <w:t>2.评分说明</w:t>
      </w:r>
    </w:p>
    <w:p>
      <w:pPr>
        <w:spacing w:before="0" w:after="0" w:line="24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最终成绩100%=平时成绩20%＋课程作业20%＋期末考核60%。课程作业整合原模型分析作业与CPS建模、验证、故障修正等阶段性学习证据；期末考核保持考查课性质，采用综合CPS课程设计（综合报告/设计成果＋答辩与个人核验）的方式，不增加闭卷笔试或机考。原综合案例设计、验证证据、个人解释和测试验证要求均迁移至课程作业或期末考核，不删除原教学活动和能力要求。</w:t>
      </w:r>
    </w:p>
    <w:p>
      <w:pPr>
        <w:keepNext/>
        <w:spacing w:before="80" w:after="40"/>
      </w:pPr>
      <w:r>
        <w:rPr>
          <w:rFonts w:ascii="Times New Roman" w:hAnsi="Times New Roman" w:cs="Times New Roman" w:eastAsia="宋体" w:hint="eastAsia"/>
          <w:b/>
          <w:sz w:val="24"/>
          <w:lang w:eastAsia="zh-CN"/>
        </w:rPr>
        <w:t>3.评分标准分项说明</w:t>
      </w:r>
    </w:p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宋体"/>
          <w:b/>
          <w:sz w:val="24"/>
        </w:rPr>
        <w:t>（1）平时成绩评分标准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50"/>
        <w:gridCol w:w="700"/>
        <w:gridCol w:w="1460"/>
        <w:gridCol w:w="1460"/>
        <w:gridCol w:w="1460"/>
        <w:gridCol w:w="1460"/>
        <w:gridCol w:w="1464"/>
      </w:tblGrid>
      <w:tr>
        <w:trPr>
          <w:tblHeader w:val="true"/>
        </w:trPr>
        <w:tc>
          <w:tcPr>
            <w:tcW w:type="dxa" w:w="12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 w:cs="Times New Roman" w:eastAsia="宋体" w:hint="eastAsia"/>
                <w:b/>
                <w:sz w:val="14"/>
                <w:lang w:eastAsia="zh-CN"/>
              </w:rPr>
              <w:t>评分指标</w:t>
            </w:r>
          </w:p>
        </w:tc>
        <w:tc>
          <w:tcPr>
            <w:tcW w:type="dxa" w:w="7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 w:cs="Times New Roman" w:eastAsia="宋体" w:hint="eastAsia"/>
                <w:b/>
                <w:sz w:val="14"/>
                <w:lang w:eastAsia="zh-CN"/>
              </w:rPr>
              <w:t>指标权重</w:t>
            </w:r>
          </w:p>
        </w:tc>
        <w:tc>
          <w:tcPr>
            <w:tcW w:type="dxa" w:w="146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 w:cs="Times New Roman" w:eastAsia="宋体" w:hint="eastAsia"/>
                <w:b/>
                <w:sz w:val="14"/>
                <w:lang w:eastAsia="zh-CN"/>
              </w:rPr>
              <w:t>90–100（优）</w:t>
            </w:r>
          </w:p>
        </w:tc>
        <w:tc>
          <w:tcPr>
            <w:tcW w:type="dxa" w:w="146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 w:cs="Times New Roman" w:eastAsia="宋体" w:hint="eastAsia"/>
                <w:b/>
                <w:sz w:val="14"/>
                <w:lang w:eastAsia="zh-CN"/>
              </w:rPr>
              <w:t>80–89（良）</w:t>
            </w:r>
          </w:p>
        </w:tc>
        <w:tc>
          <w:tcPr>
            <w:tcW w:type="dxa" w:w="146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 w:cs="Times New Roman" w:eastAsia="宋体" w:hint="eastAsia"/>
                <w:b/>
                <w:sz w:val="14"/>
                <w:lang w:eastAsia="zh-CN"/>
              </w:rPr>
              <w:t>70–79（中）</w:t>
            </w:r>
          </w:p>
        </w:tc>
        <w:tc>
          <w:tcPr>
            <w:tcW w:type="dxa" w:w="146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 w:cs="Times New Roman" w:eastAsia="宋体" w:hint="eastAsia"/>
                <w:b/>
                <w:sz w:val="14"/>
                <w:lang w:eastAsia="zh-CN"/>
              </w:rPr>
              <w:t>60–69（及格）</w:t>
            </w:r>
          </w:p>
        </w:tc>
        <w:tc>
          <w:tcPr>
            <w:tcW w:type="dxa" w:w="1464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 w:cs="Times New Roman" w:eastAsia="宋体" w:hint="eastAsia"/>
                <w:b/>
                <w:sz w:val="14"/>
                <w:lang w:eastAsia="zh-CN"/>
              </w:rPr>
              <w:t>0–59（不及格）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/>
                <w:sz w:val="14"/>
              </w:rPr>
              <w:t>考勤、课堂规范与学术诚信</w:t>
            </w:r>
          </w:p>
        </w:tc>
        <w:tc>
          <w:tcPr>
            <w:tcW w:type="dxa" w:w="7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30%</w:t>
            </w:r>
          </w:p>
        </w:tc>
        <w:tc>
          <w:tcPr>
            <w:tcW w:type="dxa" w:w="146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出勤完整，准备充分，严格遵守课堂、引用与学术诚信规范</w:t>
            </w:r>
          </w:p>
        </w:tc>
        <w:tc>
          <w:tcPr>
            <w:tcW w:type="dxa" w:w="146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出勤良好，偶有轻微疏漏，能遵守主要规范</w:t>
            </w:r>
          </w:p>
        </w:tc>
        <w:tc>
          <w:tcPr>
            <w:tcW w:type="dxa" w:w="146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出勤基本正常，能够遵守课堂和诚信要求</w:t>
            </w:r>
          </w:p>
        </w:tc>
        <w:tc>
          <w:tcPr>
            <w:tcW w:type="dxa" w:w="146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达到最低要求，经提醒能改进</w:t>
            </w:r>
          </w:p>
        </w:tc>
        <w:tc>
          <w:tcPr>
            <w:tcW w:type="dxa" w:w="1464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缺勤较多或多次违反课堂、引用或诚信规范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/>
                <w:sz w:val="14"/>
              </w:rPr>
              <w:t>课堂建模与讨论</w:t>
            </w:r>
          </w:p>
        </w:tc>
        <w:tc>
          <w:tcPr>
            <w:tcW w:type="dxa" w:w="7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30%</w:t>
            </w:r>
          </w:p>
        </w:tc>
        <w:tc>
          <w:tcPr>
            <w:tcW w:type="dxa" w:w="146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主动参与模型分析，能用图、式、案例和证据清晰说明</w:t>
            </w:r>
          </w:p>
        </w:tc>
        <w:tc>
          <w:tcPr>
            <w:tcW w:type="dxa" w:w="146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能参与主要活动并较完整说明思路</w:t>
            </w:r>
          </w:p>
        </w:tc>
        <w:tc>
          <w:tcPr>
            <w:tcW w:type="dxa" w:w="146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基本参与并完成主要要求</w:t>
            </w:r>
          </w:p>
        </w:tc>
        <w:tc>
          <w:tcPr>
            <w:tcW w:type="dxa" w:w="146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经提醒完成基础任务</w:t>
            </w:r>
          </w:p>
        </w:tc>
        <w:tc>
          <w:tcPr>
            <w:tcW w:type="dxa" w:w="1464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长期不参与或无法完成基本任务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/>
                <w:sz w:val="14"/>
              </w:rPr>
              <w:t>随堂练习、学习记录与规范</w:t>
            </w:r>
          </w:p>
        </w:tc>
        <w:tc>
          <w:tcPr>
            <w:tcW w:type="dxa" w:w="7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40%</w:t>
            </w:r>
          </w:p>
        </w:tc>
        <w:tc>
          <w:tcPr>
            <w:tcW w:type="dxa" w:w="146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模型、假设、参数、轨迹、课堂练习和反思记录完整可追溯</w:t>
            </w:r>
          </w:p>
        </w:tc>
        <w:tc>
          <w:tcPr>
            <w:tcW w:type="dxa" w:w="146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练习基本正确，记录较完整</w:t>
            </w:r>
          </w:p>
        </w:tc>
        <w:tc>
          <w:tcPr>
            <w:tcW w:type="dxa" w:w="146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完成主要练习，有基本记录</w:t>
            </w:r>
          </w:p>
        </w:tc>
        <w:tc>
          <w:tcPr>
            <w:tcW w:type="dxa" w:w="146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在指导下完成基础要求</w:t>
            </w:r>
          </w:p>
        </w:tc>
        <w:tc>
          <w:tcPr>
            <w:tcW w:type="dxa" w:w="1464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大量缺交、记录缺失或结果无法解释</w:t>
            </w:r>
          </w:p>
        </w:tc>
      </w:tr>
    </w:tbl>
    <w:p/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宋体"/>
          <w:b/>
          <w:sz w:val="24"/>
        </w:rPr>
        <w:t>（2）课程作业评分标准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0"/>
        <w:gridCol w:w="850"/>
        <w:gridCol w:w="5050"/>
        <w:gridCol w:w="1550"/>
      </w:tblGrid>
      <w:tr>
        <w:trPr>
          <w:tblHeader w:val="true"/>
        </w:trPr>
        <w:tc>
          <w:tcPr>
            <w:tcW w:type="dxa" w:w="16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 w:cs="Times New Roman" w:eastAsia="宋体" w:hint="eastAsia"/>
                <w:b/>
                <w:sz w:val="14"/>
                <w:lang w:eastAsia="zh-CN"/>
              </w:rPr>
              <w:t>考核内容</w:t>
            </w:r>
          </w:p>
        </w:tc>
        <w:tc>
          <w:tcPr>
            <w:tcW w:type="dxa" w:w="8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 w:cs="Times New Roman" w:eastAsia="宋体" w:hint="eastAsia"/>
                <w:b/>
                <w:sz w:val="14"/>
                <w:lang w:eastAsia="zh-CN"/>
              </w:rPr>
              <w:t>成绩占比</w:t>
            </w:r>
          </w:p>
        </w:tc>
        <w:tc>
          <w:tcPr>
            <w:tcW w:type="dxa" w:w="50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 w:cs="Times New Roman" w:eastAsia="宋体" w:hint="eastAsia"/>
                <w:b/>
                <w:sz w:val="14"/>
                <w:lang w:eastAsia="zh-CN"/>
              </w:rPr>
              <w:t>考核目标与评分要求</w:t>
            </w:r>
          </w:p>
        </w:tc>
        <w:tc>
          <w:tcPr>
            <w:tcW w:type="dxa" w:w="15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 w:cs="Times New Roman" w:eastAsia="宋体" w:hint="eastAsia"/>
                <w:b/>
                <w:sz w:val="14"/>
                <w:lang w:eastAsia="zh-CN"/>
              </w:rPr>
              <w:t>课程目标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CPS概念与架构分析</w:t>
            </w:r>
          </w:p>
        </w:tc>
        <w:tc>
          <w:tcPr>
            <w:tcW w:type="dxa" w:w="8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10%</w:t>
            </w:r>
          </w:p>
        </w:tc>
        <w:tc>
          <w:tcPr>
            <w:tcW w:type="dxa" w:w="50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概念准确，能够识别计算、通信、控制、物理对象和反馈关系，系统边界与架构图清楚。</w:t>
            </w:r>
          </w:p>
        </w:tc>
        <w:tc>
          <w:tcPr>
            <w:tcW w:type="dxa" w:w="15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目标 1.1，2.1，3.1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离散状态模型</w:t>
            </w:r>
          </w:p>
        </w:tc>
        <w:tc>
          <w:tcPr>
            <w:tcW w:type="dxa" w:w="8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15%</w:t>
            </w:r>
          </w:p>
        </w:tc>
        <w:tc>
          <w:tcPr>
            <w:tcW w:type="dxa" w:w="50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状态、事件、迁移、守卫和异常状态定义完整，正常、边界和异常执行轨迹可解释。</w:t>
            </w:r>
          </w:p>
        </w:tc>
        <w:tc>
          <w:tcPr>
            <w:tcW w:type="dxa" w:w="15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目标 1.2，2.2，3.2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连续物理模型</w:t>
            </w:r>
          </w:p>
        </w:tc>
        <w:tc>
          <w:tcPr>
            <w:tcW w:type="dxa" w:w="8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15%</w:t>
            </w:r>
          </w:p>
        </w:tc>
        <w:tc>
          <w:tcPr>
            <w:tcW w:type="dxa" w:w="50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建模假设、状态变量、输入输出、参数和单位清楚，能够说明模型适用范围与局限。</w:t>
            </w:r>
          </w:p>
        </w:tc>
        <w:tc>
          <w:tcPr>
            <w:tcW w:type="dxa" w:w="15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目标 1.3，2.3，3.2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混杂与组合模型</w:t>
            </w:r>
          </w:p>
        </w:tc>
        <w:tc>
          <w:tcPr>
            <w:tcW w:type="dxa" w:w="8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20%</w:t>
            </w:r>
          </w:p>
        </w:tc>
        <w:tc>
          <w:tcPr>
            <w:tcW w:type="dxa" w:w="50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离散模式与连续动态耦合合理，守卫、重置、接口和组合关系清楚，能够识别冲突或不安全状态。</w:t>
            </w:r>
          </w:p>
        </w:tc>
        <w:tc>
          <w:tcPr>
            <w:tcW w:type="dxa" w:w="15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目标 1.4，2.3，3.3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需求、验证与故障修正</w:t>
            </w:r>
          </w:p>
        </w:tc>
        <w:tc>
          <w:tcPr>
            <w:tcW w:type="dxa" w:w="8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25%</w:t>
            </w:r>
          </w:p>
        </w:tc>
        <w:tc>
          <w:tcPr>
            <w:tcW w:type="dxa" w:w="50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能够把需求转化为安全性、活性或时序约束，提供可达性、不变量、轨迹或反例证据，并通过故障注入完成修正和复验。</w:t>
            </w:r>
          </w:p>
        </w:tc>
        <w:tc>
          <w:tcPr>
            <w:tcW w:type="dxa" w:w="15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目标 1.4，2.4，3.3，3.4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证据、文档与规范</w:t>
            </w:r>
          </w:p>
        </w:tc>
        <w:tc>
          <w:tcPr>
            <w:tcW w:type="dxa" w:w="8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15%</w:t>
            </w:r>
          </w:p>
        </w:tc>
        <w:tc>
          <w:tcPr>
            <w:tcW w:type="dxa" w:w="50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模型、参数、版本、图表、验证记录和引用完整，结论与证据一致，可由他人复核。</w:t>
            </w:r>
          </w:p>
        </w:tc>
        <w:tc>
          <w:tcPr>
            <w:tcW w:type="dxa" w:w="15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目标 3.1—3.4</w:t>
            </w:r>
          </w:p>
        </w:tc>
      </w:tr>
      <w:tr>
        <w:tc>
          <w:tcPr>
            <w:tcW w:type="dxa" w:w="16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/>
                <w:sz w:val="14"/>
              </w:rPr>
              <w:t>合计</w:t>
            </w:r>
          </w:p>
        </w:tc>
        <w:tc>
          <w:tcPr>
            <w:tcW w:type="dxa" w:w="8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/>
                <w:sz w:val="14"/>
              </w:rPr>
              <w:t>100%</w:t>
            </w:r>
          </w:p>
        </w:tc>
        <w:tc>
          <w:tcPr>
            <w:tcW w:type="dxa" w:w="50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/>
                <w:sz w:val="14"/>
              </w:rPr>
            </w:r>
          </w:p>
        </w:tc>
        <w:tc>
          <w:tcPr>
            <w:tcW w:type="dxa" w:w="15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/>
                <w:sz w:val="14"/>
              </w:rPr>
            </w:r>
          </w:p>
        </w:tc>
      </w:tr>
    </w:tbl>
    <w:p/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宋体"/>
          <w:b/>
          <w:sz w:val="24"/>
        </w:rPr>
        <w:t>（3）期末考核评分标准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宋体"/>
          <w:b w:val="0"/>
          <w:sz w:val="17"/>
        </w:rPr>
        <w:t>期末考核形式：综合CPS课程设计（综合报告/设计成果＋答辩与个人核验）。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0"/>
        <w:gridCol w:w="850"/>
        <w:gridCol w:w="5050"/>
        <w:gridCol w:w="1550"/>
      </w:tblGrid>
      <w:tr>
        <w:trPr>
          <w:tblHeader w:val="true"/>
        </w:trPr>
        <w:tc>
          <w:tcPr>
            <w:tcW w:type="dxa" w:w="16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 w:cs="Times New Roman" w:eastAsia="宋体" w:hint="eastAsia"/>
                <w:b/>
                <w:sz w:val="14"/>
                <w:lang w:eastAsia="zh-CN"/>
              </w:rPr>
              <w:t>考核内容</w:t>
            </w:r>
          </w:p>
        </w:tc>
        <w:tc>
          <w:tcPr>
            <w:tcW w:type="dxa" w:w="8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 w:cs="Times New Roman" w:eastAsia="宋体" w:hint="eastAsia"/>
                <w:b/>
                <w:sz w:val="14"/>
                <w:lang w:eastAsia="zh-CN"/>
              </w:rPr>
              <w:t>成绩占比</w:t>
            </w:r>
          </w:p>
        </w:tc>
        <w:tc>
          <w:tcPr>
            <w:tcW w:type="dxa" w:w="50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 w:cs="Times New Roman" w:eastAsia="宋体" w:hint="eastAsia"/>
                <w:b/>
                <w:sz w:val="14"/>
                <w:lang w:eastAsia="zh-CN"/>
              </w:rPr>
              <w:t>考核目标与评分要求</w:t>
            </w:r>
          </w:p>
        </w:tc>
        <w:tc>
          <w:tcPr>
            <w:tcW w:type="dxa" w:w="15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 w:cs="Times New Roman" w:eastAsia="宋体" w:hint="eastAsia"/>
                <w:b/>
                <w:sz w:val="14"/>
                <w:lang w:eastAsia="zh-CN"/>
              </w:rPr>
              <w:t>课程目标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场景、需求与系统边界</w:t>
            </w:r>
          </w:p>
        </w:tc>
        <w:tc>
          <w:tcPr>
            <w:tcW w:type="dxa" w:w="8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15%</w:t>
            </w:r>
          </w:p>
        </w:tc>
        <w:tc>
          <w:tcPr>
            <w:tcW w:type="dxa" w:w="50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智能制造场景真实明确，物理对象、计算节点、网络、人员边界、输入输出和关键需求清楚。</w:t>
            </w:r>
          </w:p>
        </w:tc>
        <w:tc>
          <w:tcPr>
            <w:tcW w:type="dxa" w:w="15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目标 1.1，2.1，3.1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CPS架构与接口</w:t>
            </w:r>
          </w:p>
        </w:tc>
        <w:tc>
          <w:tcPr>
            <w:tcW w:type="dxa" w:w="8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15%</w:t>
            </w:r>
          </w:p>
        </w:tc>
        <w:tc>
          <w:tcPr>
            <w:tcW w:type="dxa" w:w="50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感知、计算、通信、控制、执行和反馈闭环完整，接口表、状态与数据关系一致。</w:t>
            </w:r>
          </w:p>
        </w:tc>
        <w:tc>
          <w:tcPr>
            <w:tcW w:type="dxa" w:w="15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目标 2.1，2.4，3.3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核心模型与组合关系</w:t>
            </w:r>
          </w:p>
        </w:tc>
        <w:tc>
          <w:tcPr>
            <w:tcW w:type="dxa" w:w="8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20%</w:t>
            </w:r>
          </w:p>
        </w:tc>
        <w:tc>
          <w:tcPr>
            <w:tcW w:type="dxa" w:w="50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至少包含状态模型及连续/混杂模型，能够支撑主要系统行为，模式、接口和组合关系合理。</w:t>
            </w:r>
          </w:p>
        </w:tc>
        <w:tc>
          <w:tcPr>
            <w:tcW w:type="dxa" w:w="15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目标 1.2—1.4，2.2，2.3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需求、安全、验证与测试</w:t>
            </w:r>
          </w:p>
        </w:tc>
        <w:tc>
          <w:tcPr>
            <w:tcW w:type="dxa" w:w="8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20%</w:t>
            </w:r>
          </w:p>
        </w:tc>
        <w:tc>
          <w:tcPr>
            <w:tcW w:type="dxa" w:w="50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关键安全/活性需求明确，包含边界、故障、可达性/不变量/轨迹/反例等验证证据，并完成测试或复验。</w:t>
            </w:r>
          </w:p>
        </w:tc>
        <w:tc>
          <w:tcPr>
            <w:tcW w:type="dxa" w:w="15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目标 1.4，2.4，3.2—3.4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数字孪生、工业互联与工程约束</w:t>
            </w:r>
          </w:p>
        </w:tc>
        <w:tc>
          <w:tcPr>
            <w:tcW w:type="dxa" w:w="8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10%</w:t>
            </w:r>
          </w:p>
        </w:tc>
        <w:tc>
          <w:tcPr>
            <w:tcW w:type="dxa" w:w="50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能够说明数字孪生、工业互联网、边缘计算或相关技术在方案中的作用、时延/数据质量等约束及适用边界。</w:t>
            </w:r>
          </w:p>
        </w:tc>
        <w:tc>
          <w:tcPr>
            <w:tcW w:type="dxa" w:w="15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目标 1.1，2.4，3.4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综合报告、答辩与个人核验</w:t>
            </w:r>
          </w:p>
        </w:tc>
        <w:tc>
          <w:tcPr>
            <w:tcW w:type="dxa" w:w="8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20%</w:t>
            </w:r>
          </w:p>
        </w:tc>
        <w:tc>
          <w:tcPr>
            <w:tcW w:type="dxa" w:w="50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架构图、状态图、接口、需求、验证证据和设计说明完整；能够独立解释关键模型、验证结果与设计取舍，并回答或现场修正指定问题。</w:t>
            </w:r>
          </w:p>
        </w:tc>
        <w:tc>
          <w:tcPr>
            <w:tcW w:type="dxa" w:w="15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目标 2.1—2.4，3.1—3.4</w:t>
            </w:r>
          </w:p>
        </w:tc>
      </w:tr>
      <w:tr>
        <w:tc>
          <w:tcPr>
            <w:tcW w:type="dxa" w:w="160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/>
                <w:sz w:val="14"/>
              </w:rPr>
              <w:t>合计</w:t>
            </w:r>
          </w:p>
        </w:tc>
        <w:tc>
          <w:tcPr>
            <w:tcW w:type="dxa" w:w="8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/>
                <w:sz w:val="14"/>
              </w:rPr>
              <w:t>100%</w:t>
            </w:r>
          </w:p>
        </w:tc>
        <w:tc>
          <w:tcPr>
            <w:tcW w:type="dxa" w:w="50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/>
                <w:sz w:val="14"/>
              </w:rPr>
            </w:r>
          </w:p>
        </w:tc>
        <w:tc>
          <w:tcPr>
            <w:tcW w:type="dxa" w:w="1550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Times New Roman" w:hAnsi="Times New Roman" w:eastAsia="宋体"/>
                <w:b/>
                <w:sz w:val="14"/>
              </w:rPr>
            </w:r>
          </w:p>
        </w:tc>
      </w:tr>
    </w:tbl>
    <w:p/>
    <w:p/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宋体"/>
          <w:b/>
          <w:sz w:val="24"/>
        </w:rPr>
        <w:t>五、参考书目及学习资料</w:t>
      </w:r>
    </w:p>
    <w:p>
      <w:pPr>
        <w:keepNext/>
        <w:spacing w:before="80" w:after="40"/>
      </w:pPr>
      <w:r>
        <w:rPr>
          <w:rFonts w:ascii="Times New Roman" w:hAnsi="Times New Roman" w:cs="Times New Roman" w:eastAsia="宋体" w:hint="eastAsia"/>
          <w:b/>
          <w:sz w:val="24"/>
          <w:lang w:eastAsia="zh-CN"/>
        </w:rPr>
        <w:t>（一）选用教材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宋体"/>
          <w:b w:val="0"/>
          <w:sz w:val="20"/>
        </w:rPr>
        <w:t>张利国, 詹璟原, 邓恒, 石睿. 信息物理系统原理与设计[M]. 北京：机械工业出版社，2025. ISBN 9787111776550</w:t>
      </w:r>
    </w:p>
    <w:p>
      <w:pPr>
        <w:keepNext/>
        <w:spacing w:before="80" w:after="40"/>
      </w:pPr>
      <w:r>
        <w:rPr>
          <w:rFonts w:ascii="Times New Roman" w:hAnsi="Times New Roman" w:cs="Times New Roman" w:eastAsia="宋体" w:hint="eastAsia"/>
          <w:b/>
          <w:sz w:val="24"/>
          <w:lang w:eastAsia="zh-CN"/>
        </w:rPr>
        <w:t>（二）学习资料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宋体"/>
          <w:b w:val="0"/>
          <w:sz w:val="20"/>
        </w:rPr>
        <w:t>[1] 任志贵, 张明德. 数字孪生技术[M]. 北京：机械工业出版社，2025. ISBN 9787111770077。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宋体"/>
          <w:b w:val="0"/>
          <w:sz w:val="20"/>
        </w:rPr>
        <w:t>[2] 李双寿, 高君. 数字孪生在智能制造中的工程实践[M]. 北京：机械工业出版社，2024. ISBN 9787111758341。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宋体"/>
          <w:b w:val="0"/>
          <w:sz w:val="20"/>
        </w:rPr>
        <w:t>[3] 黄源, 张婧慧, 唐京瑞. 工业互联网导论[M]. 北京：机械工业出版社，2024. ISBN 9787111748069。</w:t>
      </w:r>
    </w:p>
    <w:p>
      <w:pPr>
        <w:spacing w:before="0" w:after="0" w:line="228" w:lineRule="auto"/>
      </w:pPr>
      <w:r>
        <w:rPr>
          <w:rFonts w:ascii="Times New Roman" w:hAnsi="Times New Roman" w:cs="Times New Roman" w:eastAsia="宋体" w:hint="eastAsia"/>
          <w:b w:val="0"/>
          <w:sz w:val="18"/>
          <w:lang w:eastAsia="zh-CN"/>
        </w:rPr>
        <w:t xml:space="preserve">制定人：　　　　　　　　审定人：　　　　　　　　批准人：　　　　　　　　</w:t>
      </w:r>
    </w:p>
    <w:p>
      <w:pPr>
        <w:spacing w:before="0" w:after="0" w:line="228" w:lineRule="auto"/>
        <w:jc w:val="center"/>
      </w:pPr>
      <w:r>
        <w:rPr>
          <w:rFonts w:ascii="Times New Roman" w:hAnsi="Times New Roman" w:eastAsia="宋体"/>
          <w:b w:val="0"/>
          <w:sz w:val="18"/>
        </w:rPr>
        <w:t>2026年9月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信息物理系统（CPS）课程教学大纲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