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宋体"/>
          <w:b/>
          <w:sz w:val="32"/>
        </w:rPr>
        <w:t>《工业机器人技术》课程教学大纲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一、课程基本信息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课程名称（中英文）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工业机器人技术  Industrial Robot Technology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课程代码</w:t>
            </w:r>
          </w:p>
        </w:tc>
        <w:tc>
          <w:tcPr>
            <w:tcW w:type="dxa" w:w="2849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25JD32409</w:t>
            </w:r>
          </w:p>
        </w:tc>
        <w:tc>
          <w:tcPr>
            <w:tcW w:type="dxa" w:w="1581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课程类别</w:t>
            </w:r>
          </w:p>
        </w:tc>
        <w:tc>
          <w:tcPr>
            <w:tcW w:type="dxa" w:w="2693"/>
            <w:vAlign w:val="center"/>
            <w:gridSpan w:val="3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专业类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课程性质</w:t>
            </w:r>
          </w:p>
        </w:tc>
        <w:tc>
          <w:tcPr>
            <w:tcW w:type="dxa" w:w="2849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选修课</w:t>
            </w:r>
          </w:p>
        </w:tc>
        <w:tc>
          <w:tcPr>
            <w:tcW w:type="dxa" w:w="1581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授课语言</w:t>
            </w:r>
          </w:p>
        </w:tc>
        <w:tc>
          <w:tcPr>
            <w:tcW w:type="dxa" w:w="2693"/>
            <w:vAlign w:val="center"/>
            <w:gridSpan w:val="3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授课学期</w:t>
            </w:r>
          </w:p>
        </w:tc>
        <w:tc>
          <w:tcPr>
            <w:tcW w:type="dxa" w:w="2849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第6学期</w:t>
            </w:r>
          </w:p>
        </w:tc>
        <w:tc>
          <w:tcPr>
            <w:tcW w:type="dxa" w:w="1581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学分</w:t>
            </w:r>
          </w:p>
        </w:tc>
        <w:tc>
          <w:tcPr>
            <w:tcW w:type="dxa" w:w="2693"/>
            <w:vAlign w:val="center"/>
            <w:gridSpan w:val="3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931"/>
            <w:vAlign w:val="center"/>
            <w:vMerge w:val="restart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课程学时及分配</w:t>
            </w:r>
          </w:p>
        </w:tc>
        <w:tc>
          <w:tcPr>
            <w:tcW w:type="dxa" w:w="163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总学时</w:t>
            </w:r>
          </w:p>
        </w:tc>
        <w:tc>
          <w:tcPr>
            <w:tcW w:type="dxa" w:w="1215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理论</w:t>
            </w:r>
          </w:p>
        </w:tc>
        <w:tc>
          <w:tcPr>
            <w:tcW w:type="dxa" w:w="110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实践</w:t>
            </w:r>
          </w:p>
        </w:tc>
        <w:tc>
          <w:tcPr>
            <w:tcW w:type="dxa" w:w="1104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实验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上机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项目式</w:t>
            </w:r>
          </w:p>
        </w:tc>
      </w:tr>
      <w:tr>
        <w:tc>
          <w:tcPr>
            <w:tcW w:type="dxa" w:w="1931"/>
            <w:vAlign w:val="center"/>
            <w:vMerge/>
            <w:tcMar>
              <w:top w:w="60" w:type="dxa"/>
              <w:bottom w:w="60" w:type="dxa"/>
              <w:start w:w="65" w:type="dxa"/>
              <w:end w:w="65" w:type="dxa"/>
            </w:tcMar>
          </w:tcPr>
          <w:p/>
        </w:tc>
        <w:tc>
          <w:tcPr>
            <w:tcW w:type="dxa" w:w="163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215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10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04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适用专业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智能制造工程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授课学院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机械与动力工程学院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先修课程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机器人技术与应用（A）、智能测试技术、PLC技术基础或同等基础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后续课程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先进装备系统设计与开发（ROS）、智能工厂集成技术、毕业设计（论文）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课程简介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课程基本定位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本课程是智能制造工程专业的专业选修课。在《机器人技术与应用（A）》已建立机器人运动学、动力学与轨迹基础的前提下，本课程不重复系统推导机器人学公式，而以工业机器人工作站为对象，围绕“安全与规范—坐标与示教—程序与工艺—外围接口—工作站集成—离线仿真—调试维护”组织教学。课程强调机器人本体、末端执行器、传感器、PLC/CNC/视觉及安全装置之间的工程协同，为后续ROS系统开发、智能工厂集成和毕业设计建立应用基础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核心学习结果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学生能够识别工业机器人系统组成、技术参数、工作空间和主要安全风险；完成工具/工件坐标设置、点位示教、轨迹与速度规划和基础程序编写；根据搬运、上下料、码垛和装配任务设计末端工具、I/O握手、安全互锁和异常恢复逻辑；在离线仿真环境中搭建工作站、规划路径、检查碰撞与节拍；依据报警、程序状态和点检结果完成基本调试、备份恢复和维护分析，并形成可复核的工程文档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主要教学方法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采用“短讲解—案例拆解—离线建站—程序与接口实现—故障注入—验收复盘”的理实融合方式。上机可使用RobotStudio、RoboDK、Visual Components、PQArt或等价平台，不绑定单一厂商；所有任务通过程序、接口表、时序图、日志、截图和个人解释形成工程证据。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大纲更新时间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2026年9月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二、课程目标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809"/>
        <w:gridCol w:w="4248"/>
        <w:gridCol w:w="4229"/>
      </w:tblGrid>
      <w:tr>
        <w:trPr>
          <w:tblHeader w:val="true"/>
        </w:trPr>
        <w:tc>
          <w:tcPr>
            <w:tcW w:type="dxa" w:w="809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课程总目标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课程子目标（参考学校定位、培养目标、毕业要求）</w:t>
            </w:r>
          </w:p>
        </w:tc>
        <w:tc>
          <w:tcPr>
            <w:tcW w:type="dxa" w:w="4229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达成方法</w:t>
            </w:r>
          </w:p>
        </w:tc>
      </w:tr>
      <w:tr>
        <w:trPr/>
        <w:tc>
          <w:tcPr>
            <w:tcW w:type="dxa" w:w="809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1.知识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1.1 理解工业机器人定义、分类、系统组成、技术参数、工作空间、运行模式、典型应用和主要安全风险。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通过本体、控制柜、示教器和工作站案例建立系统框架，结合安全区域、急停和模式切换说明工程责任。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1.2 掌握关节、基、工具和工件坐标的工程含义，理解点位、直线、圆弧运动及速度、姿态和过渡参数。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结合示教与离线仿真完成TCP、工件坐标和轨迹比较。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1.3 掌握示教编程的运动指令、程序数据、逻辑控制、子程序和异常分支，理解程序可维护性要求。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以搬运/上下料程序讲解程序结构并开展错误程序诊所。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1.4 掌握末端执行器、传感器、I/O、PLC/CNC及视觉外围接口，理解设备握手、安全互锁和状态同步。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以机床上下料工作站绘制I/O表、握手时序和互锁逻辑。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1.5 理解离线编程流程，掌握模型布局、路径规划、碰撞检查、节拍分析和虚实迁移基本概念。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通过虚拟工作站比较在线示教与离线编程并分析碰撞、超限和节拍。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1.6 理解运行调试、程序备份、报警诊断、点检维护和典型工艺要求，理解职业规范和处置权限边界。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结合报警、程序恢复和点检案例区分可操作、停机和专业维护事项。</w:t>
            </w:r>
          </w:p>
        </w:tc>
      </w:tr>
      <w:tr>
        <w:trPr/>
        <w:tc>
          <w:tcPr>
            <w:tcW w:type="dxa" w:w="809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2.能力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2.1 能够识别工作站功能边界、风险源和安全条件，形成布局、风险清单和操作前检查表。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开展工作站风险辨识和安全评审。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2.2 能够完成工具/工件坐标设置，设计点位、直线和圆弧轨迹并验证可达性。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使用轨迹回放、碰撞和可达性检查验证结果。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2.3 能够编写和调试搬运、上下料、码垛或装配基础程序，使用逻辑、子程序和异常分支。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通过骨架程序、单步、低速和自动运行三级验证。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2.4 能够设计I/O点表、机器人与PLC/CNC/夹具的握手时序、安全互锁和异常恢复逻辑。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通过等待、超时、急停、复位等故障注入验证接口。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2.5 能够使用离线仿真工具完成布局、模型配置、路径规划、碰撞检查和节拍分析并进行基本优化。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比较不同布局、路径和速度方案并保留修改记录。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2.6 能够依据报警、程序状态、I/O状态和点检结果完成基本调试、备份恢复和维护分析。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采用“现象—证据—定位—处置—复测”流程形成记录。</w:t>
            </w:r>
          </w:p>
        </w:tc>
      </w:tr>
      <w:tr>
        <w:trPr/>
        <w:tc>
          <w:tcPr>
            <w:tcW w:type="dxa" w:w="809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3.素质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3.1 形成安全第一、遵守操作规程和风险预控的工程意识。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所有任务执行安全检查、低速验证和自动运行前确认。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3.2 形成规范示教、参数留痕和结果复核意识。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保存坐标、程序、参数和版本变更记录。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3.3 形成模块化编程和工程可维护性意识。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通过程序重构和代码讲评评价命名、分层和异常处理。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3.4 形成接口契约和团队协同意识。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采用I/O表、时序图和联调记录进行接口评审。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3.5 形成尊重安全标准、职业规范和工具边界的责任意识。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通过“仿真可行但现场不安全”反例明确现场复核。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3.6 形成规范运维、诚实记录和持续改进意识。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保留原始报警、处置步骤和复测证据，不越权处置。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三、理论教学环节及基本要求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070"/>
        <w:gridCol w:w="1424"/>
        <w:gridCol w:w="688"/>
        <w:gridCol w:w="1137"/>
        <w:gridCol w:w="3640"/>
        <w:gridCol w:w="1111"/>
      </w:tblGrid>
      <w:tr>
        <w:trPr>
          <w:tblHeader w:val="true"/>
        </w:trPr>
        <w:tc>
          <w:tcPr>
            <w:tcW w:type="dxa" w:w="107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单元标题</w:t>
            </w:r>
          </w:p>
        </w:tc>
        <w:tc>
          <w:tcPr>
            <w:tcW w:type="dxa" w:w="142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教学内容</w:t>
            </w:r>
          </w:p>
        </w:tc>
        <w:tc>
          <w:tcPr>
            <w:tcW w:type="dxa" w:w="688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学时</w:t>
            </w:r>
          </w:p>
        </w:tc>
        <w:tc>
          <w:tcPr>
            <w:tcW w:type="dxa" w:w="4777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课程要求</w:t>
            </w:r>
          </w:p>
        </w:tc>
        <w:tc>
          <w:tcPr>
            <w:tcW w:type="dxa" w:w="111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第一单元 工业机器人系统、安全与工程应用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工业机器人定义与分类；系统组成与技术参数；工作空间、运行模式；本体、控制柜、示教器、末端工具；工作站组成；安全区域、急停、限位、防护；搬运、上下料、码垛、装配等典型应用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结合自动运行和高速运动风险案例，强调安全标准、操作权限和工程责任。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知识：理解系统组成、参数、应用与安全要求。\n能力：识别功能边界、风险源和安全条件。\n素养：形成安全第一和风险预控意识。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讲授、案例、风险辨识、安全检查表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第二单元 坐标标定、示教编程与轨迹工艺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关节/基/工具/工件坐标；TCP与工件坐标；点位、直线、圆弧运动；速度、姿态与过渡；示教操作；运动指令、程序数据、逻辑、子程序与异常分支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通过坐标、速度和逻辑错误案例，强调参数修改可追溯并经过低速验证。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1.2，1.3，2.2，2.3，3.2，3.3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知识：掌握坐标、轨迹和示教编程。\n能力：完成坐标、轨迹和基础程序设计。\n素养：形成参数留痕和程序可维护意识。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讲授、示教演示、轨迹比较、程序阅读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第三单元 末端执行器、I/O与工作站接口集成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夹爪、吸盘和专用末端执行器；工装夹具；传感器；数字/模拟I/O；机器人与PLC、CNC、输送及视觉接口；握手、等待、超时、安全互锁、异常恢复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通过跨专业接口联调案例强调“接口就是契约”，培养团队协作和失效安全意识。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1.4，2.4，3.4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知识：掌握末端工具、I/O和外围接口。\n能力：设计I/O点表、握手时序和安全互锁。\n素养：形成接口契约和规范沟通意识。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讲授、I/O表、时序图、状态推演、接口评审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第四单元 离线编程、典型工作站与运行维护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离线编程流程；工作站模型布局；工具/工件配置；路径生成；碰撞、奇异和超限检查；节拍分析；虚实迁移；典型工作站；程序备份恢复；报警日志；点检维护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通过仿真与真实设备差异、报警处置和维护权限案例，强调工具边界和现场复核。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1.5，1.6，2.5，2.6，3.5，3.6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知识：理解离线编程、工作站和运维流程。\n能力：完成仿真验证、基本优化和故障证据分析。\n素养：形成现场复核、规范运维和持续改进意识。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讲授、离线仿真、碰撞/节拍分析、报警维护案例</w:t>
            </w:r>
          </w:p>
        </w:tc>
        <w:tc>
          <w:tcPr>
            <w:tcW w:type="dxa" w:w="1111"/>
            <w:vMerge/>
          </w:tcPr>
          <w:p/>
        </w:tc>
      </w:tr>
    </w:tbl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理论总学时 16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四、上机教学环节及基本要求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068"/>
        <w:gridCol w:w="1407"/>
        <w:gridCol w:w="707"/>
        <w:gridCol w:w="905"/>
        <w:gridCol w:w="4273"/>
        <w:gridCol w:w="710"/>
      </w:tblGrid>
      <w:tr>
        <w:trPr>
          <w:tblHeader w:val="true"/>
        </w:trPr>
        <w:tc>
          <w:tcPr>
            <w:tcW w:type="dxa" w:w="1068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上机项目</w:t>
            </w:r>
          </w:p>
        </w:tc>
        <w:tc>
          <w:tcPr>
            <w:tcW w:type="dxa" w:w="1407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上机内容</w:t>
            </w:r>
          </w:p>
        </w:tc>
        <w:tc>
          <w:tcPr>
            <w:tcW w:type="dxa" w:w="707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学时</w:t>
            </w:r>
          </w:p>
        </w:tc>
        <w:tc>
          <w:tcPr>
            <w:tcW w:type="dxa" w:w="5178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上机要求</w:t>
            </w:r>
          </w:p>
        </w:tc>
        <w:tc>
          <w:tcPr>
            <w:tcW w:type="dxa" w:w="71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/>
        <w:tc>
          <w:tcPr>
            <w:tcW w:type="dxa" w:w="106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上机一 工作站建模、风险辨识与坐标标定</w:t>
            </w:r>
          </w:p>
        </w:tc>
        <w:tc>
          <w:tcPr>
            <w:tcW w:type="dxa" w:w="1407"/>
            <w:vMerge w:val="restart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建立基本工作站，配置机器人、工具和工件；识别工作空间与风险区；完成工具/工件坐标设置并验证关键点位</w:t>
            </w:r>
          </w:p>
        </w:tc>
        <w:tc>
          <w:tcPr>
            <w:tcW w:type="dxa" w:w="707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任务类型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设计型；运动先低速/单步验证，记录坐标、点位和安全边界。</w:t>
            </w:r>
          </w:p>
        </w:tc>
        <w:tc>
          <w:tcPr>
            <w:tcW w:type="dxa" w:w="71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1.1，1.2，2.1，2.2，3.1，3.2</w:t>
            </w:r>
          </w:p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安全区域和坐标错误注入，强化操作权限与风险预控。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能够建立工作站、完成坐标设置和安全检查。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离线建站、坐标标定、点位验证、同伴评审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上机二 搬运/上下料示教程序与轨迹优化</w:t>
            </w:r>
          </w:p>
        </w:tc>
        <w:tc>
          <w:tcPr>
            <w:tcW w:type="dxa" w:w="1407"/>
            <w:vMerge w:val="restart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完成抓取、搬运、放置或机床上下料程序；使用点位/直线运动、变量、逻辑和子程序；比较速度、过渡和路径方案</w:t>
            </w:r>
          </w:p>
        </w:tc>
        <w:tc>
          <w:tcPr>
            <w:tcW w:type="dxa" w:w="707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任务类型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设计型；程序必须含安全初始位、异常分支和可解释的速度设置。</w:t>
            </w:r>
          </w:p>
        </w:tc>
        <w:tc>
          <w:tcPr>
            <w:tcW w:type="dxa" w:w="71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1.2，1.3，2.2，2.3，3.2，3.3</w:t>
            </w:r>
          </w:p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通过错误轨迹和过高速度案例强化规范编程与低速验证。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能够完成基础应用程序并对轨迹、节拍和安全进行验证。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骨架程序、分段调试、轨迹回放、节拍比较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上机三 I/O握手、安全互锁与异常恢复</w:t>
            </w:r>
          </w:p>
        </w:tc>
        <w:tc>
          <w:tcPr>
            <w:tcW w:type="dxa" w:w="1407"/>
            <w:vMerge w:val="restart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设计机器人与PLC/CNC/夹具的I/O点表和握手时序；实现等待、超时、互锁、报警、复位和恢复；注入信号丢失/顺序错误</w:t>
            </w:r>
          </w:p>
        </w:tc>
        <w:tc>
          <w:tcPr>
            <w:tcW w:type="dxa" w:w="707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任务类型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综合型；接口状态、超时条件和恢复步骤必须文档化。</w:t>
            </w:r>
          </w:p>
        </w:tc>
        <w:tc>
          <w:tcPr>
            <w:tcW w:type="dxa" w:w="71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1.4，2.4，3.4</w:t>
            </w:r>
          </w:p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通过接口失效案例培养契约意识和跨专业协同责任。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能够完成接口逻辑、互锁和异常恢复验证。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I/O配置、时序图、故障注入、联调记录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上机四 离线工作站综合仿真与运维验收</w:t>
            </w:r>
          </w:p>
        </w:tc>
        <w:tc>
          <w:tcPr>
            <w:tcW w:type="dxa" w:w="1407"/>
            <w:vMerge w:val="restart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完成搬运、码垛、上下料或装配工作站布局；路径规划、碰撞检查、节拍优化；保存程序与配置；分析报警并形成点检/维护记录</w:t>
            </w:r>
          </w:p>
        </w:tc>
        <w:tc>
          <w:tcPr>
            <w:tcW w:type="dxa" w:w="707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任务类型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综合型；最终方案须提供程序、模型、碰撞/节拍证据、备份和维护清单。</w:t>
            </w:r>
          </w:p>
        </w:tc>
        <w:tc>
          <w:tcPr>
            <w:tcW w:type="dxa" w:w="71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1.5，1.6，2.5，2.6，3.5，3.6</w:t>
            </w:r>
          </w:p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强调仿真不能替代现场安全确认，报警与维护记录必须真实可追溯。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能够完成工作站综合仿真、优化、备份和基本运维分析。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35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综合仿真、碰撞检查、节拍优化、报警诊断、验收答辩</w:t>
            </w:r>
          </w:p>
        </w:tc>
        <w:tc>
          <w:tcPr>
            <w:tcW w:type="dxa" w:w="710"/>
            <w:vMerge/>
          </w:tcPr>
          <w:p/>
        </w:tc>
      </w:tr>
    </w:tbl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上机总学时 16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五、课程评价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（一）考核内容、考核方式与课程目标对应关系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650"/>
        <w:gridCol w:w="650"/>
        <w:gridCol w:w="650"/>
        <w:gridCol w:w="1050"/>
        <w:gridCol w:w="1050"/>
        <w:gridCol w:w="1050"/>
        <w:gridCol w:w="1750"/>
      </w:tblGrid>
      <w:tr>
        <w:trPr>
          <w:tblHeader w:val="true"/>
          <w:cantSplit/>
        </w:trPr>
        <w:tc>
          <w:tcPr>
            <w:tcW w:type="dxa" w:w="113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考核内容</w:t>
            </w:r>
          </w:p>
        </w:tc>
        <w:tc>
          <w:tcPr>
            <w:tcW w:type="dxa" w:w="113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总学时</w:t>
            </w:r>
          </w:p>
        </w:tc>
        <w:tc>
          <w:tcPr>
            <w:tcW w:type="dxa" w:w="113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理论学时</w:t>
            </w:r>
          </w:p>
        </w:tc>
        <w:tc>
          <w:tcPr>
            <w:tcW w:type="dxa" w:w="113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上机学时</w:t>
            </w:r>
          </w:p>
        </w:tc>
        <w:tc>
          <w:tcPr>
            <w:tcW w:type="dxa" w:w="3402"/>
            <w:gridSpan w:val="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考核方式及占比（100%）</w:t>
            </w:r>
          </w:p>
        </w:tc>
        <w:tc>
          <w:tcPr>
            <w:tcW w:type="dxa" w:w="113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课程目标</w:t>
            </w:r>
          </w:p>
        </w:tc>
      </w:tr>
      <w:tr>
        <w:trPr>
          <w:tblHeader w:val="true"/>
          <w:cantSplit/>
        </w:trPr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平时成绩（20%）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课程作业（20%）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期末考核（60%）</w:t>
            </w:r>
          </w:p>
        </w:tc>
        <w:tc>
          <w:tcPr>
            <w:tcW w:type="dxa" w:w="1134"/>
            <w:vMerge/>
          </w:tcPr>
          <w:p/>
        </w:tc>
      </w:tr>
      <w:tr>
        <w:trPr>
          <w:cantSplit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系统、安全与工程应用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坐标标定、示教编程与轨迹工艺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1.2，1.3，2.2，2.3，3.2，3.3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末端执行器、I/O与接口集成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离线编程、工作站与运行维护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1.5，1.6，2.5，2.6，3.5，3.6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合计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32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—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（二）考核方式与评分标准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1.考核方式</w:t>
      </w:r>
    </w:p>
    <w:p>
      <w:pPr>
        <w:keepNext w:val="0"/>
        <w:spacing w:before="0" w:after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考查。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2.评分说明</w:t>
      </w:r>
    </w:p>
    <w:p>
      <w:pPr>
        <w:keepNext w:val="0"/>
        <w:spacing w:before="0" w:after="0" w:line="288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课程采用平时成绩、课程作业和期末考核相结合的方式。最终成绩100%=平时成绩20%＋课程作业20%＋期末考核60%。期末考核采用工业机器人工作站综合项目成果与个人答辩/核验相结合的综合考查形式，其中综合项目成果占期末考核内部80%，个人答辩/核验占期末考核内部20%；不设置闭卷笔试或机考。原有四个上机任务继续按既定16学时实施，其程序、模型、参数、I/O、测试验证、日志和运维记录并入课程作业；原综合工作站项目及个人核验要求并入期末考核。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3.评分标准分项说明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1"/>
        </w:rPr>
        <w:t>（1）平时成绩评分标准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350"/>
        <w:gridCol w:w="700"/>
        <w:gridCol w:w="1400"/>
        <w:gridCol w:w="1400"/>
        <w:gridCol w:w="1400"/>
        <w:gridCol w:w="1400"/>
        <w:gridCol w:w="1400"/>
      </w:tblGrid>
      <w:tr>
        <w:trPr>
          <w:tblHeader w:val="true"/>
          <w:cantSplit/>
        </w:trPr>
        <w:tc>
          <w:tcPr>
            <w:tcW w:type="dxa" w:w="13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评分指标</w:t>
            </w:r>
          </w:p>
        </w:tc>
        <w:tc>
          <w:tcPr>
            <w:tcW w:type="dxa" w:w="7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指标权重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90–100（优）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80–89（良）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70–79（中）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60–69（及格）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0–59（不及格）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考勤、课堂与上机安全规范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3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35%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出勤完整，严格遵守机器人运行、示教、低速验证和自动运行确认规范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出勤良好，偶有轻微疏漏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出勤基本正常，遵守主要规范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达到最低要求，经提醒能遵守规范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缺勤较多或多次违反安全规范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课堂学习与工程参与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3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30%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主动参与坐标、轨迹、程序、接口、碰撞、节拍和故障分析，能清晰说明依据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参与主要活动并能说明思路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完成主要课堂任务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经提醒达到基本要求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长期不参与或无法完成基本分析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/>
                <w:sz w:val="14"/>
              </w:rPr>
              <w:t>工程记录、运行证据与诚信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3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4"/>
              </w:rPr>
              <w:t>35%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坐标、程序、参数、I/O、日志、截图、版本和验证结果完整可复核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记录较完整，少量疏漏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完成主要记录并有基本证据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存在缺项但基本可核验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3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4"/>
              </w:rPr>
              <w:t>证据失实、关键记录缺失或无法解释结果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1"/>
        </w:rPr>
        <w:t>（2）课程作业评分标准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50"/>
        <w:gridCol w:w="850"/>
        <w:gridCol w:w="5200"/>
        <w:gridCol w:w="145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考核内容</w:t>
            </w:r>
          </w:p>
        </w:tc>
        <w:tc>
          <w:tcPr>
            <w:tcW w:type="dxa" w:w="8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成绩占比</w:t>
            </w:r>
          </w:p>
        </w:tc>
        <w:tc>
          <w:tcPr>
            <w:tcW w:type="dxa" w:w="52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考核目标与评分要求</w:t>
            </w:r>
          </w:p>
        </w:tc>
        <w:tc>
          <w:tcPr>
            <w:tcW w:type="dxa" w:w="14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工作站建模、风险辨识与坐标标定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模型、风险区域、工具/工件坐标和关键点位正确，安全检查与低速验证记录完整。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1.1，1.2，2.1，2.2，3.1，3.2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搬运/上下料示教程序与轨迹优化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程序、运动指令、异常分支、轨迹、速度和节拍合理，具有可复核运行/仿真证据。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1.2，1.3，2.2，2.3，3.2，3.3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I/O握手、安全互锁与异常恢复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I/O点表、握手时序、超时、互锁、报警、复位和恢复逻辑正确，故障注入记录完整。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离线工作站综合仿真与运维验收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布局、路径、碰撞/可达性、节拍优化、程序/配置保存、报警分析及点检维护记录完整。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1.5，1.6，2.5，2.6，3.5，3.6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1"/>
        </w:rPr>
        <w:t>（3）期末考核评分标准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50"/>
        <w:gridCol w:w="850"/>
        <w:gridCol w:w="5200"/>
        <w:gridCol w:w="145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考核内容</w:t>
            </w:r>
          </w:p>
        </w:tc>
        <w:tc>
          <w:tcPr>
            <w:tcW w:type="dxa" w:w="8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成绩占比</w:t>
            </w:r>
          </w:p>
        </w:tc>
        <w:tc>
          <w:tcPr>
            <w:tcW w:type="dxa" w:w="52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考核目标与评分要求</w:t>
            </w:r>
          </w:p>
        </w:tc>
        <w:tc>
          <w:tcPr>
            <w:tcW w:type="dxa" w:w="14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工作站需求、布局与安全边界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任务、设备、布局、工作空间、风险源和安全条件定义完整，自动运行前置条件明确。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坐标、轨迹与程序实现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工具/工件坐标、关键点、运动方式、程序结构、逻辑与异常分支正确，并完成低速/单步验证。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1.2，1.3，2.2，2.3，3.2，3.3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末端工具、I/O与接口集成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末端执行器、I/O点表、PLC/CNC/夹具握手、安全互锁和状态同步逻辑完整。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离线仿真、碰撞与节拍优化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完成路径规划、可达性/碰撞检查和节拍分析，优化有前后对比和运行证据。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1.5，2.5，3.5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异常恢复、备份与运行维护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报警、超时、急停/复位、程序/配置备份恢复和点检维护流程合理，权限边界明确。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1.6，2.6，3.6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工程交付、测试证据与可追溯性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程序、模型、参数、接口表、时序图、日志、截图、测试和版本记录完整可复核。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2.3，2.4，2.5，2.6，3.2—3.6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个人答辩/核验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能独立解释本人方案，现场完成指定程序/参数/接口修改或故障排查，并说明安全与验证依据。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1.1—1.6，2.1—2.6，3.1—3.6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52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六、参考书目及学习资料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（一）选用教材</w:t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  <w:t>张小刚, 方遒. 工业机器人系统综合设计[M]. 北京：机械工业出版社，2025. ISBN 9787111776192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（二）学习资料</w:t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  <w:t>[1] 陈乾, 刘静文, 李志卿. 工业机器人技术及应用[M]. 北京：机械工业出版社，2024. ISBN 9787111758297。</w:t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  <w:t>[2] 朱洪雷, 代慧. 工业机器人离线编程（ABB）（第2版）[M]. 北京：高等教育出版社，2024. ISBN 9787040602012。</w:t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  <w:t>[3] 倪寿勇. 工业机器人离线编程与仿真[M]. 北京：高等教育出版社，2024. ISBN 9787040601824。</w:t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  <w:t>[4] 北京华航唯实机器人科技股份有限公司, 李金亮, 张明奎. 工业机器人系统集成[M]. 北京：机械工业出版社，2025. ISBN 9787111773887。</w:t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  <w:t>[5] 谭志彬. 工业机器人操作与运维实训（初级）[M]. 北京：电子工业出版社，2024. ISBN 9787121378676。</w:t>
      </w:r>
    </w:p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sz w:val="21"/>
        </w:rPr>
        <w:t xml:space="preserve">制定人：　　　　　　　　审定人：　　　　　　　　批准人：　　　　　　　　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工业机器人技术课程教学大纲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