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3" w:lineRule="auto" w:before="0" w:after="160"/>
        <w:jc w:val="center"/>
      </w:pPr>
      <w:r>
        <w:rPr>
          <w:rFonts w:ascii="Times New Roman" w:hAnsi="Times New Roman" w:eastAsia="黑体"/>
          <w:b/>
          <w:sz w:val="32"/>
        </w:rPr>
        <w:t>《工业网络技术及应用》课程教学大纲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一、课程基本信息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31"/>
        <w:gridCol w:w="1634"/>
        <w:gridCol w:w="1215"/>
        <w:gridCol w:w="1104"/>
        <w:gridCol w:w="477"/>
        <w:gridCol w:w="627"/>
        <w:gridCol w:w="1033"/>
        <w:gridCol w:w="1033"/>
      </w:tblGrid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课程名称（中英文）</w:t>
            </w:r>
          </w:p>
        </w:tc>
        <w:tc>
          <w:tcPr>
            <w:tcW w:type="dxa" w:w="7123"/>
            <w:gridSpan w:val="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工业网络技术及应用  Industrial Network Technology and Applications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课程代码</w:t>
            </w:r>
          </w:p>
        </w:tc>
        <w:tc>
          <w:tcPr>
            <w:tcW w:type="dxa" w:w="2849"/>
            <w:gridSpan w:val="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25JD32410</w:t>
            </w:r>
          </w:p>
        </w:tc>
        <w:tc>
          <w:tcPr>
            <w:tcW w:type="dxa" w:w="110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课程类别</w:t>
            </w:r>
          </w:p>
        </w:tc>
        <w:tc>
          <w:tcPr>
            <w:tcW w:type="dxa" w:w="3170"/>
            <w:gridSpan w:val="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专业类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课程性质</w:t>
            </w:r>
          </w:p>
        </w:tc>
        <w:tc>
          <w:tcPr>
            <w:tcW w:type="dxa" w:w="2849"/>
            <w:gridSpan w:val="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选修课</w:t>
            </w:r>
          </w:p>
        </w:tc>
        <w:tc>
          <w:tcPr>
            <w:tcW w:type="dxa" w:w="110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授课语言</w:t>
            </w:r>
          </w:p>
        </w:tc>
        <w:tc>
          <w:tcPr>
            <w:tcW w:type="dxa" w:w="3170"/>
            <w:gridSpan w:val="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中文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授课学期</w:t>
            </w:r>
          </w:p>
        </w:tc>
        <w:tc>
          <w:tcPr>
            <w:tcW w:type="dxa" w:w="2849"/>
            <w:gridSpan w:val="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第6学期</w:t>
            </w:r>
          </w:p>
        </w:tc>
        <w:tc>
          <w:tcPr>
            <w:tcW w:type="dxa" w:w="110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学分</w:t>
            </w:r>
          </w:p>
        </w:tc>
        <w:tc>
          <w:tcPr>
            <w:tcW w:type="dxa" w:w="3170"/>
            <w:gridSpan w:val="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 w:val="restart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课程学时及分配</w:t>
            </w:r>
          </w:p>
        </w:tc>
        <w:tc>
          <w:tcPr>
            <w:tcW w:type="dxa" w:w="121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总学时</w:t>
            </w:r>
          </w:p>
        </w:tc>
        <w:tc>
          <w:tcPr>
            <w:tcW w:type="dxa" w:w="110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理论</w:t>
            </w:r>
          </w:p>
        </w:tc>
        <w:tc>
          <w:tcPr>
            <w:tcW w:type="dxa" w:w="47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实践</w:t>
            </w:r>
          </w:p>
        </w:tc>
        <w:tc>
          <w:tcPr>
            <w:tcW w:type="dxa" w:w="62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实验</w:t>
            </w:r>
          </w:p>
        </w:tc>
        <w:tc>
          <w:tcPr>
            <w:tcW w:type="dxa" w:w="1033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上机</w:t>
            </w:r>
          </w:p>
        </w:tc>
        <w:tc>
          <w:tcPr>
            <w:tcW w:type="dxa" w:w="1033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项目式</w:t>
            </w:r>
          </w:p>
        </w:tc>
      </w:tr>
      <w:tr>
        <w:trPr>
          <w:cantSplit/>
        </w:trPr>
        <w:tc>
          <w:tcPr>
            <w:tcW w:type="dxa" w:w="3565"/>
            <w:gridSpan w:val="2"/>
            <w:vMerge/>
            <w:tcMar>
              <w:top w:w="40" w:type="dxa"/>
              <w:start w:w="45" w:type="dxa"/>
              <w:bottom w:w="40" w:type="dxa"/>
              <w:end w:w="45" w:type="dxa"/>
            </w:tcMar>
          </w:tcPr>
          <w:p/>
        </w:tc>
        <w:tc>
          <w:tcPr>
            <w:tcW w:type="dxa" w:w="1215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10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47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62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1033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适用专业</w:t>
            </w:r>
          </w:p>
        </w:tc>
        <w:tc>
          <w:tcPr>
            <w:tcW w:type="dxa" w:w="7123"/>
            <w:gridSpan w:val="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智能制造工程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授课学院</w:t>
            </w:r>
          </w:p>
        </w:tc>
        <w:tc>
          <w:tcPr>
            <w:tcW w:type="dxa" w:w="7123"/>
            <w:gridSpan w:val="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计算机与信息技术学院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先修课程</w:t>
            </w:r>
          </w:p>
        </w:tc>
        <w:tc>
          <w:tcPr>
            <w:tcW w:type="dxa" w:w="7123"/>
            <w:gridSpan w:val="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计算机网络（B）、PLC技术与应用、微机原理及接口技术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后续课程</w:t>
            </w:r>
          </w:p>
        </w:tc>
        <w:tc>
          <w:tcPr>
            <w:tcW w:type="dxa" w:w="7123"/>
            <w:gridSpan w:val="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先进装备系统设计与开发（ROS）、智能生产计划管理（MES/ERP）、毕业设计（论文）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课程简介</w:t>
            </w:r>
          </w:p>
        </w:tc>
        <w:tc>
          <w:tcPr>
            <w:tcW w:type="dxa" w:w="7123"/>
            <w:gridSpan w:val="7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69" w:lineRule="auto" w:before="0" w:after="40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课程基本定位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本课程是智能制造工程专业的专业选修课，面向数字化车间和智能装备的网络互联与数据集成，建立“工业通信基础—现场总线—工业以太网—实时工业网络—信息互操作—网络诊断与安全”的知识主线。课程不重复普通计算机网络的通用原理，也不把某一厂商组态步骤作为唯一目标，而是从工业现场对确定性、实时性、可靠性、可维护性和安全性的要求出发，理解Modbus、PROFINET、EtherCAT、OPC UA、MQTT、TSN等典型技术的工作机制、应用层级和选型边界。</w:t>
            </w:r>
          </w:p>
          <w:p>
            <w:pPr>
              <w:spacing w:line="269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核心学习结果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学生能够解释工业网络与普通办公网络在实时性、可靠性和运行环境方面的差异；能够依据OSI/TCP-IP模型分析典型工业通信过程，识读工业网络拓扑、地址、端口、报文与数据点；能够比较Modbus RTU/TCP、PROFINET、EtherCAT等协议的通信模型和适用场景；能够说明OPC UA、MQTT和边缘网关在OT/IT融合中的作用；能够使用抓包、拓扑、日志和诊断信息分析常见通信故障，形成包含拓扑、协议、冗余、分区分域、安全边界和验证方法的工业网络方案。</w:t>
            </w:r>
          </w:p>
          <w:p>
            <w:pPr>
              <w:spacing w:line="269" w:lineRule="auto" w:before="0" w:after="40"/>
            </w:pPr>
            <w:r>
              <w:rPr>
                <w:rFonts w:ascii="Times New Roman" w:hAnsi="Times New Roman" w:eastAsia="宋体"/>
                <w:b/>
                <w:sz w:val="18"/>
              </w:rPr>
              <w:t>主要教学方法</w:t>
              <w:br/>
            </w:r>
            <w:r>
              <w:rPr>
                <w:rFonts w:ascii="Times New Roman" w:hAnsi="Times New Roman" w:eastAsia="宋体"/>
                <w:b w:val="0"/>
                <w:sz w:val="17"/>
              </w:rPr>
              <w:t>采用原理讲授、协议报文解析、网络拓扑推演、Wireshark或厂商诊断工具演示、案例研讨和方案评审相结合的方式。培养方案未设置实验、上机或项目式学时，因此软件抓包、仿真和组态均作为课堂演示、课内分析或课后作业，不单列实践学时。教学案例以PLC、HMI、机器人、变频器、远程I/O、边缘网关和MES数据接口为对象；涉及真实工业控制网络时不进行未经授权的扫描、攻击或配置修改。</w:t>
            </w:r>
          </w:p>
        </w:tc>
      </w:tr>
      <w:tr>
        <w:trPr>
          <w:cantSplit/>
        </w:trPr>
        <w:tc>
          <w:tcPr>
            <w:tcW w:type="dxa" w:w="1931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大纲更新时间</w:t>
            </w:r>
          </w:p>
        </w:tc>
        <w:tc>
          <w:tcPr>
            <w:tcW w:type="dxa" w:w="7123"/>
            <w:gridSpan w:val="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2026年9月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二、课程目标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50"/>
        <w:gridCol w:w="4650"/>
        <w:gridCol w:w="3354"/>
      </w:tblGrid>
      <w:tr>
        <w:trPr>
          <w:tblHeader w:val="true"/>
          <w:cantSplit/>
        </w:trPr>
        <w:tc>
          <w:tcPr>
            <w:tcW w:type="dxa" w:w="105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课程总目标</w:t>
            </w:r>
          </w:p>
        </w:tc>
        <w:tc>
          <w:tcPr>
            <w:tcW w:type="dxa" w:w="465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课程子目标（参考学校定位、培养目标、毕业要求）</w:t>
            </w:r>
          </w:p>
        </w:tc>
        <w:tc>
          <w:tcPr>
            <w:tcW w:type="dxa" w:w="335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达成方法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1.知识</w:t>
            </w:r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理解工业网络层级、性能指标和通信模型。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通过拓扑推演、报文示意和性能案例检验。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掌握Modbus RTU/TCP的数据模型与基本报文。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通过帧格式、寄存器表和故障案例检验。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理解工业以太网、交换网络和PROFINET的关键机制。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通过交换、VLAN和PROFINET拓扑案例检验。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理解PROFINET实时通信、EtherCAT和TSN的确定性机制。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通过时序图、协议比较和性能指标分析检验。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掌握OPC UA、MQTT和边缘网关的基本交互模型。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通过地址空间、数据点表和OT/IT集成案例检验。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1.6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掌握工业网络分层诊断、可靠性和基础安全防护思路。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通过故障树、抓包演示和安全案例检验。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2.能力</w:t>
            </w:r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能够识读工业网络拓扑、地址、链路关系并分析性能需求。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通过拓扑和参数分析任务检验。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能够依据Modbus寄存器表、功能码和报文定位常见配置错误。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通过协议与故障分析作业检验。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能够设计基础VLAN、冗余拓扑并说明PROFINET设备关系。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通过网络方案与故障案例检验。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能够依据实时性、同步和拓扑要求比较PROFINET、EtherCAT和TSN。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通过协议选型和性能分析任务检验。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能够设计从设备到MES或边缘平台的数据点与接口链。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通过OPC UA/MQTT数据集成方案检验。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2.6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能够根据需求形成工业网络方案并设计分层诊断和验证清单。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通过期末考核中的综合网络方案报告与个人核验检验。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3.素质</w:t>
            </w:r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3.1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形成以需求、指标和证据定义网络性能的工程习惯。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通过性能案例和方案说明检验。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3.2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形成接口契约、配置可追溯和如实记录意识。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通过寄存器表、配置记录和故障复盘检验。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3.3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形成网络变更受控、分区设计和故障隔离意识。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通过VLAN、环网和广播风暴案例检验。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3.4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形成以时延、抖动、同步和可用性评价实时网络的意识。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通过实时协议比较和技术论证检验。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3.5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形成数据语义一致、最小权限和跨部门协作意识。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通过OT/IT数据链和权限案例检验。</w:t>
            </w:r>
          </w:p>
        </w:tc>
      </w:tr>
      <w:tr>
        <w:tc>
          <w:tcPr>
            <w:tcW w:type="dxa" w:w="10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465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3.6</w:t>
            </w:r>
            <w:r>
              <w:rPr>
                <w:rFonts w:ascii="Times New Roman" w:hAnsi="Times New Roman" w:eastAsia="宋体"/>
                <w:b w:val="0"/>
                <w:sz w:val="17"/>
              </w:rPr>
              <w:t xml:space="preserve"> 形成合法授权、最小影响、可恢复和持续学习意识。</w:t>
            </w:r>
          </w:p>
        </w:tc>
        <w:tc>
          <w:tcPr>
            <w:tcW w:type="dxa" w:w="3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通过工业控制系统安全与诊断案例检验。</w:t>
            </w:r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三、理论教学环节及基本要求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0"/>
        <w:gridCol w:w="1900"/>
        <w:gridCol w:w="600"/>
        <w:gridCol w:w="4000"/>
        <w:gridCol w:w="1254"/>
      </w:tblGrid>
      <w:tr>
        <w:trPr>
          <w:tblHeader w:val="true"/>
          <w:cantSplit/>
        </w:trPr>
        <w:tc>
          <w:tcPr>
            <w:tcW w:type="dxa" w:w="13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单元标题</w:t>
            </w:r>
          </w:p>
        </w:tc>
        <w:tc>
          <w:tcPr>
            <w:tcW w:type="dxa" w:w="19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教学内容</w:t>
            </w:r>
          </w:p>
        </w:tc>
        <w:tc>
          <w:tcPr>
            <w:tcW w:type="dxa" w:w="6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学时</w:t>
            </w:r>
          </w:p>
        </w:tc>
        <w:tc>
          <w:tcPr>
            <w:tcW w:type="dxa" w:w="40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课程要求</w:t>
            </w:r>
          </w:p>
        </w:tc>
        <w:tc>
          <w:tcPr>
            <w:tcW w:type="dxa" w:w="125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课程目标</w:t>
            </w:r>
          </w:p>
        </w:tc>
      </w:tr>
      <w:tr>
        <w:tc>
          <w:tcPr>
            <w:tcW w:type="dxa" w:w="13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第一单元 工业网络体系与通信基础</w:t>
            </w:r>
          </w:p>
        </w:tc>
        <w:tc>
          <w:tcPr>
            <w:tcW w:type="dxa" w:w="1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业网络层级与发展；IT/OT网络差异；现场级、控制级、监控级和企业级互联；OSI与TCP/IP模型在工业通信中的映射；传输介质、拓扑、交换、IP地址、子网、端口、时延、抖动、丢包和带宽；实时性、确定性、可靠性与可维护性。</w:t>
            </w:r>
          </w:p>
        </w:tc>
        <w:tc>
          <w:tcPr>
            <w:tcW w:type="dxa" w:w="6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通过关键基础设施和生产停线案例讨论网络设计对人员、设备、质量和社会运行的影响。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知识层面：理解工业网络层级、性能指标和通信模型。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能力层面：能够识读基本拓扑、地址和链路关系。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素养层面：形成以需求和证据定义网络指标的习惯。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讲授、拓扑推演、报文示意、性能案例</w:t>
            </w:r>
          </w:p>
        </w:tc>
        <w:tc>
          <w:tcPr>
            <w:tcW w:type="dxa" w:w="12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1.1，2.1，3.1</w:t>
            </w:r>
          </w:p>
        </w:tc>
      </w:tr>
      <w:tr>
        <w:tc>
          <w:tcPr>
            <w:tcW w:type="dxa" w:w="13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第二单元 现场总线与Modbus通信</w:t>
            </w:r>
          </w:p>
        </w:tc>
        <w:tc>
          <w:tcPr>
            <w:tcW w:type="dxa" w:w="1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现场总线基本思想；主从/客户端服务器与周期/非周期通信；RS-485基础；Modbus RTU帧、站号、功能码、寄存器与CRC概念；Modbus TCP的MBAP、端口和事务；串口—以太网网关与协议转换；PROFIBUS、CAN/CANopen概览。</w:t>
            </w:r>
          </w:p>
        </w:tc>
        <w:tc>
          <w:tcPr>
            <w:tcW w:type="dxa" w:w="6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通过错误站号、寄存器映射和终端匹配故障强调按手册、按接口表实施和诚实记录。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知识层面：掌握Modbus RTU/TCP的数据模型与基本报文。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能力层面：能够依据寄存器表和抓包定位地址或功能码错误。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素养层面：形成接口契约和配置可追溯意识。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讲授、帧格式解析、寄存器案例、故障推演</w:t>
            </w:r>
          </w:p>
        </w:tc>
        <w:tc>
          <w:tcPr>
            <w:tcW w:type="dxa" w:w="12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1.2，2.2，3.2</w:t>
            </w:r>
          </w:p>
        </w:tc>
      </w:tr>
      <w:tr>
        <w:tc>
          <w:tcPr>
            <w:tcW w:type="dxa" w:w="13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第三单元 工业以太网与交换网络设计</w:t>
            </w:r>
          </w:p>
        </w:tc>
        <w:tc>
          <w:tcPr>
            <w:tcW w:type="dxa" w:w="1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以太网帧、MAC、ARP、IP、TCP/UDP与交换机转发；工业交换机、VLAN、环网与冗余；网络分段、广播域、QoS与时间同步；PROFINET体系、IO Controller/Device、设备名称、GSDML、周期数据与诊断；EtherNet/IP及CIP对象模型概览。</w:t>
            </w:r>
          </w:p>
        </w:tc>
        <w:tc>
          <w:tcPr>
            <w:tcW w:type="dxa" w:w="6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通过网络环路、广播风暴和错误VLAN案例强化变更审批、分区设计和生产连续性责任。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知识层面：理解工业以太网与交换网络的关键机制。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能力层面：能够设计基础VLAN或冗余拓扑并说明PROFINET设备关系。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素养层面：形成变更受控和故障隔离意识。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讲授、交换转发演示、VLAN拓扑、PROFINET案例</w:t>
            </w:r>
          </w:p>
        </w:tc>
        <w:tc>
          <w:tcPr>
            <w:tcW w:type="dxa" w:w="12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1.3，2.3，3.3</w:t>
            </w:r>
          </w:p>
        </w:tc>
      </w:tr>
      <w:tr>
        <w:tc>
          <w:tcPr>
            <w:tcW w:type="dxa" w:w="13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第四单元 实时工业以太网、EtherCAT与TSN</w:t>
            </w:r>
          </w:p>
        </w:tc>
        <w:tc>
          <w:tcPr>
            <w:tcW w:type="dxa" w:w="1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工业实时通信需求；实时与非实时数据；PROFINET RT/IRT概念；EtherCAT帧处理、主从结构、分布式时钟和过程数据映射；EtherCAT与PROFINET适用场景比较；TSN的时间同步、流量调度、可靠传输等基本机制；确定性网络性能评价。</w:t>
            </w:r>
          </w:p>
        </w:tc>
        <w:tc>
          <w:tcPr>
            <w:tcW w:type="dxa" w:w="6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以高速装备、机器人和运动控制对时延与同步的要求讨论性能指标必须可测量、可验证。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知识层面：理解实时工业网络的确定性机制。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能力层面：能够比较PROFINET、EtherCAT和TSN的特点及边界。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素养层面：形成以时延、抖动、同步和可用性评价方案的意识。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讲授、时序图、协议比较、性能指标分析</w:t>
            </w:r>
          </w:p>
        </w:tc>
        <w:tc>
          <w:tcPr>
            <w:tcW w:type="dxa" w:w="12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1.4，2.4，3.4</w:t>
            </w:r>
          </w:p>
        </w:tc>
      </w:tr>
      <w:tr>
        <w:tc>
          <w:tcPr>
            <w:tcW w:type="dxa" w:w="13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第五单元 OPC UA、MQTT与OT/IT数据集成</w:t>
            </w:r>
          </w:p>
        </w:tc>
        <w:tc>
          <w:tcPr>
            <w:tcW w:type="dxa" w:w="1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OPC UA客户端/服务器、地址空间、节点、数据访问、订阅、信息模型和安全机制；MQTT发布/订阅、主题、QoS与Broker；边缘网关、协议适配、数据采集与上送；PLC/HMI/SCADA/MES/云平台数据链；信息模型、命名、时间戳和数据质量；OPC UA PubSub与MQTT定位比较。</w:t>
            </w:r>
          </w:p>
        </w:tc>
        <w:tc>
          <w:tcPr>
            <w:tcW w:type="dxa" w:w="6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通过工业数据越权、错误时间戳和语义不一致案例强调数据所有权、最小权限、真实记录和跨部门协作。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知识层面：掌握OPC UA与MQTT的基本交互模型。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能力层面：能够设计从设备到MES或边缘平台的数据点与接口链。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素养层面：形成语义一致、权限清楚和数据质量意识。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讲授、地址空间示意、数据点表、OT/IT集成案例</w:t>
            </w:r>
          </w:p>
        </w:tc>
        <w:tc>
          <w:tcPr>
            <w:tcW w:type="dxa" w:w="12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1.5，2.5，3.5</w:t>
            </w:r>
          </w:p>
        </w:tc>
      </w:tr>
      <w:tr>
        <w:tc>
          <w:tcPr>
            <w:tcW w:type="dxa" w:w="13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第六单元 网络诊断、可靠性、安全与方案设计</w:t>
            </w:r>
          </w:p>
        </w:tc>
        <w:tc>
          <w:tcPr>
            <w:tcW w:type="dxa" w:w="1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工业网络故障分层定位；物理链路、地址、VLAN、端口、协议、应用数据和设备状态的诊断顺序；Ping、ARP、抓包、端口统计和设备诊断的合规使用；冗余与可用性；工业网络分区分域、防火墙、白名单、账号权限、远程维护和备份；网络资产与配置基线；方案需求、拓扑、协议、性能、安全、测试和交付。</w:t>
            </w:r>
          </w:p>
        </w:tc>
        <w:tc>
          <w:tcPr>
            <w:tcW w:type="dxa" w:w="6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</w:t>
            </w:r>
          </w:p>
        </w:tc>
        <w:tc>
          <w:tcPr>
            <w:tcW w:type="dxa" w:w="40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思政融入点：</w:t>
            </w:r>
            <w:r>
              <w:rPr>
                <w:rFonts w:ascii="Times New Roman" w:hAnsi="Times New Roman" w:eastAsia="宋体"/>
                <w:b w:val="0"/>
                <w:sz w:val="17"/>
              </w:rPr>
              <w:t>以工业控制系统安全事件和未经授权扫描风险强调法律法规、最小权限、生产连续性和工程伦理。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预期学习成果：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知识层面：掌握分层诊断与基础防护思路。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能力层面：能够根据需求形成工业网络方案并设计验证清单。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素养层面：形成合法授权、最小影响、可恢复和持续学习意识。</w:t>
            </w:r>
          </w:p>
          <w:p>
            <w:pPr>
              <w:spacing w:line="247" w:lineRule="auto" w:before="0" w:after="0"/>
              <w:jc w:val="left"/>
            </w:pPr>
            <w:r>
              <w:rPr>
                <w:rFonts w:ascii="Times New Roman" w:hAnsi="Times New Roman" w:eastAsia="宋体"/>
                <w:b/>
                <w:sz w:val="17"/>
              </w:rPr>
              <w:t>教学方式：</w:t>
            </w:r>
            <w:r>
              <w:rPr>
                <w:rFonts w:ascii="Times New Roman" w:hAnsi="Times New Roman" w:eastAsia="宋体"/>
                <w:b w:val="0"/>
                <w:sz w:val="17"/>
              </w:rPr>
              <w:t>案例研讨、故障树、抓包演示、方案评审</w:t>
            </w:r>
          </w:p>
        </w:tc>
        <w:tc>
          <w:tcPr>
            <w:tcW w:type="dxa" w:w="12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目标 1.6，2.6，3.6</w:t>
            </w:r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理论总学时：48学时。</w:t>
      </w:r>
    </w:p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四、课程评价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（一）考核内容、考核方式与课程目标对应关系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本课程采用考查。总评由平时成绩20%、课程作业20%、期末考核60%构成。课程作业以协议与故障分析、拓扑与参数分析、阶段性数据链分析等作为主要学习证据；期末考核以工业网络综合方案报告为主体，并结合个人核验与答辩验证综合应用和独立解释能力，不增加笔试或机考。下表各考核列百分比是该项考核内部的教学内容分配，各列分别合计100%。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7"/>
        <w:gridCol w:w="834"/>
        <w:gridCol w:w="834"/>
        <w:gridCol w:w="834"/>
        <w:gridCol w:w="1072"/>
        <w:gridCol w:w="1072"/>
        <w:gridCol w:w="1072"/>
        <w:gridCol w:w="1609"/>
      </w:tblGrid>
      <w:tr>
        <w:trPr>
          <w:tblHeader w:val="true"/>
          <w:cantSplit/>
        </w:trPr>
        <w:tc>
          <w:tcPr>
            <w:tcW w:type="dxa" w:w="1727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83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总学时</w:t>
            </w:r>
          </w:p>
        </w:tc>
        <w:tc>
          <w:tcPr>
            <w:tcW w:type="dxa" w:w="83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理论学时</w:t>
            </w:r>
          </w:p>
        </w:tc>
        <w:tc>
          <w:tcPr>
            <w:tcW w:type="dxa" w:w="83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上机学时</w:t>
            </w:r>
          </w:p>
        </w:tc>
        <w:tc>
          <w:tcPr>
            <w:tcW w:type="dxa" w:w="107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平时成绩（20%）</w:t>
            </w:r>
          </w:p>
        </w:tc>
        <w:tc>
          <w:tcPr>
            <w:tcW w:type="dxa" w:w="107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课程作业（20%）</w:t>
            </w:r>
          </w:p>
        </w:tc>
        <w:tc>
          <w:tcPr>
            <w:tcW w:type="dxa" w:w="1072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期末考核（60%）</w:t>
            </w:r>
          </w:p>
        </w:tc>
        <w:tc>
          <w:tcPr>
            <w:tcW w:type="dxa" w:w="1609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72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工业网络体系与通信基础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60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c>
          <w:tcPr>
            <w:tcW w:type="dxa" w:w="172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现场总线与Modbus通信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60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1.2，2.2，3.2</w:t>
            </w:r>
          </w:p>
        </w:tc>
      </w:tr>
      <w:tr>
        <w:tc>
          <w:tcPr>
            <w:tcW w:type="dxa" w:w="172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工业以太网与交换网络设计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1.3，2.3，3.3</w:t>
            </w:r>
          </w:p>
        </w:tc>
      </w:tr>
      <w:tr>
        <w:tc>
          <w:tcPr>
            <w:tcW w:type="dxa" w:w="172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实时工业以太网、EtherCAT与TSN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c>
          <w:tcPr>
            <w:tcW w:type="dxa" w:w="172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OPC UA、MQTT与OT/IT数据集成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1.5，2.5，3.5</w:t>
            </w:r>
          </w:p>
        </w:tc>
      </w:tr>
      <w:tr>
        <w:tc>
          <w:tcPr>
            <w:tcW w:type="dxa" w:w="172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网络诊断、可靠性、安全与方案设计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160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1.6，2.6，3.6</w:t>
            </w:r>
          </w:p>
        </w:tc>
      </w:tr>
      <w:tr>
        <w:tc>
          <w:tcPr>
            <w:tcW w:type="dxa" w:w="1727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48</w:t>
            </w:r>
          </w:p>
        </w:tc>
        <w:tc>
          <w:tcPr>
            <w:tcW w:type="dxa" w:w="83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0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1072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1609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全部课程目标</w:t>
            </w:r>
          </w:p>
        </w:tc>
      </w:tr>
    </w:tbl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（二）考核方式与评分标准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1.考核方式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考查。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2.评分说明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各项按百分制评分。总评成绩=平时成绩×20%＋课程作业×20%＋期末考核×60%。课程作业主要承接协议与故障分析、拓扑与参数分析、阶段性数据链分析等学习证据；期末考核采用工业网络综合方案报告，并通过个人核验与答辩验证学生对本人方案、协议选择、故障定位、修改验证和资料依据的独立解释能力。培养方案没有实验、上机和项目式学时，报告、抓包分析、仿真、配置或网络工具演示均属于理论课程中的课堂分析或考核学习证据，不另计实践、实验、上机或项目式学时。所有抓包、仿真、配置或网络工具演示均须在授权环境或教师提供数据上完成，不以未经授权的真实工业网络扫描作为考核内容。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各评分指标按共用档级判定：优秀90—100分，原理正确、证据充分、方案完整且能独立解释；良好80—89分，主要内容正确、证据完整，少量非关键缺陷；中等70—79分，完成基本分析与方案，边界或论证不够充分；及格60—69分，在指导下完成基本要求，但诊断、验证或文档较弱；不及格0—59分，核心分析错误、方案不可实施、无有效证据或无法解释本人提交内容。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3.评分标准分项说明</w:t>
      </w:r>
    </w:p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（1）平时成绩评分标准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评分指标</w:t>
            </w:r>
          </w:p>
        </w:tc>
        <w:tc>
          <w:tcPr>
            <w:tcW w:type="dxa" w:w="9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指标权重</w:t>
            </w:r>
          </w:p>
        </w:tc>
        <w:tc>
          <w:tcPr>
            <w:tcW w:type="dxa" w:w="51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评分要求</w:t>
            </w:r>
          </w:p>
        </w:tc>
        <w:tc>
          <w:tcPr>
            <w:tcW w:type="dxa" w:w="135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课堂参与与概念理解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40%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准确使用工业网络术语，完成拓扑、协议和性能问题分析并说明依据。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过程记录与资料规范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35%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课堂笔记、协议表、拓扑图和资料来源完整，参数、单位、版本和引用可追溯。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安全、协作与学习责任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遵守网络访问和设备操作边界，主动反馈不确定项，能够查阅标准或手册并参与讨论。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（2）课程作业评分标准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9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成绩占比</w:t>
            </w:r>
          </w:p>
        </w:tc>
        <w:tc>
          <w:tcPr>
            <w:tcW w:type="dxa" w:w="51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评分要求</w:t>
            </w:r>
          </w:p>
        </w:tc>
        <w:tc>
          <w:tcPr>
            <w:tcW w:type="dxa" w:w="135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通信基础与拓扑分析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从层级、地址、链路和性能指标分析工业网络问题。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Modbus/现场总线分析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依据帧、功能码、寄存器或站点配置判断通信问题。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1.2，2.2，3.2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工业以太网与PROFINET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分析交换、VLAN、设备关系和周期通信问题。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1.3，2.3，3.3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实时网络比较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依据实时性、同步和拓扑要求比较PROFINET、EtherCAT与TSN。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OPC UA/MQTT数据链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识别客户端/服务器或发布/订阅关系，检查数据点、时间戳和权限。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1.5，2.5，3.5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诊断与安全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按分层顺序定位故障，并提出不破坏生产的验证与安全措施。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60" w:after="20"/>
      </w:pPr>
      <w:r>
        <w:rPr>
          <w:rFonts w:ascii="Times New Roman" w:hAnsi="Times New Roman" w:eastAsia="宋体"/>
          <w:b/>
          <w:sz w:val="21"/>
        </w:rPr>
        <w:t>（3）期末考核评分标准</w:t>
      </w:r>
    </w:p>
    <w:tbl>
      <w:tblPr>
        <w:tblW w:type="dxa" w:w="905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900"/>
        <w:gridCol w:w="5100"/>
        <w:gridCol w:w="1354"/>
      </w:tblGrid>
      <w:tr>
        <w:trPr>
          <w:tblHeader w:val="true"/>
          <w:cantSplit/>
        </w:trPr>
        <w:tc>
          <w:tcPr>
            <w:tcW w:type="dxa" w:w="17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考核内容</w:t>
            </w:r>
          </w:p>
        </w:tc>
        <w:tc>
          <w:tcPr>
            <w:tcW w:type="dxa" w:w="9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成绩占比</w:t>
            </w:r>
          </w:p>
        </w:tc>
        <w:tc>
          <w:tcPr>
            <w:tcW w:type="dxa" w:w="5100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评分要求</w:t>
            </w:r>
          </w:p>
        </w:tc>
        <w:tc>
          <w:tcPr>
            <w:tcW w:type="dxa" w:w="1354"/>
            <w:tcMar>
              <w:top w:w="40" w:type="dxa"/>
              <w:start w:w="45" w:type="dxa"/>
              <w:bottom w:w="40" w:type="dxa"/>
              <w:end w:w="45" w:type="dxa"/>
            </w:tcMar>
            <w:vAlign w:val="center"/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课程目标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需求、资产与网络分层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明确设备、数据流、实时性、可用性和运维需求，网络层级与边界清楚。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1.1，2.1，3.1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现场层协议与数据点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现场总线或Modbus选择有依据，站点、寄存器或数据点表清楚。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1.2，2.2，3.2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工业以太网拓扑与冗余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交换、VLAN、地址、PROFINET关系和冗余方案合理。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1.3，2.3，3.3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实时性与确定性设计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说明关键数据周期、时延、同步和网络技术选择依据。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1.4，2.4，3.4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OT/IT集成与数据语义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OPC UA/MQTT/边缘网关的数据链、命名、时间戳和权限设计一致。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1.5，2.5，3.5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诊断、安全与验收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15%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故障定位流程、分区分域、访问控制、备份恢复和验收清单完整。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目标 1.6，2.6，3.6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个人核验与答辩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20%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独立解释本人方案中的网络层级、协议、地址、实时性和数据流；针对给定故障或需求变更说明修改与验证步骤、风险及资料依据，并说明个人完成内容。</w:t>
            </w:r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全部课程目标</w:t>
            </w:r>
          </w:p>
        </w:tc>
      </w:tr>
      <w:tr>
        <w:tc>
          <w:tcPr>
            <w:tcW w:type="dxa" w:w="17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合计</w:t>
            </w:r>
          </w:p>
        </w:tc>
        <w:tc>
          <w:tcPr>
            <w:tcW w:type="dxa" w:w="9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100%</w:t>
            </w:r>
          </w:p>
        </w:tc>
        <w:tc>
          <w:tcPr>
            <w:tcW w:type="dxa" w:w="5100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  <w:tc>
          <w:tcPr>
            <w:tcW w:type="dxa" w:w="1354"/>
            <w:vAlign w:val="center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line="247" w:lineRule="auto" w:before="0" w:after="0"/>
              <w:jc w:val="left"/>
            </w:pPr>
            <w:r/>
          </w:p>
        </w:tc>
      </w:tr>
    </w:tbl>
    <w:p>
      <w:pPr>
        <w:keepNext/>
        <w:spacing w:line="283" w:lineRule="auto" w:before="100" w:after="60"/>
      </w:pPr>
      <w:r>
        <w:rPr>
          <w:rFonts w:ascii="Times New Roman" w:hAnsi="Times New Roman" w:eastAsia="黑体"/>
          <w:b/>
          <w:sz w:val="28"/>
        </w:rPr>
        <w:t>五、参考书目及学习资料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（一）选用教材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邬贺铨, 于海斌, 杨善林. 工业互联网技术[M]. 北京：机械工业出版社，2025. ISBN 9787111776352</w:t>
      </w:r>
    </w:p>
    <w:p>
      <w:pPr>
        <w:keepNext/>
        <w:spacing w:line="283" w:lineRule="auto" w:before="80" w:after="40"/>
      </w:pPr>
      <w:r>
        <w:rPr>
          <w:rFonts w:ascii="Times New Roman" w:hAnsi="Times New Roman" w:eastAsia="宋体"/>
          <w:b/>
          <w:sz w:val="24"/>
        </w:rPr>
        <w:t>（二）学习资料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[1] 王春峰, 朱铝芬. 工业控制网络技术应用[M]. 北京：机械工业出版社，2025. ISBN 9787111772804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[2] 鲁子卉, 唐敏. 工业网络与组态技术[M]. 北京：机械工业出版社，2024. ISBN 9787111764540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[3] 孔宪光. 工业边缘计算[M]. 北京：机械工业出版社，2025. ISBN 9787111769248</w:t>
      </w:r>
    </w:p>
    <w:p>
      <w:pPr>
        <w:spacing w:line="283" w:lineRule="auto" w:before="0" w:after="20"/>
        <w:jc w:val="left"/>
      </w:pPr>
      <w:r>
        <w:rPr>
          <w:rFonts w:ascii="Times New Roman" w:hAnsi="Times New Roman" w:eastAsia="宋体"/>
          <w:b w:val="0"/>
          <w:sz w:val="21"/>
        </w:rPr>
        <w:t>[4] 刘科, 王峰. 工业网络及应用技术[M]. 北京：高等教育出版社，2022. ISBN 9787040561869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制定人：________________　审定人：________________　批准人：________________</w:t>
      </w:r>
    </w:p>
    <w:p>
      <w:pPr>
        <w:spacing w:line="283" w:lineRule="auto" w:before="0" w:after="20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日期：________________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《工业网络技术及应用》课程教学大纲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