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jc w:val="center"/>
      </w:pPr>
      <w:r>
        <w:rPr>
          <w:rFonts w:ascii="Times New Roman" w:hAnsi="Times New Roman" w:eastAsia="宋体" w:hint="eastAsia"/>
          <w:b/>
          <w:sz w:val="32"/>
          <w:lang w:eastAsia="zh-CN" w:val="zh-CN" w:bidi="ar-SA"/>
        </w:rPr>
        <w:t>《智能制造装备》课程教学大纲</w:t>
      </w:r>
    </w:p>
    <w:p>
      <w:pPr>
        <w:keepNext/>
        <w:spacing w:before="0" w:after="0" w:line="240" w:lineRule="auto"/>
        <w:jc w:val="left"/>
      </w:pPr>
      <w:r>
        <w:rPr>
          <w:rFonts w:ascii="Times New Roman" w:hAnsi="Times New Roman" w:eastAsia="宋体" w:hint="eastAsia"/>
          <w:b/>
          <w:sz w:val="28"/>
          <w:lang w:eastAsia="zh-CN" w:val="zh-CN" w:bidi="ar-SA"/>
        </w:rPr>
        <w:t>一、课程基本信息</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931"/>
        <w:gridCol w:w="1634"/>
        <w:gridCol w:w="1215"/>
        <w:gridCol w:w="1104"/>
        <w:gridCol w:w="477"/>
        <w:gridCol w:w="627"/>
        <w:gridCol w:w="1033"/>
        <w:gridCol w:w="1033"/>
      </w:tblGrid>
      <w:tr>
        <w:tc>
          <w:tcPr>
            <w:tcW w:type="dxa" w:w="1931"/>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8"/>
                <w:lang w:eastAsia="zh-CN" w:val="zh-CN" w:bidi="ar-SA"/>
              </w:rPr>
              <w:t>课程名称（中英文）</w:t>
            </w:r>
          </w:p>
        </w:tc>
        <w:tc>
          <w:tcPr>
            <w:tcW w:type="dxa" w:w="7123"/>
            <w:vAlign w:val="center"/>
            <w:gridSpan w:val="7"/>
            <w:tcMar>
              <w:top w:w="60" w:type="dxa"/>
              <w:bottom w:w="60" w:type="dxa"/>
              <w:start w:w="65" w:type="dxa"/>
              <w:end w:w="65" w:type="dxa"/>
            </w:tcMar>
          </w:tcPr>
          <w:p>
            <w:pPr>
              <w:keepNext w:val="0"/>
              <w:spacing w:before="0" w:after="0" w:line="240" w:lineRule="auto"/>
              <w:jc w:val="center"/>
            </w:pPr>
            <w:r>
              <w:rPr>
                <w:rFonts w:ascii="Times New Roman" w:hAnsi="Times New Roman" w:eastAsia="宋体" w:hint="eastAsia"/>
                <w:b w:val="0"/>
                <w:sz w:val="18"/>
                <w:lang w:eastAsia="zh-CN" w:val="zh-CN" w:bidi="ar-SA"/>
              </w:rPr>
              <w:t>智能制造装备 / Intelligent Manufacturing Equipment</w:t>
            </w:r>
          </w:p>
        </w:tc>
      </w:tr>
      <w:tr>
        <w:tc>
          <w:tcPr>
            <w:tcW w:type="dxa" w:w="1931"/>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8"/>
                <w:lang w:eastAsia="zh-CN" w:val="zh-CN" w:bidi="ar-SA"/>
              </w:rPr>
              <w:t>课程代码</w:t>
            </w:r>
          </w:p>
        </w:tc>
        <w:tc>
          <w:tcPr>
            <w:tcW w:type="dxa" w:w="2849"/>
            <w:vAlign w:val="center"/>
            <w:gridSpan w:val="2"/>
            <w:tcMar>
              <w:top w:w="60" w:type="dxa"/>
              <w:bottom w:w="60" w:type="dxa"/>
              <w:start w:w="65" w:type="dxa"/>
              <w:end w:w="65" w:type="dxa"/>
            </w:tcMar>
          </w:tcPr>
          <w:p>
            <w:pPr>
              <w:keepNext w:val="0"/>
              <w:spacing w:before="0" w:after="0" w:line="240" w:lineRule="auto"/>
              <w:jc w:val="center"/>
            </w:pPr>
            <w:r>
              <w:rPr>
                <w:rFonts w:ascii="Times New Roman" w:hAnsi="Times New Roman" w:eastAsia="宋体" w:hint="eastAsia"/>
                <w:b w:val="0"/>
                <w:sz w:val="18"/>
                <w:lang w:eastAsia="zh-CN" w:val="zh-CN" w:bidi="ar-SA"/>
              </w:rPr>
              <w:t>25JD32408</w:t>
            </w:r>
          </w:p>
        </w:tc>
        <w:tc>
          <w:tcPr>
            <w:tcW w:type="dxa" w:w="1581"/>
            <w:vAlign w:val="center"/>
            <w:gridSpan w:val="2"/>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8"/>
                <w:lang w:eastAsia="zh-CN" w:val="zh-CN" w:bidi="ar-SA"/>
              </w:rPr>
              <w:t>课程类别</w:t>
            </w:r>
          </w:p>
        </w:tc>
        <w:tc>
          <w:tcPr>
            <w:tcW w:type="dxa" w:w="2693"/>
            <w:vAlign w:val="center"/>
            <w:gridSpan w:val="3"/>
            <w:tcMar>
              <w:top w:w="60" w:type="dxa"/>
              <w:bottom w:w="60" w:type="dxa"/>
              <w:start w:w="65" w:type="dxa"/>
              <w:end w:w="65" w:type="dxa"/>
            </w:tcMar>
          </w:tcPr>
          <w:p>
            <w:pPr>
              <w:keepNext w:val="0"/>
              <w:spacing w:before="0" w:after="0" w:line="240" w:lineRule="auto"/>
              <w:jc w:val="center"/>
            </w:pPr>
            <w:r>
              <w:rPr>
                <w:rFonts w:ascii="Times New Roman" w:hAnsi="Times New Roman" w:eastAsia="宋体" w:hint="eastAsia"/>
                <w:b w:val="0"/>
                <w:sz w:val="18"/>
                <w:lang w:eastAsia="zh-CN" w:val="zh-CN" w:bidi="ar-SA"/>
              </w:rPr>
              <w:t>专业类</w:t>
            </w:r>
          </w:p>
        </w:tc>
      </w:tr>
      <w:tr>
        <w:tc>
          <w:tcPr>
            <w:tcW w:type="dxa" w:w="1931"/>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8"/>
                <w:lang w:eastAsia="zh-CN" w:val="zh-CN" w:bidi="ar-SA"/>
              </w:rPr>
              <w:t>课程性质</w:t>
            </w:r>
          </w:p>
        </w:tc>
        <w:tc>
          <w:tcPr>
            <w:tcW w:type="dxa" w:w="2849"/>
            <w:vAlign w:val="center"/>
            <w:gridSpan w:val="2"/>
            <w:tcMar>
              <w:top w:w="60" w:type="dxa"/>
              <w:bottom w:w="60" w:type="dxa"/>
              <w:start w:w="65" w:type="dxa"/>
              <w:end w:w="65" w:type="dxa"/>
            </w:tcMar>
          </w:tcPr>
          <w:p>
            <w:pPr>
              <w:keepNext w:val="0"/>
              <w:spacing w:before="0" w:after="0" w:line="240" w:lineRule="auto"/>
              <w:jc w:val="center"/>
            </w:pPr>
            <w:r>
              <w:rPr>
                <w:rFonts w:ascii="Times New Roman" w:hAnsi="Times New Roman" w:eastAsia="宋体" w:hint="eastAsia"/>
                <w:b w:val="0"/>
                <w:sz w:val="18"/>
                <w:lang w:eastAsia="zh-CN" w:val="zh-CN" w:bidi="ar-SA"/>
              </w:rPr>
              <w:t>选修课</w:t>
            </w:r>
          </w:p>
        </w:tc>
        <w:tc>
          <w:tcPr>
            <w:tcW w:type="dxa" w:w="1581"/>
            <w:vAlign w:val="center"/>
            <w:gridSpan w:val="2"/>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8"/>
                <w:lang w:eastAsia="zh-CN" w:val="zh-CN" w:bidi="ar-SA"/>
              </w:rPr>
              <w:t>授课语言</w:t>
            </w:r>
          </w:p>
        </w:tc>
        <w:tc>
          <w:tcPr>
            <w:tcW w:type="dxa" w:w="2693"/>
            <w:vAlign w:val="center"/>
            <w:gridSpan w:val="3"/>
            <w:tcMar>
              <w:top w:w="60" w:type="dxa"/>
              <w:bottom w:w="60" w:type="dxa"/>
              <w:start w:w="65" w:type="dxa"/>
              <w:end w:w="65" w:type="dxa"/>
            </w:tcMar>
          </w:tcPr>
          <w:p>
            <w:pPr>
              <w:keepNext w:val="0"/>
              <w:spacing w:before="0" w:after="0" w:line="240" w:lineRule="auto"/>
              <w:jc w:val="center"/>
            </w:pPr>
            <w:r>
              <w:rPr>
                <w:rFonts w:ascii="Times New Roman" w:hAnsi="Times New Roman" w:eastAsia="宋体" w:hint="eastAsia"/>
                <w:b w:val="0"/>
                <w:sz w:val="18"/>
                <w:lang w:eastAsia="zh-CN" w:val="zh-CN" w:bidi="ar-SA"/>
              </w:rPr>
              <w:t>中文</w:t>
            </w:r>
          </w:p>
        </w:tc>
      </w:tr>
      <w:tr>
        <w:tc>
          <w:tcPr>
            <w:tcW w:type="dxa" w:w="1931"/>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8"/>
                <w:lang w:eastAsia="zh-CN" w:val="zh-CN" w:bidi="ar-SA"/>
              </w:rPr>
              <w:t>授课学期</w:t>
            </w:r>
          </w:p>
        </w:tc>
        <w:tc>
          <w:tcPr>
            <w:tcW w:type="dxa" w:w="2849"/>
            <w:vAlign w:val="center"/>
            <w:gridSpan w:val="2"/>
            <w:tcMar>
              <w:top w:w="60" w:type="dxa"/>
              <w:bottom w:w="60" w:type="dxa"/>
              <w:start w:w="65" w:type="dxa"/>
              <w:end w:w="65" w:type="dxa"/>
            </w:tcMar>
          </w:tcPr>
          <w:p>
            <w:pPr>
              <w:keepNext w:val="0"/>
              <w:spacing w:before="0" w:after="0" w:line="240" w:lineRule="auto"/>
              <w:jc w:val="center"/>
            </w:pPr>
            <w:r>
              <w:rPr>
                <w:rFonts w:ascii="Times New Roman" w:hAnsi="Times New Roman" w:eastAsia="宋体" w:hint="eastAsia"/>
                <w:b w:val="0"/>
                <w:sz w:val="18"/>
                <w:lang w:eastAsia="zh-CN" w:val="zh-CN" w:bidi="ar-SA"/>
              </w:rPr>
              <w:t>第7学期</w:t>
            </w:r>
          </w:p>
        </w:tc>
        <w:tc>
          <w:tcPr>
            <w:tcW w:type="dxa" w:w="1581"/>
            <w:vAlign w:val="center"/>
            <w:gridSpan w:val="2"/>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8"/>
                <w:lang w:eastAsia="zh-CN" w:val="zh-CN" w:bidi="ar-SA"/>
              </w:rPr>
              <w:t>学分</w:t>
            </w:r>
          </w:p>
        </w:tc>
        <w:tc>
          <w:tcPr>
            <w:tcW w:type="dxa" w:w="2693"/>
            <w:vAlign w:val="center"/>
            <w:gridSpan w:val="3"/>
            <w:tcMar>
              <w:top w:w="60" w:type="dxa"/>
              <w:bottom w:w="60" w:type="dxa"/>
              <w:start w:w="65" w:type="dxa"/>
              <w:end w:w="65" w:type="dxa"/>
            </w:tcMar>
          </w:tcPr>
          <w:p>
            <w:pPr>
              <w:keepNext w:val="0"/>
              <w:spacing w:before="0" w:after="0" w:line="240" w:lineRule="auto"/>
              <w:jc w:val="center"/>
            </w:pPr>
            <w:r>
              <w:rPr>
                <w:rFonts w:ascii="Times New Roman" w:hAnsi="Times New Roman" w:eastAsia="宋体" w:hint="eastAsia"/>
                <w:b w:val="0"/>
                <w:sz w:val="18"/>
                <w:lang w:eastAsia="zh-CN" w:val="zh-CN" w:bidi="ar-SA"/>
              </w:rPr>
              <w:t>2</w:t>
            </w:r>
          </w:p>
        </w:tc>
      </w:tr>
      <w:tr>
        <w:tc>
          <w:tcPr>
            <w:tcW w:type="dxa" w:w="1931"/>
            <w:vAlign w:val="center"/>
            <w:vMerge w:val="restart"/>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8"/>
                <w:lang w:eastAsia="zh-CN" w:val="zh-CN" w:bidi="ar-SA"/>
              </w:rPr>
              <w:t>课程学时及分配</w:t>
            </w:r>
          </w:p>
        </w:tc>
        <w:tc>
          <w:tcPr>
            <w:tcW w:type="dxa" w:w="1634"/>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7"/>
                <w:lang w:eastAsia="zh-CN" w:val="zh-CN" w:bidi="ar-SA"/>
              </w:rPr>
              <w:t>总学时</w:t>
            </w:r>
          </w:p>
        </w:tc>
        <w:tc>
          <w:tcPr>
            <w:tcW w:type="dxa" w:w="1215"/>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7"/>
                <w:lang w:eastAsia="zh-CN" w:val="zh-CN" w:bidi="ar-SA"/>
              </w:rPr>
              <w:t>理论</w:t>
            </w:r>
          </w:p>
        </w:tc>
        <w:tc>
          <w:tcPr>
            <w:tcW w:type="dxa" w:w="1104"/>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7"/>
                <w:lang w:eastAsia="zh-CN" w:val="zh-CN" w:bidi="ar-SA"/>
              </w:rPr>
              <w:t>实践</w:t>
            </w:r>
          </w:p>
        </w:tc>
        <w:tc>
          <w:tcPr>
            <w:tcW w:type="dxa" w:w="1104"/>
            <w:vAlign w:val="center"/>
            <w:gridSpan w:val="2"/>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7"/>
                <w:lang w:eastAsia="zh-CN" w:val="zh-CN" w:bidi="ar-SA"/>
              </w:rPr>
              <w:t>实验</w:t>
            </w:r>
          </w:p>
        </w:tc>
        <w:tc>
          <w:tcPr>
            <w:tcW w:type="dxa" w:w="1033"/>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7"/>
                <w:lang w:eastAsia="zh-CN" w:val="zh-CN" w:bidi="ar-SA"/>
              </w:rPr>
              <w:t>上机</w:t>
            </w:r>
          </w:p>
        </w:tc>
        <w:tc>
          <w:tcPr>
            <w:tcW w:type="dxa" w:w="1033"/>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7"/>
                <w:lang w:eastAsia="zh-CN" w:val="zh-CN" w:bidi="ar-SA"/>
              </w:rPr>
              <w:t>项目式</w:t>
            </w:r>
          </w:p>
        </w:tc>
      </w:tr>
      <w:tr>
        <w:tc>
          <w:tcPr>
            <w:tcW w:type="dxa" w:w="1931"/>
            <w:vAlign w:val="center"/>
            <w:vMerge/>
            <w:tcMar>
              <w:top w:w="60" w:type="dxa"/>
              <w:bottom w:w="60" w:type="dxa"/>
              <w:start w:w="65" w:type="dxa"/>
              <w:end w:w="65" w:type="dxa"/>
            </w:tcMar>
          </w:tcPr>
          <w:p/>
        </w:tc>
        <w:tc>
          <w:tcPr>
            <w:tcW w:type="dxa" w:w="1634"/>
            <w:vAlign w:val="center"/>
            <w:tcMar>
              <w:top w:w="60" w:type="dxa"/>
              <w:bottom w:w="60" w:type="dxa"/>
              <w:start w:w="65" w:type="dxa"/>
              <w:end w:w="65" w:type="dxa"/>
            </w:tcMar>
          </w:tcPr>
          <w:p>
            <w:pPr>
              <w:keepNext w:val="0"/>
              <w:spacing w:before="0" w:after="0" w:line="240" w:lineRule="auto"/>
              <w:jc w:val="center"/>
            </w:pPr>
            <w:r>
              <w:rPr>
                <w:rFonts w:ascii="Times New Roman" w:hAnsi="Times New Roman" w:eastAsia="宋体" w:hint="eastAsia"/>
                <w:b w:val="0"/>
                <w:sz w:val="18"/>
                <w:lang w:eastAsia="zh-CN" w:val="zh-CN" w:bidi="ar-SA"/>
              </w:rPr>
              <w:t>32</w:t>
            </w:r>
          </w:p>
        </w:tc>
        <w:tc>
          <w:tcPr>
            <w:tcW w:type="dxa" w:w="1215"/>
            <w:vAlign w:val="center"/>
            <w:tcMar>
              <w:top w:w="60" w:type="dxa"/>
              <w:bottom w:w="60" w:type="dxa"/>
              <w:start w:w="65" w:type="dxa"/>
              <w:end w:w="65" w:type="dxa"/>
            </w:tcMar>
          </w:tcPr>
          <w:p>
            <w:pPr>
              <w:keepNext w:val="0"/>
              <w:spacing w:before="0" w:after="0" w:line="240" w:lineRule="auto"/>
              <w:jc w:val="center"/>
            </w:pPr>
            <w:r>
              <w:rPr>
                <w:rFonts w:ascii="Times New Roman" w:hAnsi="Times New Roman" w:eastAsia="宋体" w:hint="eastAsia"/>
                <w:b w:val="0"/>
                <w:sz w:val="18"/>
                <w:lang w:eastAsia="zh-CN" w:val="zh-CN" w:bidi="ar-SA"/>
              </w:rPr>
              <w:t>32</w:t>
            </w:r>
          </w:p>
        </w:tc>
        <w:tc>
          <w:tcPr>
            <w:tcW w:type="dxa" w:w="1104"/>
            <w:vAlign w:val="center"/>
            <w:tcMar>
              <w:top w:w="60" w:type="dxa"/>
              <w:bottom w:w="60" w:type="dxa"/>
              <w:start w:w="65" w:type="dxa"/>
              <w:end w:w="65" w:type="dxa"/>
            </w:tcMar>
          </w:tcPr>
          <w:p>
            <w:pPr>
              <w:keepNext w:val="0"/>
              <w:spacing w:before="0" w:after="0" w:line="240" w:lineRule="auto"/>
              <w:jc w:val="center"/>
            </w:pPr>
            <w:r>
              <w:rPr>
                <w:rFonts w:ascii="Times New Roman" w:hAnsi="Times New Roman" w:eastAsia="宋体" w:hint="eastAsia"/>
                <w:b w:val="0"/>
                <w:sz w:val="18"/>
                <w:lang w:eastAsia="zh-CN" w:val="zh-CN" w:bidi="ar-SA"/>
              </w:rPr>
              <w:t>0</w:t>
            </w:r>
          </w:p>
        </w:tc>
        <w:tc>
          <w:tcPr>
            <w:tcW w:type="dxa" w:w="1104"/>
            <w:vAlign w:val="center"/>
            <w:gridSpan w:val="2"/>
            <w:tcMar>
              <w:top w:w="60" w:type="dxa"/>
              <w:bottom w:w="60" w:type="dxa"/>
              <w:start w:w="65" w:type="dxa"/>
              <w:end w:w="65" w:type="dxa"/>
            </w:tcMar>
          </w:tcPr>
          <w:p>
            <w:pPr>
              <w:keepNext w:val="0"/>
              <w:spacing w:before="0" w:after="0" w:line="240" w:lineRule="auto"/>
              <w:jc w:val="center"/>
            </w:pPr>
            <w:r>
              <w:rPr>
                <w:rFonts w:ascii="Times New Roman" w:hAnsi="Times New Roman" w:eastAsia="宋体" w:hint="eastAsia"/>
                <w:b w:val="0"/>
                <w:sz w:val="18"/>
                <w:lang w:eastAsia="zh-CN" w:val="zh-CN" w:bidi="ar-SA"/>
              </w:rPr>
              <w:t>0</w:t>
            </w:r>
          </w:p>
        </w:tc>
        <w:tc>
          <w:tcPr>
            <w:tcW w:type="dxa" w:w="1033"/>
            <w:vAlign w:val="center"/>
            <w:tcMar>
              <w:top w:w="60" w:type="dxa"/>
              <w:bottom w:w="60" w:type="dxa"/>
              <w:start w:w="65" w:type="dxa"/>
              <w:end w:w="65" w:type="dxa"/>
            </w:tcMar>
          </w:tcPr>
          <w:p>
            <w:pPr>
              <w:keepNext w:val="0"/>
              <w:spacing w:before="0" w:after="0" w:line="240" w:lineRule="auto"/>
              <w:jc w:val="center"/>
            </w:pPr>
            <w:r>
              <w:rPr>
                <w:rFonts w:ascii="Times New Roman" w:hAnsi="Times New Roman" w:eastAsia="宋体" w:hint="eastAsia"/>
                <w:b w:val="0"/>
                <w:sz w:val="18"/>
                <w:lang w:eastAsia="zh-CN" w:val="zh-CN" w:bidi="ar-SA"/>
              </w:rPr>
              <w:t>0</w:t>
            </w:r>
          </w:p>
        </w:tc>
        <w:tc>
          <w:tcPr>
            <w:tcW w:type="dxa" w:w="1033"/>
            <w:vAlign w:val="center"/>
            <w:tcMar>
              <w:top w:w="60" w:type="dxa"/>
              <w:bottom w:w="60" w:type="dxa"/>
              <w:start w:w="65" w:type="dxa"/>
              <w:end w:w="65" w:type="dxa"/>
            </w:tcMar>
          </w:tcPr>
          <w:p>
            <w:pPr>
              <w:keepNext w:val="0"/>
              <w:spacing w:before="0" w:after="0" w:line="240" w:lineRule="auto"/>
              <w:jc w:val="center"/>
            </w:pPr>
            <w:r>
              <w:rPr>
                <w:rFonts w:ascii="Times New Roman" w:hAnsi="Times New Roman" w:eastAsia="宋体" w:hint="eastAsia"/>
                <w:b w:val="0"/>
                <w:sz w:val="18"/>
                <w:lang w:eastAsia="zh-CN" w:val="zh-CN" w:bidi="ar-SA"/>
              </w:rPr>
              <w:t>0</w:t>
            </w:r>
          </w:p>
        </w:tc>
      </w:tr>
      <w:tr>
        <w:tc>
          <w:tcPr>
            <w:tcW w:type="dxa" w:w="1931"/>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8"/>
                <w:lang w:eastAsia="zh-CN" w:val="zh-CN" w:bidi="ar-SA"/>
              </w:rPr>
              <w:t>适用专业</w:t>
            </w:r>
          </w:p>
        </w:tc>
        <w:tc>
          <w:tcPr>
            <w:tcW w:type="dxa" w:w="7123"/>
            <w:vAlign w:val="center"/>
            <w:gridSpan w:val="7"/>
            <w:tcMar>
              <w:top w:w="60" w:type="dxa"/>
              <w:bottom w:w="60" w:type="dxa"/>
              <w:start w:w="65" w:type="dxa"/>
              <w:end w:w="65" w:type="dxa"/>
            </w:tcMar>
          </w:tcPr>
          <w:p>
            <w:pPr>
              <w:keepNext w:val="0"/>
              <w:spacing w:before="0" w:after="0" w:line="240" w:lineRule="auto"/>
              <w:jc w:val="center"/>
            </w:pPr>
            <w:r>
              <w:rPr>
                <w:rFonts w:ascii="Times New Roman" w:hAnsi="Times New Roman" w:eastAsia="宋体" w:hint="eastAsia"/>
                <w:b w:val="0"/>
                <w:sz w:val="17"/>
                <w:lang w:eastAsia="zh-CN" w:val="zh-CN" w:bidi="ar-SA"/>
              </w:rPr>
              <w:t>智能制造工程</w:t>
            </w:r>
          </w:p>
        </w:tc>
      </w:tr>
      <w:tr>
        <w:tc>
          <w:tcPr>
            <w:tcW w:type="dxa" w:w="1931"/>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8"/>
                <w:lang w:eastAsia="zh-CN" w:val="zh-CN" w:bidi="ar-SA"/>
              </w:rPr>
              <w:t>授课学院</w:t>
            </w:r>
          </w:p>
        </w:tc>
        <w:tc>
          <w:tcPr>
            <w:tcW w:type="dxa" w:w="7123"/>
            <w:vAlign w:val="center"/>
            <w:gridSpan w:val="7"/>
            <w:tcMar>
              <w:top w:w="60" w:type="dxa"/>
              <w:bottom w:w="60" w:type="dxa"/>
              <w:start w:w="65" w:type="dxa"/>
              <w:end w:w="65" w:type="dxa"/>
            </w:tcMar>
          </w:tcPr>
          <w:p>
            <w:pPr>
              <w:keepNext w:val="0"/>
              <w:spacing w:before="0" w:after="0" w:line="240" w:lineRule="auto"/>
              <w:jc w:val="center"/>
            </w:pPr>
            <w:r>
              <w:rPr>
                <w:rFonts w:ascii="Times New Roman" w:hAnsi="Times New Roman" w:eastAsia="宋体" w:hint="eastAsia"/>
                <w:b w:val="0"/>
                <w:sz w:val="17"/>
                <w:lang w:eastAsia="zh-CN" w:val="zh-CN" w:bidi="ar-SA"/>
              </w:rPr>
              <w:t>机械与动力工程学院</w:t>
            </w:r>
          </w:p>
        </w:tc>
      </w:tr>
      <w:tr>
        <w:tc>
          <w:tcPr>
            <w:tcW w:type="dxa" w:w="1931"/>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8"/>
                <w:lang w:eastAsia="zh-CN" w:val="zh-CN" w:bidi="ar-SA"/>
              </w:rPr>
              <w:t>先修课程</w:t>
            </w:r>
          </w:p>
        </w:tc>
        <w:tc>
          <w:tcPr>
            <w:tcW w:type="dxa" w:w="7123"/>
            <w:vAlign w:val="center"/>
            <w:gridSpan w:val="7"/>
            <w:tcMar>
              <w:top w:w="60" w:type="dxa"/>
              <w:bottom w:w="60" w:type="dxa"/>
              <w:start w:w="65" w:type="dxa"/>
              <w:end w:w="65" w:type="dxa"/>
            </w:tcMar>
          </w:tcPr>
          <w:p>
            <w:pPr>
              <w:keepNext w:val="0"/>
              <w:spacing w:before="0" w:after="0" w:line="240" w:lineRule="auto"/>
              <w:jc w:val="left"/>
            </w:pPr>
            <w:r>
              <w:rPr>
                <w:rFonts w:ascii="Times New Roman" w:hAnsi="Times New Roman" w:eastAsia="宋体" w:hint="eastAsia"/>
                <w:b w:val="0"/>
                <w:sz w:val="17"/>
                <w:lang w:eastAsia="zh-CN" w:val="zh-CN" w:bidi="ar-SA"/>
              </w:rPr>
              <w:t>数控技术、人工智能技术与应用、机械控制工程、智能测试技术</w:t>
            </w:r>
          </w:p>
        </w:tc>
      </w:tr>
      <w:tr>
        <w:tc>
          <w:tcPr>
            <w:tcW w:type="dxa" w:w="1931"/>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8"/>
                <w:lang w:eastAsia="zh-CN" w:val="zh-CN" w:bidi="ar-SA"/>
              </w:rPr>
              <w:t>后续课程</w:t>
            </w:r>
          </w:p>
        </w:tc>
        <w:tc>
          <w:tcPr>
            <w:tcW w:type="dxa" w:w="7123"/>
            <w:vAlign w:val="center"/>
            <w:gridSpan w:val="7"/>
            <w:tcMar>
              <w:top w:w="60" w:type="dxa"/>
              <w:bottom w:w="60" w:type="dxa"/>
              <w:start w:w="65" w:type="dxa"/>
              <w:end w:w="65" w:type="dxa"/>
            </w:tcMar>
          </w:tcPr>
          <w:p>
            <w:pPr>
              <w:keepNext w:val="0"/>
              <w:spacing w:before="0" w:after="0" w:line="240" w:lineRule="auto"/>
              <w:jc w:val="left"/>
            </w:pPr>
            <w:r>
              <w:rPr>
                <w:rFonts w:ascii="Times New Roman" w:hAnsi="Times New Roman" w:eastAsia="宋体" w:hint="eastAsia"/>
                <w:b w:val="0"/>
                <w:sz w:val="17"/>
                <w:lang w:eastAsia="zh-CN" w:val="zh-CN" w:bidi="ar-SA"/>
              </w:rPr>
              <w:t>毕业实习、毕业设计（论文）</w:t>
            </w:r>
          </w:p>
        </w:tc>
      </w:tr>
      <w:tr>
        <w:tc>
          <w:tcPr>
            <w:tcW w:type="dxa" w:w="1931"/>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8"/>
                <w:lang w:eastAsia="zh-CN" w:val="zh-CN" w:bidi="ar-SA"/>
              </w:rPr>
              <w:t>课程简介</w:t>
            </w:r>
          </w:p>
        </w:tc>
        <w:tc>
          <w:tcPr>
            <w:tcW w:type="dxa" w:w="7123"/>
            <w:vAlign w:val="center"/>
            <w:gridSpan w:val="7"/>
            <w:tcMar>
              <w:top w:w="60" w:type="dxa"/>
              <w:bottom w:w="60" w:type="dxa"/>
              <w:start w:w="65" w:type="dxa"/>
              <w:end w:w="65" w:type="dxa"/>
            </w:tcMar>
          </w:tcPr>
          <w:p>
            <w:r>
              <w:rPr>
                <w:rFonts w:ascii="Times New Roman" w:hAnsi="Times New Roman" w:eastAsia="宋体" w:hint="eastAsia"/>
                <w:b/>
                <w:sz w:val="18"/>
                <w:lang w:eastAsia="zh-CN" w:val="zh-CN" w:bidi="ar-SA"/>
              </w:rPr>
              <w:t>课程基本定位</w:t>
              <w:br/>
            </w:r>
            <w:r>
              <w:rPr>
                <w:rFonts w:ascii="Times New Roman" w:hAnsi="Times New Roman" w:eastAsia="宋体" w:hint="eastAsia"/>
                <w:b w:val="0"/>
                <w:sz w:val="17"/>
                <w:lang w:eastAsia="zh-CN" w:val="zh-CN" w:bidi="ar-SA"/>
              </w:rPr>
              <w:t>本课程是智能制造工程专业的一门专业选修课，面向高年级学生，在数控技术、控制技术、人工智能与测试技术基础上，从“装备共性技术—典型智能装备—装备集成—状态监测与智能诊断”主线系统认识智能制造装备。课程以智能数控机床、工业机器人和FDM增材制造装备为三类核心载体，兼顾柔性制造单元与装备互联，强调机械本体、传感、驱动、控制、数据与智能算法之间的系统关系。课程与《工业机器人技术》《增材制造技术》《机器视觉技术》《智能工厂集成技术》《机械故障诊断及维护》等专题选修课形成互补，本课程侧重跨装备的共性原理、系统比较、集成逻辑和健康管理，而不替代上述课程的专项训练。</w:t>
            </w:r>
          </w:p>
          <w:p>
            <w:r>
              <w:rPr>
                <w:rFonts w:ascii="Times New Roman" w:hAnsi="Times New Roman" w:eastAsia="宋体" w:hint="eastAsia"/>
                <w:b/>
                <w:sz w:val="18"/>
                <w:lang w:eastAsia="zh-CN" w:val="zh-CN" w:bidi="ar-SA"/>
              </w:rPr>
              <w:t>核心学习结果</w:t>
              <w:br/>
            </w:r>
            <w:r>
              <w:rPr>
                <w:rFonts w:ascii="Times New Roman" w:hAnsi="Times New Roman" w:eastAsia="宋体" w:hint="eastAsia"/>
                <w:b w:val="0"/>
                <w:sz w:val="17"/>
                <w:lang w:eastAsia="zh-CN" w:val="zh-CN" w:bidi="ar-SA"/>
              </w:rPr>
              <w:t>通过本课程学习，学生能够从机械本体、感知、驱动、控制、通信和数据层分析典型智能制造装备的组成与工作链路；能够比较智能数控机床、工业机器人和FDM 3D打印机的结构、控制和工艺特点；能够识别装备单元集成中的接口、节拍、安全互锁和信息流问题；能够基于振动、电流、温度、声学或过程质量数据构建“采集—预处理—特征提取—降维/分类—诊断验证”的基本故障诊断流程，并理解PCA、聚类、kNN/SVM等常见模式识别方法在装备健康监测中的作用与边界。</w:t>
            </w:r>
          </w:p>
          <w:p>
            <w:r>
              <w:rPr>
                <w:rFonts w:ascii="Times New Roman" w:hAnsi="Times New Roman" w:eastAsia="宋体" w:hint="eastAsia"/>
                <w:b/>
                <w:sz w:val="18"/>
                <w:lang w:eastAsia="zh-CN" w:val="zh-CN" w:bidi="ar-SA"/>
              </w:rPr>
              <w:t>主要教学方法</w:t>
              <w:br/>
            </w:r>
            <w:r>
              <w:rPr>
                <w:rFonts w:ascii="Times New Roman" w:hAnsi="Times New Roman" w:eastAsia="宋体" w:hint="eastAsia"/>
                <w:b w:val="0"/>
                <w:sz w:val="17"/>
                <w:lang w:eastAsia="zh-CN" w:val="zh-CN" w:bidi="ar-SA"/>
              </w:rPr>
              <w:t>课程以“原理讲授—装备解剖—对比案例—数据诊断—系统方案设计”为主要教学方式。围绕数控机床、工业机器人、FDM 3D打印机和柔性制造单元组织案例，结合结构图、电气/控制框图、状态数据、故障案例和数字孪生演示开展教学。故障诊断部分采用小规模公开或教师提供数据进行特征分析与分类结果解读，重点训练方法选择、结果验证和工程解释，不把课程变成单纯算法课。</w:t>
            </w:r>
          </w:p>
        </w:tc>
      </w:tr>
      <w:tr>
        <w:tc>
          <w:tcPr>
            <w:tcW w:type="dxa" w:w="1931"/>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8"/>
                <w:lang w:eastAsia="zh-CN" w:val="zh-CN" w:bidi="ar-SA"/>
              </w:rPr>
              <w:t>大纲更新时间</w:t>
            </w:r>
          </w:p>
        </w:tc>
        <w:tc>
          <w:tcPr>
            <w:tcW w:type="dxa" w:w="7123"/>
            <w:vAlign w:val="center"/>
            <w:gridSpan w:val="7"/>
            <w:tcMar>
              <w:top w:w="60" w:type="dxa"/>
              <w:bottom w:w="60" w:type="dxa"/>
              <w:start w:w="65" w:type="dxa"/>
              <w:end w:w="65" w:type="dxa"/>
            </w:tcMar>
          </w:tcPr>
          <w:p>
            <w:pPr>
              <w:keepNext w:val="0"/>
              <w:spacing w:before="0" w:after="0" w:line="240" w:lineRule="auto"/>
              <w:jc w:val="center"/>
            </w:pPr>
            <w:r>
              <w:rPr>
                <w:rFonts w:ascii="Times New Roman" w:hAnsi="Times New Roman" w:eastAsia="宋体" w:hint="eastAsia"/>
                <w:b w:val="0"/>
                <w:sz w:val="18"/>
                <w:lang w:eastAsia="zh-CN" w:val="zh-CN" w:bidi="ar-SA"/>
              </w:rPr>
              <w:t>2026年9月</w:t>
            </w:r>
          </w:p>
        </w:tc>
      </w:tr>
    </w:tbl>
    <w:p>
      <w:pPr>
        <w:keepNext/>
        <w:spacing w:before="0" w:after="0" w:line="240" w:lineRule="auto"/>
        <w:jc w:val="left"/>
      </w:pPr>
      <w:r>
        <w:rPr>
          <w:rFonts w:ascii="Times New Roman" w:hAnsi="Times New Roman" w:eastAsia="宋体" w:hint="eastAsia"/>
          <w:b/>
          <w:sz w:val="28"/>
          <w:lang w:eastAsia="zh-CN" w:val="zh-CN" w:bidi="ar-SA"/>
        </w:rPr>
        <w:t>二、课程目标</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809"/>
        <w:gridCol w:w="4248"/>
        <w:gridCol w:w="4229"/>
      </w:tblGrid>
      <w:tr>
        <w:trPr>
          <w:tblHeader w:val="true"/>
        </w:trPr>
        <w:tc>
          <w:tcPr>
            <w:tcW w:type="dxa" w:w="809"/>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7"/>
                <w:lang w:eastAsia="zh-CN" w:val="zh-CN" w:bidi="ar-SA"/>
              </w:rPr>
              <w:t>课程总目标</w:t>
            </w:r>
          </w:p>
        </w:tc>
        <w:tc>
          <w:tcPr>
            <w:tcW w:type="dxa" w:w="4248"/>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7"/>
                <w:lang w:eastAsia="zh-CN" w:val="zh-CN" w:bidi="ar-SA"/>
              </w:rPr>
              <w:t>课程子目标（参考学校定位、培养目标、毕业要求）</w:t>
            </w:r>
          </w:p>
        </w:tc>
        <w:tc>
          <w:tcPr>
            <w:tcW w:type="dxa" w:w="4229"/>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7"/>
                <w:lang w:eastAsia="zh-CN" w:val="zh-CN" w:bidi="ar-SA"/>
              </w:rPr>
              <w:t>达成方法</w:t>
            </w:r>
          </w:p>
        </w:tc>
      </w:tr>
      <w:tr>
        <w:trPr/>
        <w:tc>
          <w:tcPr>
            <w:tcW w:type="dxa" w:w="809"/>
            <w:vMerge w:val="restart"/>
            <w:vAlign w:val="center"/>
          </w:tcPr>
          <w:p>
            <w:pPr>
              <w:keepNext w:val="0"/>
              <w:spacing w:before="0" w:after="0" w:line="240" w:lineRule="auto"/>
              <w:jc w:val="center"/>
            </w:pPr>
            <w:r>
              <w:rPr>
                <w:rFonts w:ascii="Times New Roman" w:hAnsi="Times New Roman" w:eastAsia="宋体" w:hint="eastAsia"/>
                <w:b/>
                <w:sz w:val="17"/>
                <w:lang w:eastAsia="zh-CN" w:val="zh-CN" w:bidi="ar-SA"/>
              </w:rPr>
              <w:t>1.知识</w:t>
            </w: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1.1 理解智能制造装备的内涵、基本架构和发展路径，掌握智能感知、智能驱动、智能控制、工业网络与数字孪生等共性技术在装备中的作用。</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通过装备系统框图和典型案例梳理“机械本体—传感—驱动—控制—数据—应用”链路，对比传统自动化装备与智能装备的差异。</w:t>
            </w:r>
          </w:p>
        </w:tc>
      </w:tr>
      <w:tr>
        <w:trPr/>
        <w:tc>
          <w:tcPr>
            <w:tcW w:type="dxa" w:w="809"/>
            <w:vMerge/>
            <w:vAlign w:val="center"/>
          </w:tcP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1.2 掌握智能数控机床的基本组成、数控系统、主轴与进给伺服、刀具与测量单元等关键技术，理解状态监测、误差补偿和加工过程智能化的基本思想。</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结合加工中心结构、伺服控制、测头与主轴/刀具监测案例，分析数控机床的功能链和智能化技术。</w:t>
            </w:r>
          </w:p>
        </w:tc>
      </w:tr>
      <w:tr>
        <w:trPr/>
        <w:tc>
          <w:tcPr>
            <w:tcW w:type="dxa" w:w="809"/>
            <w:vMerge/>
            <w:vAlign w:val="center"/>
          </w:tcP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1.3 掌握工业机器人的机械系统、驱动与控制、传感与安全、末端执行器和工作站集成的基本知识，理解机器人在搬运、上下料、装配和协同制造中的作用。</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通过机器人本体、控制柜、末端工具、I/O与安全回路案例分析，讲解机器人与机床、输送系统和视觉/传感单元的接口关系。</w:t>
            </w:r>
          </w:p>
        </w:tc>
      </w:tr>
      <w:tr>
        <w:trPr/>
        <w:tc>
          <w:tcPr>
            <w:tcW w:type="dxa" w:w="809"/>
            <w:vMerge/>
            <w:vAlign w:val="center"/>
          </w:tcP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1.4 掌握FDM增材制造装备的成形原理、运动系统、挤出系统、温控系统、切片与路径、材料及典型缺陷机理，了解其他主要增材制造装备的基本特点。</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以桌面级和工业级FDM设备为主线，从切片文件、运动控制、挤出温控到成形质量分析完整工作链，并与SLA/SLS等工艺做边界比较。</w:t>
            </w:r>
          </w:p>
        </w:tc>
      </w:tr>
      <w:tr>
        <w:trPr/>
        <w:tc>
          <w:tcPr>
            <w:tcW w:type="dxa" w:w="809"/>
            <w:vMerge/>
            <w:vAlign w:val="center"/>
          </w:tcP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1.5 理解柔性制造单元和智能装备集成中的物流、通信、PLC/控制器协调、设备接口、安全互锁、节拍与数据采集等基本问题，了解数字孪生与虚拟调试的作用。</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以“数控机床+机器人+输送/仓储+检测”单元为案例，分析物料流、控制流、信息流及异常处理流程。</w:t>
            </w:r>
          </w:p>
        </w:tc>
      </w:tr>
      <w:tr>
        <w:trPr/>
        <w:tc>
          <w:tcPr>
            <w:tcW w:type="dxa" w:w="809"/>
            <w:vMerge/>
            <w:vAlign w:val="center"/>
          </w:tcP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1.6 掌握装备状态监测与故障诊断的基本流程，理解时域/频域特征、特征选择与降维、聚类和分类的基本概念，理解PCA、kNN、SVM等模式识别方法在装备诊断中的典型应用。</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从轴承、主轴、伺服、机器人减速器和FDM打印质量案例出发，演示“数据—特征—模式—诊断”过程，并通过混淆矩阵、误报漏报讨论诊断结果可信度。</w:t>
            </w:r>
          </w:p>
        </w:tc>
      </w:tr>
      <w:tr>
        <w:trPr/>
        <w:tc>
          <w:tcPr>
            <w:tcW w:type="dxa" w:w="809"/>
            <w:vMerge w:val="restart"/>
            <w:vAlign w:val="center"/>
          </w:tcPr>
          <w:p>
            <w:pPr>
              <w:keepNext w:val="0"/>
              <w:spacing w:before="0" w:after="0" w:line="240" w:lineRule="auto"/>
              <w:jc w:val="center"/>
            </w:pPr>
            <w:r>
              <w:rPr>
                <w:rFonts w:ascii="Times New Roman" w:hAnsi="Times New Roman" w:eastAsia="宋体" w:hint="eastAsia"/>
                <w:b/>
                <w:sz w:val="17"/>
                <w:lang w:eastAsia="zh-CN" w:val="zh-CN" w:bidi="ar-SA"/>
              </w:rPr>
              <w:t>2.能力</w:t>
            </w: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2.1 能够根据装备任务识别机械、传感、驱动、控制和信息模块，绘制基本系统框图并说明各模块之间的能量流、物料流和信息流。</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通过装备架构拆解和系统图重构训练，要求学生从真实设备资料中提取关键部件、接口和数据关系。</w:t>
            </w:r>
          </w:p>
        </w:tc>
      </w:tr>
      <w:tr>
        <w:trPr/>
        <w:tc>
          <w:tcPr>
            <w:tcW w:type="dxa" w:w="809"/>
            <w:vMerge/>
            <w:vAlign w:val="center"/>
          </w:tcP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2.2 能够针对智能数控机床的加工任务分析主轴、进给、刀具、测量和数控系统的作用，识别典型异常现象并提出监测或改进思路。</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采用加工中心案例进行参数—部件—现象关联分析，完成机床智能化功能对比与故障线索定位。</w:t>
            </w:r>
          </w:p>
        </w:tc>
      </w:tr>
      <w:tr>
        <w:trPr/>
        <w:tc>
          <w:tcPr>
            <w:tcW w:type="dxa" w:w="809"/>
            <w:vMerge/>
            <w:vAlign w:val="center"/>
          </w:tcP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2.3 能够分析工业机器人工作站的功能构成，完成机器人与机床/输送/工装之间的基本接口和安全逻辑设计。</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以机床上下料或装配工作站为任务，绘制I/O与安全互锁关系，进行节拍和异常场景分析。</w:t>
            </w:r>
          </w:p>
        </w:tc>
      </w:tr>
      <w:tr>
        <w:trPr/>
        <w:tc>
          <w:tcPr>
            <w:tcW w:type="dxa" w:w="809"/>
            <w:vMerge/>
            <w:vAlign w:val="center"/>
          </w:tcP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2.4 能够分析FDM设备的成形参数、运动/挤出/温控状态与典型缺陷之间的关系，提出参数调整、状态监测或结构改进方案。</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利用翘曲、欠挤出、拉丝、层间结合不良等案例，完成“现象—可能原因—可观测信号—处置措施”分析。</w:t>
            </w:r>
          </w:p>
        </w:tc>
      </w:tr>
      <w:tr>
        <w:trPr/>
        <w:tc>
          <w:tcPr>
            <w:tcW w:type="dxa" w:w="809"/>
            <w:vMerge/>
            <w:vAlign w:val="center"/>
          </w:tcP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2.5 能够针对由多类装备组成的制造单元，建立基本集成方案，说明接口、通信、任务协调、安全互锁和数据采集设计。</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采用小型柔性制造单元方案设计，要求形成系统框图、接口表、状态机/流程图和异常处置说明。</w:t>
            </w:r>
          </w:p>
        </w:tc>
      </w:tr>
      <w:tr>
        <w:trPr/>
        <w:tc>
          <w:tcPr>
            <w:tcW w:type="dxa" w:w="809"/>
            <w:vMerge/>
            <w:vAlign w:val="center"/>
          </w:tcP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2.6 能够对装备状态数据进行基本预处理和特征分析，选择适当的降维或分类方法完成简单故障模式识别，并从工程角度解释结果及其局限。</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通过给定数据与结果表，完成特征构造、PCA可视化、kNN/SVM分类或聚类分析，并用准确率、混淆矩阵和误判案例评价结果。</w:t>
            </w:r>
          </w:p>
        </w:tc>
      </w:tr>
      <w:tr>
        <w:trPr/>
        <w:tc>
          <w:tcPr>
            <w:tcW w:type="dxa" w:w="809"/>
            <w:vMerge w:val="restart"/>
            <w:vAlign w:val="center"/>
          </w:tcPr>
          <w:p>
            <w:pPr>
              <w:keepNext w:val="0"/>
              <w:spacing w:before="0" w:after="0" w:line="240" w:lineRule="auto"/>
              <w:jc w:val="center"/>
            </w:pPr>
            <w:r>
              <w:rPr>
                <w:rFonts w:ascii="Times New Roman" w:hAnsi="Times New Roman" w:eastAsia="宋体" w:hint="eastAsia"/>
                <w:b/>
                <w:sz w:val="17"/>
                <w:lang w:eastAsia="zh-CN" w:val="zh-CN" w:bidi="ar-SA"/>
              </w:rPr>
              <w:t>3.素质</w:t>
            </w: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3.1 形成从系统整体而非单一部件理解智能装备的工程思维，认识机械、电气、控制、信息和人工智能技术协同的重要性。</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通过跨装备架构比较与系统图分析，持续强化多学科接口和系统边界意识。</w:t>
            </w:r>
          </w:p>
        </w:tc>
      </w:tr>
      <w:tr>
        <w:trPr/>
        <w:tc>
          <w:tcPr>
            <w:tcW w:type="dxa" w:w="809"/>
            <w:vMerge/>
            <w:vAlign w:val="center"/>
          </w:tcP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3.2 树立装备安全、可靠性和工程责任意识，理解安全互锁、故障预警、数据可信和可追溯对智能制造现场的重要性。</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结合机床碰撞、机器人安全区、温控失效等事故与风险案例，分析技术决策的安全后果。</w:t>
            </w:r>
          </w:p>
        </w:tc>
      </w:tr>
      <w:tr>
        <w:trPr/>
        <w:tc>
          <w:tcPr>
            <w:tcW w:type="dxa" w:w="809"/>
            <w:vMerge/>
            <w:vAlign w:val="center"/>
          </w:tcP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3.3 形成基于数据和证据进行故障判断的习惯，避免仅凭经验或单一指标作出结论，理解误报、漏报和数据偏差的工程影响。</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在诊断案例中强制区分事实、特征、模型输出与工程结论，并讨论测试集、阈值和混淆矩阵。</w:t>
            </w:r>
          </w:p>
        </w:tc>
      </w:tr>
      <w:tr>
        <w:trPr/>
        <w:tc>
          <w:tcPr>
            <w:tcW w:type="dxa" w:w="809"/>
            <w:vMerge/>
            <w:vAlign w:val="center"/>
          </w:tcP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3.4 形成规范表达系统方案、接口、状态和诊断结论的工程沟通意识，能够使用结构图、表格、流程图和技术报告清晰表达。</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通过课堂方案汇报、系统框图和故障诊断报告进行训练，强调图表规范、单位、来源与版本记录。</w:t>
            </w:r>
          </w:p>
        </w:tc>
      </w:tr>
      <w:tr>
        <w:trPr/>
        <w:tc>
          <w:tcPr>
            <w:tcW w:type="dxa" w:w="809"/>
            <w:vMerge/>
            <w:vAlign w:val="center"/>
          </w:tcP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3.5 理解智能制造装备全生命周期中的能源、材料、维护和更新问题，形成兼顾效率、质量、安全和可持续性的工程意识。</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在数控、机器人和增材制造案例中比较能耗、材料利用率、维护策略与设备寿命。</w:t>
            </w:r>
          </w:p>
        </w:tc>
      </w:tr>
      <w:tr>
        <w:trPr/>
        <w:tc>
          <w:tcPr>
            <w:tcW w:type="dxa" w:w="809"/>
            <w:vMerge/>
            <w:vAlign w:val="center"/>
          </w:tcPr>
          <w:p/>
        </w:tc>
        <w:tc>
          <w:tcPr>
            <w:tcW w:type="dxa" w:w="4248"/>
            <w:vAlign w:val="center"/>
          </w:tcPr>
          <w:p>
            <w:pPr>
              <w:keepNext w:val="0"/>
              <w:spacing w:before="0" w:after="0" w:line="240" w:lineRule="auto"/>
              <w:jc w:val="left"/>
            </w:pPr>
            <w:r>
              <w:rPr>
                <w:rFonts w:ascii="Times New Roman" w:hAnsi="Times New Roman" w:eastAsia="宋体" w:hint="eastAsia"/>
                <w:b w:val="0"/>
                <w:sz w:val="16"/>
                <w:lang w:eastAsia="zh-CN" w:val="zh-CN" w:bidi="ar-SA"/>
              </w:rPr>
              <w:t>3.6 形成持续学习和技术迁移意识，能够主动跟踪智能装备、智能运维、数字孪生和数据驱动诊断等新技术并判断其适用边界。</w:t>
            </w:r>
          </w:p>
        </w:tc>
        <w:tc>
          <w:tcPr>
            <w:tcW w:type="dxa" w:w="4229"/>
            <w:vAlign w:val="center"/>
          </w:tcPr>
          <w:p>
            <w:pPr>
              <w:keepNext w:val="0"/>
              <w:spacing w:before="0" w:after="0" w:line="240" w:lineRule="auto"/>
              <w:jc w:val="left"/>
            </w:pPr>
            <w:r>
              <w:rPr>
                <w:rFonts w:ascii="Times New Roman" w:hAnsi="Times New Roman" w:eastAsia="宋体" w:hint="eastAsia"/>
                <w:b w:val="0"/>
                <w:sz w:val="16"/>
                <w:lang w:eastAsia="zh-CN" w:val="zh-CN" w:bidi="ar-SA"/>
              </w:rPr>
              <w:t>安排新装备/新诊断方法资料阅读与短报告，要求说明应用条件、收益、限制和验证方案。</w:t>
            </w:r>
          </w:p>
        </w:tc>
      </w:tr>
    </w:tbl>
    <w:p>
      <w:pPr>
        <w:keepNext/>
        <w:spacing w:before="0" w:after="0" w:line="240" w:lineRule="auto"/>
        <w:jc w:val="left"/>
      </w:pPr>
      <w:r>
        <w:rPr>
          <w:rFonts w:ascii="Times New Roman" w:hAnsi="Times New Roman" w:eastAsia="宋体" w:hint="eastAsia"/>
          <w:b/>
          <w:sz w:val="28"/>
          <w:lang w:eastAsia="zh-CN" w:val="zh-CN" w:bidi="ar-SA"/>
        </w:rPr>
        <w:t>三、理论教学环节及基本要求</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070"/>
        <w:gridCol w:w="1424"/>
        <w:gridCol w:w="688"/>
        <w:gridCol w:w="1137"/>
        <w:gridCol w:w="3640"/>
        <w:gridCol w:w="1111"/>
      </w:tblGrid>
      <w:tr>
        <w:trPr>
          <w:tblHeader w:val="true"/>
        </w:trPr>
        <w:tc>
          <w:tcPr>
            <w:tcW w:type="dxa" w:w="1070"/>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7"/>
                <w:lang w:eastAsia="zh-CN" w:val="zh-CN" w:bidi="ar-SA"/>
              </w:rPr>
              <w:t>单元标题</w:t>
            </w:r>
          </w:p>
        </w:tc>
        <w:tc>
          <w:tcPr>
            <w:tcW w:type="dxa" w:w="1424"/>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7"/>
                <w:lang w:eastAsia="zh-CN" w:val="zh-CN" w:bidi="ar-SA"/>
              </w:rPr>
              <w:t>教学内容</w:t>
            </w:r>
          </w:p>
        </w:tc>
        <w:tc>
          <w:tcPr>
            <w:tcW w:type="dxa" w:w="688"/>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7"/>
                <w:lang w:eastAsia="zh-CN" w:val="zh-CN" w:bidi="ar-SA"/>
              </w:rPr>
              <w:t>学时</w:t>
            </w:r>
          </w:p>
        </w:tc>
        <w:tc>
          <w:tcPr>
            <w:tcW w:type="dxa" w:w="4777"/>
            <w:vAlign w:val="center"/>
            <w:gridSpan w:val="2"/>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7"/>
                <w:lang w:eastAsia="zh-CN" w:val="zh-CN" w:bidi="ar-SA"/>
              </w:rPr>
              <w:t>课程要求</w:t>
            </w:r>
          </w:p>
        </w:tc>
        <w:tc>
          <w:tcPr>
            <w:tcW w:type="dxa" w:w="1111"/>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7"/>
                <w:lang w:eastAsia="zh-CN" w:val="zh-CN" w:bidi="ar-SA"/>
              </w:rPr>
              <w:t>课程目标</w:t>
            </w:r>
          </w:p>
        </w:tc>
      </w:tr>
      <w:tr>
        <w:trPr>
          <w:cantSplit/>
        </w:trPr>
        <w:tc>
          <w:tcPr>
            <w:tcW w:type="dxa" w:w="1070"/>
            <w:vMerge w:val="restart"/>
            <w:vAlign w:val="center"/>
          </w:tcPr>
          <w:p>
            <w:pPr>
              <w:keepNext w:val="0"/>
              <w:spacing w:before="0" w:after="0" w:line="240" w:lineRule="auto"/>
              <w:jc w:val="center"/>
            </w:pPr>
            <w:r>
              <w:rPr>
                <w:rFonts w:ascii="Times New Roman" w:hAnsi="Times New Roman" w:eastAsia="宋体" w:hint="eastAsia"/>
                <w:b/>
                <w:sz w:val="15"/>
                <w:lang w:eastAsia="zh-CN" w:val="zh-CN" w:bidi="ar-SA"/>
              </w:rPr>
              <w:t>绪论与智能制造装备共性技术</w:t>
            </w:r>
          </w:p>
        </w:tc>
        <w:tc>
          <w:tcPr>
            <w:tcW w:type="dxa" w:w="1424"/>
            <w:vMerge w:val="restart"/>
            <w:vAlign w:val="center"/>
          </w:tcPr>
          <w:p>
            <w:pPr>
              <w:keepNext w:val="0"/>
              <w:spacing w:before="0" w:after="0" w:line="240" w:lineRule="auto"/>
              <w:jc w:val="left"/>
            </w:pPr>
            <w:r>
              <w:rPr>
                <w:rFonts w:ascii="Times New Roman" w:hAnsi="Times New Roman" w:eastAsia="宋体" w:hint="eastAsia"/>
                <w:b w:val="0"/>
                <w:sz w:val="15"/>
                <w:lang w:eastAsia="zh-CN" w:val="zh-CN" w:bidi="ar-SA"/>
              </w:rPr>
              <w:t>智能制造装备概念与分类；装备智能化演进；机械本体、传感、驱动、控制、网络和数据架构；智能感知、智能控制、智能驱动；数字孪生与智能运维概念</w:t>
            </w:r>
          </w:p>
        </w:tc>
        <w:tc>
          <w:tcPr>
            <w:tcW w:type="dxa" w:w="688"/>
            <w:vMerge w:val="restart"/>
            <w:vAlign w:val="center"/>
          </w:tcPr>
          <w:p>
            <w:pPr>
              <w:keepNext w:val="0"/>
              <w:spacing w:before="0" w:after="0" w:line="240" w:lineRule="auto"/>
              <w:jc w:val="center"/>
            </w:pPr>
            <w:r>
              <w:rPr>
                <w:rFonts w:ascii="Times New Roman" w:hAnsi="Times New Roman" w:eastAsia="宋体" w:hint="eastAsia"/>
                <w:b w:val="0"/>
                <w:sz w:val="16"/>
                <w:lang w:eastAsia="zh-CN" w:val="zh-CN" w:bidi="ar-SA"/>
              </w:rPr>
              <w:t>4</w:t>
            </w: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思政融入点</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结合我国高端装备与智能制造产业发展，认识核心装备自主创新、工程规范与系统可靠性的重要性。</w:t>
            </w:r>
          </w:p>
        </w:tc>
        <w:tc>
          <w:tcPr>
            <w:tcW w:type="dxa" w:w="1111"/>
            <w:vMerge w:val="restart"/>
            <w:vAlign w:val="center"/>
          </w:tcPr>
          <w:p>
            <w:pPr>
              <w:keepNext w:val="0"/>
              <w:spacing w:before="0" w:after="0" w:line="240" w:lineRule="auto"/>
              <w:jc w:val="center"/>
            </w:pPr>
            <w:r>
              <w:rPr>
                <w:rFonts w:ascii="Times New Roman" w:hAnsi="Times New Roman" w:eastAsia="宋体" w:hint="eastAsia"/>
                <w:b w:val="0"/>
                <w:sz w:val="15"/>
                <w:lang w:eastAsia="zh-CN" w:val="zh-CN" w:bidi="ar-SA"/>
              </w:rPr>
              <w:t>目标 1.1，2.1，3.1</w:t>
            </w:r>
          </w:p>
        </w:tc>
      </w:tr>
      <w:tr>
        <w:trPr>
          <w:cantSplit/>
        </w:trPr>
        <w:tc>
          <w:tcPr>
            <w:tcW w:type="dxa" w:w="1070"/>
            <w:vMerge/>
          </w:tcPr>
          <w:p/>
        </w:tc>
        <w:tc>
          <w:tcPr>
            <w:tcW w:type="dxa" w:w="1424"/>
            <w:vMerge/>
          </w:tcPr>
          <w:p/>
        </w:tc>
        <w:tc>
          <w:tcPr>
            <w:tcW w:type="dxa" w:w="688"/>
            <w:vMerge/>
          </w:tcP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预期学习成果</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知识层面：理解智能制造装备的定义、特征、系统架构和共性技术，能够区分自动化、数字化、网络化和智能化。</w:t>
              <w:br/>
              <w:t>能力层面：能够从典型设备资料中识别机械、感知、驱动、控制和信息模块，绘制基本系统框图。</w:t>
              <w:br/>
              <w:t>素养层面：形成跨机械、电气、控制和信息技术的系统工程视角，重视接口、边界和工程责任。</w:t>
            </w:r>
          </w:p>
        </w:tc>
        <w:tc>
          <w:tcPr>
            <w:tcW w:type="dxa" w:w="1111"/>
            <w:vMerge/>
          </w:tcPr>
          <w:p/>
        </w:tc>
      </w:tr>
      <w:tr>
        <w:trPr>
          <w:cantSplit/>
        </w:trPr>
        <w:tc>
          <w:tcPr>
            <w:tcW w:type="dxa" w:w="1070"/>
            <w:vMerge/>
          </w:tcPr>
          <w:p/>
        </w:tc>
        <w:tc>
          <w:tcPr>
            <w:tcW w:type="dxa" w:w="1424"/>
            <w:vMerge/>
          </w:tcPr>
          <w:p/>
        </w:tc>
        <w:tc>
          <w:tcPr>
            <w:tcW w:type="dxa" w:w="688"/>
            <w:vMerge/>
          </w:tcP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教学方式</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讲授、装备系统图分析、案例对比、课堂研讨</w:t>
            </w:r>
          </w:p>
        </w:tc>
        <w:tc>
          <w:tcPr>
            <w:tcW w:type="dxa" w:w="1111"/>
            <w:vMerge/>
          </w:tcPr>
          <w:p/>
        </w:tc>
      </w:tr>
      <w:tr>
        <w:trPr>
          <w:cantSplit/>
        </w:trPr>
        <w:tc>
          <w:tcPr>
            <w:tcW w:type="dxa" w:w="1070"/>
            <w:vMerge w:val="restart"/>
            <w:vAlign w:val="center"/>
          </w:tcPr>
          <w:p>
            <w:pPr>
              <w:keepNext w:val="0"/>
              <w:spacing w:before="0" w:after="0" w:line="240" w:lineRule="auto"/>
              <w:jc w:val="center"/>
            </w:pPr>
            <w:r>
              <w:rPr>
                <w:rFonts w:ascii="Times New Roman" w:hAnsi="Times New Roman" w:eastAsia="宋体" w:hint="eastAsia"/>
                <w:b/>
                <w:sz w:val="15"/>
                <w:lang w:eastAsia="zh-CN" w:val="zh-CN" w:bidi="ar-SA"/>
              </w:rPr>
              <w:t>第一单元 智能数控机床与加工中心</w:t>
            </w:r>
          </w:p>
        </w:tc>
        <w:tc>
          <w:tcPr>
            <w:tcW w:type="dxa" w:w="1424"/>
            <w:vMerge w:val="restart"/>
            <w:vAlign w:val="center"/>
          </w:tcPr>
          <w:p>
            <w:pPr>
              <w:keepNext w:val="0"/>
              <w:spacing w:before="0" w:after="0" w:line="240" w:lineRule="auto"/>
              <w:jc w:val="left"/>
            </w:pPr>
            <w:r>
              <w:rPr>
                <w:rFonts w:ascii="Times New Roman" w:hAnsi="Times New Roman" w:eastAsia="宋体" w:hint="eastAsia"/>
                <w:b w:val="0"/>
                <w:sz w:val="15"/>
                <w:lang w:eastAsia="zh-CN" w:val="zh-CN" w:bidi="ar-SA"/>
              </w:rPr>
              <w:t>数控机床与加工中心结构；CNC系统；主轴与进给伺服；导轨与关键功能部件；智能刀具与测头；加工状态监测；误差补偿；机床数字孪生与智能化功能</w:t>
            </w:r>
          </w:p>
        </w:tc>
        <w:tc>
          <w:tcPr>
            <w:tcW w:type="dxa" w:w="688"/>
            <w:vMerge w:val="restart"/>
            <w:vAlign w:val="center"/>
          </w:tcPr>
          <w:p>
            <w:pPr>
              <w:keepNext w:val="0"/>
              <w:spacing w:before="0" w:after="0" w:line="240" w:lineRule="auto"/>
              <w:jc w:val="center"/>
            </w:pPr>
            <w:r>
              <w:rPr>
                <w:rFonts w:ascii="Times New Roman" w:hAnsi="Times New Roman" w:eastAsia="宋体" w:hint="eastAsia"/>
                <w:b w:val="0"/>
                <w:sz w:val="16"/>
                <w:lang w:eastAsia="zh-CN" w:val="zh-CN" w:bidi="ar-SA"/>
              </w:rPr>
              <w:t>6</w:t>
            </w: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思政融入点</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结合高档数控机床核心技术与国产装备发展，强化质量、安全和关键技术自主创新意识。</w:t>
            </w:r>
          </w:p>
        </w:tc>
        <w:tc>
          <w:tcPr>
            <w:tcW w:type="dxa" w:w="1111"/>
            <w:vMerge w:val="restart"/>
            <w:vAlign w:val="center"/>
          </w:tcPr>
          <w:p>
            <w:pPr>
              <w:keepNext w:val="0"/>
              <w:spacing w:before="0" w:after="0" w:line="240" w:lineRule="auto"/>
              <w:jc w:val="center"/>
            </w:pPr>
            <w:r>
              <w:rPr>
                <w:rFonts w:ascii="Times New Roman" w:hAnsi="Times New Roman" w:eastAsia="宋体" w:hint="eastAsia"/>
                <w:b w:val="0"/>
                <w:sz w:val="15"/>
                <w:lang w:eastAsia="zh-CN" w:val="zh-CN" w:bidi="ar-SA"/>
              </w:rPr>
              <w:t>目标 1.2，2.2，3.2</w:t>
            </w:r>
          </w:p>
        </w:tc>
      </w:tr>
      <w:tr>
        <w:trPr>
          <w:cantSplit/>
        </w:trPr>
        <w:tc>
          <w:tcPr>
            <w:tcW w:type="dxa" w:w="1070"/>
            <w:vMerge/>
          </w:tcPr>
          <w:p/>
        </w:tc>
        <w:tc>
          <w:tcPr>
            <w:tcW w:type="dxa" w:w="1424"/>
            <w:vMerge/>
          </w:tcPr>
          <w:p/>
        </w:tc>
        <w:tc>
          <w:tcPr>
            <w:tcW w:type="dxa" w:w="688"/>
            <w:vMerge/>
          </w:tcP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预期学习成果</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知识层面：掌握智能数控机床主要组成、数控/伺服系统及测量监测单元的作用，理解典型智能化功能。</w:t>
              <w:br/>
              <w:t>能力层面：能够分析主轴、进给、刀具、测头和数控系统之间的关系，依据异常现象提出监测和排查思路。</w:t>
              <w:br/>
              <w:t>素养层面：形成重视加工安全、设备精度、可靠性和可维护性的工程责任意识。</w:t>
            </w:r>
          </w:p>
        </w:tc>
        <w:tc>
          <w:tcPr>
            <w:tcW w:type="dxa" w:w="1111"/>
            <w:vMerge/>
          </w:tcPr>
          <w:p/>
        </w:tc>
      </w:tr>
      <w:tr>
        <w:trPr>
          <w:cantSplit/>
        </w:trPr>
        <w:tc>
          <w:tcPr>
            <w:tcW w:type="dxa" w:w="1070"/>
            <w:vMerge/>
          </w:tcPr>
          <w:p/>
        </w:tc>
        <w:tc>
          <w:tcPr>
            <w:tcW w:type="dxa" w:w="1424"/>
            <w:vMerge/>
          </w:tcPr>
          <w:p/>
        </w:tc>
        <w:tc>
          <w:tcPr>
            <w:tcW w:type="dxa" w:w="688"/>
            <w:vMerge/>
          </w:tcP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教学方式</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结构讲授、加工中心案例、功能框图、故障现象分析</w:t>
            </w:r>
          </w:p>
        </w:tc>
        <w:tc>
          <w:tcPr>
            <w:tcW w:type="dxa" w:w="1111"/>
            <w:vMerge/>
          </w:tcPr>
          <w:p/>
        </w:tc>
      </w:tr>
      <w:tr>
        <w:trPr>
          <w:cantSplit/>
        </w:trPr>
        <w:tc>
          <w:tcPr>
            <w:tcW w:type="dxa" w:w="1070"/>
            <w:vMerge w:val="restart"/>
            <w:vAlign w:val="center"/>
          </w:tcPr>
          <w:p>
            <w:pPr>
              <w:keepNext w:val="0"/>
              <w:spacing w:before="0" w:after="0" w:line="240" w:lineRule="auto"/>
              <w:jc w:val="center"/>
            </w:pPr>
            <w:r>
              <w:rPr>
                <w:rFonts w:ascii="Times New Roman" w:hAnsi="Times New Roman" w:eastAsia="宋体" w:hint="eastAsia"/>
                <w:b/>
                <w:sz w:val="15"/>
                <w:lang w:eastAsia="zh-CN" w:val="zh-CN" w:bidi="ar-SA"/>
              </w:rPr>
              <w:t>第二单元 工业机器人与制造工作站</w:t>
            </w:r>
          </w:p>
        </w:tc>
        <w:tc>
          <w:tcPr>
            <w:tcW w:type="dxa" w:w="1424"/>
            <w:vMerge w:val="restart"/>
            <w:vAlign w:val="center"/>
          </w:tcPr>
          <w:p>
            <w:pPr>
              <w:keepNext w:val="0"/>
              <w:spacing w:before="0" w:after="0" w:line="240" w:lineRule="auto"/>
              <w:jc w:val="left"/>
            </w:pPr>
            <w:r>
              <w:rPr>
                <w:rFonts w:ascii="Times New Roman" w:hAnsi="Times New Roman" w:eastAsia="宋体" w:hint="eastAsia"/>
                <w:b w:val="0"/>
                <w:sz w:val="15"/>
                <w:lang w:eastAsia="zh-CN" w:val="zh-CN" w:bidi="ar-SA"/>
              </w:rPr>
              <w:t>工业机器人机械结构；驱动、控制与传感；末端执行器；坐标与工作空间概念；I/O与通信；安全系统；机器人上下料、搬运、装配及与数控机床协同</w:t>
            </w:r>
          </w:p>
        </w:tc>
        <w:tc>
          <w:tcPr>
            <w:tcW w:type="dxa" w:w="688"/>
            <w:vMerge w:val="restart"/>
            <w:vAlign w:val="center"/>
          </w:tcPr>
          <w:p>
            <w:pPr>
              <w:keepNext w:val="0"/>
              <w:spacing w:before="0" w:after="0" w:line="240" w:lineRule="auto"/>
              <w:jc w:val="center"/>
            </w:pPr>
            <w:r>
              <w:rPr>
                <w:rFonts w:ascii="Times New Roman" w:hAnsi="Times New Roman" w:eastAsia="宋体" w:hint="eastAsia"/>
                <w:b w:val="0"/>
                <w:sz w:val="16"/>
                <w:lang w:eastAsia="zh-CN" w:val="zh-CN" w:bidi="ar-SA"/>
              </w:rPr>
              <w:t>5</w:t>
            </w: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思政融入点</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通过机器人安全规范、协作边界和工程事故案例，强化人机协同中的安全责任和规范意识。</w:t>
            </w:r>
          </w:p>
        </w:tc>
        <w:tc>
          <w:tcPr>
            <w:tcW w:type="dxa" w:w="1111"/>
            <w:vMerge w:val="restart"/>
            <w:vAlign w:val="center"/>
          </w:tcPr>
          <w:p>
            <w:pPr>
              <w:keepNext w:val="0"/>
              <w:spacing w:before="0" w:after="0" w:line="240" w:lineRule="auto"/>
              <w:jc w:val="center"/>
            </w:pPr>
            <w:r>
              <w:rPr>
                <w:rFonts w:ascii="Times New Roman" w:hAnsi="Times New Roman" w:eastAsia="宋体" w:hint="eastAsia"/>
                <w:b w:val="0"/>
                <w:sz w:val="15"/>
                <w:lang w:eastAsia="zh-CN" w:val="zh-CN" w:bidi="ar-SA"/>
              </w:rPr>
              <w:t>目标 1.3，2.3，3.2，3.4</w:t>
            </w:r>
          </w:p>
        </w:tc>
      </w:tr>
      <w:tr>
        <w:trPr>
          <w:cantSplit/>
        </w:trPr>
        <w:tc>
          <w:tcPr>
            <w:tcW w:type="dxa" w:w="1070"/>
            <w:vMerge/>
          </w:tcPr>
          <w:p/>
        </w:tc>
        <w:tc>
          <w:tcPr>
            <w:tcW w:type="dxa" w:w="1424"/>
            <w:vMerge/>
          </w:tcPr>
          <w:p/>
        </w:tc>
        <w:tc>
          <w:tcPr>
            <w:tcW w:type="dxa" w:w="688"/>
            <w:vMerge/>
          </w:tcP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预期学习成果</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知识层面：掌握工业机器人系统组成、控制和安全基本原理，理解工作站集成的主要接口。</w:t>
              <w:br/>
              <w:t>能力层面：能够分析机器人工作站的设备、I/O、工装和安全关系，形成基本接口与互锁方案。</w:t>
              <w:br/>
              <w:t>素养层面：形成规范表达接口、状态和安全逻辑的习惯，认识协同系统中局部行为对整体安全的影响。</w:t>
            </w:r>
          </w:p>
        </w:tc>
        <w:tc>
          <w:tcPr>
            <w:tcW w:type="dxa" w:w="1111"/>
            <w:vMerge/>
          </w:tcPr>
          <w:p/>
        </w:tc>
      </w:tr>
      <w:tr>
        <w:trPr>
          <w:cantSplit/>
        </w:trPr>
        <w:tc>
          <w:tcPr>
            <w:tcW w:type="dxa" w:w="1070"/>
            <w:vMerge/>
          </w:tcPr>
          <w:p/>
        </w:tc>
        <w:tc>
          <w:tcPr>
            <w:tcW w:type="dxa" w:w="1424"/>
            <w:vMerge/>
          </w:tcPr>
          <w:p/>
        </w:tc>
        <w:tc>
          <w:tcPr>
            <w:tcW w:type="dxa" w:w="688"/>
            <w:vMerge/>
          </w:tcP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教学方式</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讲授、机器人工作站案例、接口图分析、方案讨论</w:t>
            </w:r>
          </w:p>
        </w:tc>
        <w:tc>
          <w:tcPr>
            <w:tcW w:type="dxa" w:w="1111"/>
            <w:vMerge/>
          </w:tcPr>
          <w:p/>
        </w:tc>
      </w:tr>
      <w:tr>
        <w:trPr>
          <w:cantSplit/>
        </w:trPr>
        <w:tc>
          <w:tcPr>
            <w:tcW w:type="dxa" w:w="1070"/>
            <w:vMerge w:val="restart"/>
            <w:vAlign w:val="center"/>
          </w:tcPr>
          <w:p>
            <w:pPr>
              <w:keepNext w:val="0"/>
              <w:spacing w:before="0" w:after="0" w:line="240" w:lineRule="auto"/>
              <w:jc w:val="center"/>
            </w:pPr>
            <w:r>
              <w:rPr>
                <w:rFonts w:ascii="Times New Roman" w:hAnsi="Times New Roman" w:eastAsia="宋体" w:hint="eastAsia"/>
                <w:b/>
                <w:sz w:val="15"/>
                <w:lang w:eastAsia="zh-CN" w:val="zh-CN" w:bidi="ar-SA"/>
              </w:rPr>
              <w:t>第三单元 FDM增材制造装备</w:t>
            </w:r>
          </w:p>
        </w:tc>
        <w:tc>
          <w:tcPr>
            <w:tcW w:type="dxa" w:w="1424"/>
            <w:vMerge w:val="restart"/>
            <w:vAlign w:val="center"/>
          </w:tcPr>
          <w:p>
            <w:pPr>
              <w:keepNext w:val="0"/>
              <w:spacing w:before="0" w:after="0" w:line="240" w:lineRule="auto"/>
              <w:jc w:val="left"/>
            </w:pPr>
            <w:r>
              <w:rPr>
                <w:rFonts w:ascii="Times New Roman" w:hAnsi="Times New Roman" w:eastAsia="宋体" w:hint="eastAsia"/>
                <w:b w:val="0"/>
                <w:sz w:val="15"/>
                <w:lang w:eastAsia="zh-CN" w:val="zh-CN" w:bidi="ar-SA"/>
              </w:rPr>
              <w:t>增材制造装备分类；FDM成形原理；XYZ运动系统；挤出与送料；喷嘴、热端和热床温控；切片、路径与G-code；材料与工艺参数；翘曲、拉丝、欠挤出、层间结合等典型缺陷；状态监测与闭环质量控制概念</w:t>
            </w:r>
          </w:p>
        </w:tc>
        <w:tc>
          <w:tcPr>
            <w:tcW w:type="dxa" w:w="688"/>
            <w:vMerge w:val="restart"/>
            <w:vAlign w:val="center"/>
          </w:tcPr>
          <w:p>
            <w:pPr>
              <w:keepNext w:val="0"/>
              <w:spacing w:before="0" w:after="0" w:line="240" w:lineRule="auto"/>
              <w:jc w:val="center"/>
            </w:pPr>
            <w:r>
              <w:rPr>
                <w:rFonts w:ascii="Times New Roman" w:hAnsi="Times New Roman" w:eastAsia="宋体" w:hint="eastAsia"/>
                <w:b w:val="0"/>
                <w:sz w:val="16"/>
                <w:lang w:eastAsia="zh-CN" w:val="zh-CN" w:bidi="ar-SA"/>
              </w:rPr>
              <w:t>5</w:t>
            </w: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思政融入点</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结合增材制造材料利用率、能耗和安全操作，讨论快速制造中的质量责任、材料节约和可持续制造。</w:t>
            </w:r>
          </w:p>
        </w:tc>
        <w:tc>
          <w:tcPr>
            <w:tcW w:type="dxa" w:w="1111"/>
            <w:vMerge w:val="restart"/>
            <w:vAlign w:val="center"/>
          </w:tcPr>
          <w:p>
            <w:pPr>
              <w:keepNext w:val="0"/>
              <w:spacing w:before="0" w:after="0" w:line="240" w:lineRule="auto"/>
              <w:jc w:val="center"/>
            </w:pPr>
            <w:r>
              <w:rPr>
                <w:rFonts w:ascii="Times New Roman" w:hAnsi="Times New Roman" w:eastAsia="宋体" w:hint="eastAsia"/>
                <w:b w:val="0"/>
                <w:sz w:val="15"/>
                <w:lang w:eastAsia="zh-CN" w:val="zh-CN" w:bidi="ar-SA"/>
              </w:rPr>
              <w:t>目标 1.4，2.4，3.2，3.5</w:t>
            </w:r>
          </w:p>
        </w:tc>
      </w:tr>
      <w:tr>
        <w:trPr>
          <w:cantSplit/>
        </w:trPr>
        <w:tc>
          <w:tcPr>
            <w:tcW w:type="dxa" w:w="1070"/>
            <w:vMerge/>
          </w:tcPr>
          <w:p/>
        </w:tc>
        <w:tc>
          <w:tcPr>
            <w:tcW w:type="dxa" w:w="1424"/>
            <w:vMerge/>
          </w:tcPr>
          <w:p/>
        </w:tc>
        <w:tc>
          <w:tcPr>
            <w:tcW w:type="dxa" w:w="688"/>
            <w:vMerge/>
          </w:tcP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预期学习成果</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知识层面：掌握FDM设备从切片到成形的工作链，理解运动、挤出、温控和材料参数与质量缺陷的关系。</w:t>
              <w:br/>
              <w:t>能力层面：能够根据打印缺陷分析可能的工艺、运动、温度或送料原因，并提出监测和调整方案。</w:t>
              <w:br/>
              <w:t>素养层面：形成以过程数据和质量证据评价装备状态的意识，同时关注材料利用率、能耗和设备安全。</w:t>
            </w:r>
          </w:p>
        </w:tc>
        <w:tc>
          <w:tcPr>
            <w:tcW w:type="dxa" w:w="1111"/>
            <w:vMerge/>
          </w:tcPr>
          <w:p/>
        </w:tc>
      </w:tr>
      <w:tr>
        <w:trPr>
          <w:cantSplit/>
        </w:trPr>
        <w:tc>
          <w:tcPr>
            <w:tcW w:type="dxa" w:w="1070"/>
            <w:vMerge/>
          </w:tcPr>
          <w:p/>
        </w:tc>
        <w:tc>
          <w:tcPr>
            <w:tcW w:type="dxa" w:w="1424"/>
            <w:vMerge/>
          </w:tcPr>
          <w:p/>
        </w:tc>
        <w:tc>
          <w:tcPr>
            <w:tcW w:type="dxa" w:w="688"/>
            <w:vMerge/>
          </w:tcP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教学方式</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讲授、FDM设备解剖、缺陷图片/数据案例、参数因果分析</w:t>
            </w:r>
          </w:p>
        </w:tc>
        <w:tc>
          <w:tcPr>
            <w:tcW w:type="dxa" w:w="1111"/>
            <w:vMerge/>
          </w:tcPr>
          <w:p/>
        </w:tc>
      </w:tr>
      <w:tr>
        <w:trPr>
          <w:cantSplit/>
        </w:trPr>
        <w:tc>
          <w:tcPr>
            <w:tcW w:type="dxa" w:w="1070"/>
            <w:vMerge w:val="restart"/>
            <w:vAlign w:val="center"/>
          </w:tcPr>
          <w:p>
            <w:pPr>
              <w:keepNext w:val="0"/>
              <w:spacing w:before="0" w:after="0" w:line="240" w:lineRule="auto"/>
              <w:jc w:val="center"/>
            </w:pPr>
            <w:r>
              <w:rPr>
                <w:rFonts w:ascii="Times New Roman" w:hAnsi="Times New Roman" w:eastAsia="宋体" w:hint="eastAsia"/>
                <w:b/>
                <w:sz w:val="15"/>
                <w:lang w:eastAsia="zh-CN" w:val="zh-CN" w:bidi="ar-SA"/>
              </w:rPr>
              <w:t>第四单元 智能制造装备单元集成</w:t>
            </w:r>
          </w:p>
        </w:tc>
        <w:tc>
          <w:tcPr>
            <w:tcW w:type="dxa" w:w="1424"/>
            <w:vMerge w:val="restart"/>
            <w:vAlign w:val="center"/>
          </w:tcPr>
          <w:p>
            <w:pPr>
              <w:keepNext w:val="0"/>
              <w:spacing w:before="0" w:after="0" w:line="240" w:lineRule="auto"/>
              <w:jc w:val="left"/>
            </w:pPr>
            <w:r>
              <w:rPr>
                <w:rFonts w:ascii="Times New Roman" w:hAnsi="Times New Roman" w:eastAsia="宋体" w:hint="eastAsia"/>
                <w:b w:val="0"/>
                <w:sz w:val="15"/>
                <w:lang w:eastAsia="zh-CN" w:val="zh-CN" w:bidi="ar-SA"/>
              </w:rPr>
              <w:t>柔性制造单元概念；数控机床、机器人、输送/仓储与检测单元集成；PLC/控制器协同；工业通信和数据接口；设备状态与任务流程；安全互锁；节拍分析；MES/上位系统接口；数字孪生与虚拟调试</w:t>
            </w:r>
          </w:p>
        </w:tc>
        <w:tc>
          <w:tcPr>
            <w:tcW w:type="dxa" w:w="688"/>
            <w:vMerge w:val="restart"/>
            <w:vAlign w:val="center"/>
          </w:tcPr>
          <w:p>
            <w:pPr>
              <w:keepNext w:val="0"/>
              <w:spacing w:before="0" w:after="0" w:line="240" w:lineRule="auto"/>
              <w:jc w:val="center"/>
            </w:pPr>
            <w:r>
              <w:rPr>
                <w:rFonts w:ascii="Times New Roman" w:hAnsi="Times New Roman" w:eastAsia="宋体" w:hint="eastAsia"/>
                <w:b w:val="0"/>
                <w:sz w:val="16"/>
                <w:lang w:eastAsia="zh-CN" w:val="zh-CN" w:bidi="ar-SA"/>
              </w:rPr>
              <w:t>6</w:t>
            </w: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思政融入点</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通过多设备协同与安全互锁案例，理解“局部最优不等于系统最优”，培养系统协同、标准接口和安全生产意识。</w:t>
            </w:r>
          </w:p>
        </w:tc>
        <w:tc>
          <w:tcPr>
            <w:tcW w:type="dxa" w:w="1111"/>
            <w:vMerge w:val="restart"/>
            <w:vAlign w:val="center"/>
          </w:tcPr>
          <w:p>
            <w:pPr>
              <w:keepNext w:val="0"/>
              <w:spacing w:before="0" w:after="0" w:line="240" w:lineRule="auto"/>
              <w:jc w:val="center"/>
            </w:pPr>
            <w:r>
              <w:rPr>
                <w:rFonts w:ascii="Times New Roman" w:hAnsi="Times New Roman" w:eastAsia="宋体" w:hint="eastAsia"/>
                <w:b w:val="0"/>
                <w:sz w:val="15"/>
                <w:lang w:eastAsia="zh-CN" w:val="zh-CN" w:bidi="ar-SA"/>
              </w:rPr>
              <w:t>目标 1.5，2.5，3.1，3.4，3.5</w:t>
            </w:r>
          </w:p>
        </w:tc>
      </w:tr>
      <w:tr>
        <w:trPr>
          <w:cantSplit/>
        </w:trPr>
        <w:tc>
          <w:tcPr>
            <w:tcW w:type="dxa" w:w="1070"/>
            <w:vMerge/>
          </w:tcPr>
          <w:p/>
        </w:tc>
        <w:tc>
          <w:tcPr>
            <w:tcW w:type="dxa" w:w="1424"/>
            <w:vMerge/>
          </w:tcPr>
          <w:p/>
        </w:tc>
        <w:tc>
          <w:tcPr>
            <w:tcW w:type="dxa" w:w="688"/>
            <w:vMerge/>
          </w:tcP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预期学习成果</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知识层面：理解智能制造单元的物料流、控制流和信息流，掌握基本设备接口、任务协调与安全互锁概念。</w:t>
              <w:br/>
              <w:t>能力层面：能够建立由数控机床、机器人和辅助单元组成的基本集成方案，形成系统框图、接口表和异常流程。</w:t>
              <w:br/>
              <w:t>素养层面：形成系统集成、标准化接口、协同沟通和全生命周期考虑的工程意识。</w:t>
            </w:r>
          </w:p>
        </w:tc>
        <w:tc>
          <w:tcPr>
            <w:tcW w:type="dxa" w:w="1111"/>
            <w:vMerge/>
          </w:tcPr>
          <w:p/>
        </w:tc>
      </w:tr>
      <w:tr>
        <w:trPr>
          <w:cantSplit/>
        </w:trPr>
        <w:tc>
          <w:tcPr>
            <w:tcW w:type="dxa" w:w="1070"/>
            <w:vMerge/>
          </w:tcPr>
          <w:p/>
        </w:tc>
        <w:tc>
          <w:tcPr>
            <w:tcW w:type="dxa" w:w="1424"/>
            <w:vMerge/>
          </w:tcPr>
          <w:p/>
        </w:tc>
        <w:tc>
          <w:tcPr>
            <w:tcW w:type="dxa" w:w="688"/>
            <w:vMerge/>
          </w:tcP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教学方式</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讲授、柔性制造单元案例、流程图/状态图分析、系统方案设计</w:t>
            </w:r>
          </w:p>
        </w:tc>
        <w:tc>
          <w:tcPr>
            <w:tcW w:type="dxa" w:w="1111"/>
            <w:vMerge/>
          </w:tcPr>
          <w:p/>
        </w:tc>
      </w:tr>
      <w:tr>
        <w:trPr>
          <w:cantSplit/>
        </w:trPr>
        <w:tc>
          <w:tcPr>
            <w:tcW w:type="dxa" w:w="1070"/>
            <w:vMerge w:val="restart"/>
            <w:vAlign w:val="center"/>
          </w:tcPr>
          <w:p>
            <w:pPr>
              <w:keepNext w:val="0"/>
              <w:spacing w:before="0" w:after="0" w:line="240" w:lineRule="auto"/>
              <w:jc w:val="center"/>
            </w:pPr>
            <w:r>
              <w:rPr>
                <w:rFonts w:ascii="Times New Roman" w:hAnsi="Times New Roman" w:eastAsia="宋体" w:hint="eastAsia"/>
                <w:b/>
                <w:sz w:val="15"/>
                <w:lang w:eastAsia="zh-CN" w:val="zh-CN" w:bidi="ar-SA"/>
              </w:rPr>
              <w:t>第五单元 状态监测、故障诊断与模式识别</w:t>
            </w:r>
          </w:p>
        </w:tc>
        <w:tc>
          <w:tcPr>
            <w:tcW w:type="dxa" w:w="1424"/>
            <w:vMerge w:val="restart"/>
            <w:vAlign w:val="center"/>
          </w:tcPr>
          <w:p>
            <w:pPr>
              <w:keepNext w:val="0"/>
              <w:spacing w:before="0" w:after="0" w:line="240" w:lineRule="auto"/>
              <w:jc w:val="left"/>
            </w:pPr>
            <w:r>
              <w:rPr>
                <w:rFonts w:ascii="Times New Roman" w:hAnsi="Times New Roman" w:eastAsia="宋体" w:hint="eastAsia"/>
                <w:b w:val="0"/>
                <w:sz w:val="15"/>
                <w:lang w:eastAsia="zh-CN" w:val="zh-CN" w:bidi="ar-SA"/>
              </w:rPr>
              <w:t>装备故障与劣化；振动、电流、温度、声学、视觉和过程质量数据；数据预处理；时域/频域与统计特征；特征标准化；PCA降维；聚类、kNN与SVM基本思想；训练/测试划分；混淆矩阵；数控主轴/轴承、机器人减速器、FDM打印异常案例；智能运维与预测性维护</w:t>
            </w:r>
          </w:p>
        </w:tc>
        <w:tc>
          <w:tcPr>
            <w:tcW w:type="dxa" w:w="688"/>
            <w:vMerge w:val="restart"/>
            <w:vAlign w:val="center"/>
          </w:tcPr>
          <w:p>
            <w:pPr>
              <w:keepNext w:val="0"/>
              <w:spacing w:before="0" w:after="0" w:line="240" w:lineRule="auto"/>
              <w:jc w:val="center"/>
            </w:pPr>
            <w:r>
              <w:rPr>
                <w:rFonts w:ascii="Times New Roman" w:hAnsi="Times New Roman" w:eastAsia="宋体" w:hint="eastAsia"/>
                <w:b w:val="0"/>
                <w:sz w:val="16"/>
                <w:lang w:eastAsia="zh-CN" w:val="zh-CN" w:bidi="ar-SA"/>
              </w:rPr>
              <w:t>6</w:t>
            </w: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思政融入点</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通过误报、漏报和数据偏差案例，强调诊断结论必须有数据依据和验证过程，培养严谨求实、对决策结果负责的职业规范。</w:t>
            </w:r>
          </w:p>
        </w:tc>
        <w:tc>
          <w:tcPr>
            <w:tcW w:type="dxa" w:w="1111"/>
            <w:vMerge w:val="restart"/>
            <w:vAlign w:val="center"/>
          </w:tcPr>
          <w:p>
            <w:pPr>
              <w:keepNext w:val="0"/>
              <w:spacing w:before="0" w:after="0" w:line="240" w:lineRule="auto"/>
              <w:jc w:val="center"/>
            </w:pPr>
            <w:r>
              <w:rPr>
                <w:rFonts w:ascii="Times New Roman" w:hAnsi="Times New Roman" w:eastAsia="宋体" w:hint="eastAsia"/>
                <w:b w:val="0"/>
                <w:sz w:val="15"/>
                <w:lang w:eastAsia="zh-CN" w:val="zh-CN" w:bidi="ar-SA"/>
              </w:rPr>
              <w:t>目标 1.6，2.6，3.3，3.6</w:t>
            </w:r>
          </w:p>
        </w:tc>
      </w:tr>
      <w:tr>
        <w:trPr>
          <w:cantSplit/>
        </w:trPr>
        <w:tc>
          <w:tcPr>
            <w:tcW w:type="dxa" w:w="1070"/>
            <w:vMerge/>
          </w:tcPr>
          <w:p/>
        </w:tc>
        <w:tc>
          <w:tcPr>
            <w:tcW w:type="dxa" w:w="1424"/>
            <w:vMerge/>
          </w:tcPr>
          <w:p/>
        </w:tc>
        <w:tc>
          <w:tcPr>
            <w:tcW w:type="dxa" w:w="688"/>
            <w:vMerge/>
          </w:tcP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预期学习成果</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知识层面：掌握状态监测和故障诊断基本流程，理解常见信号特征以及PCA、聚类、kNN、SVM等方法的基本作用。</w:t>
              <w:br/>
              <w:t>能力层面：能够对给定装备数据完成基本特征分析，选择简单模式识别方法并使用混淆矩阵评价结果，解释误判原因与模型局限。</w:t>
              <w:br/>
              <w:t>素养层面：形成基于证据进行诊断、关注数据质量与模型适用范围、持续学习智能运维新方法的习惯。</w:t>
            </w:r>
          </w:p>
        </w:tc>
        <w:tc>
          <w:tcPr>
            <w:tcW w:type="dxa" w:w="1111"/>
            <w:vMerge/>
          </w:tcPr>
          <w:p/>
        </w:tc>
      </w:tr>
      <w:tr>
        <w:trPr>
          <w:cantSplit/>
        </w:trPr>
        <w:tc>
          <w:tcPr>
            <w:tcW w:type="dxa" w:w="1070"/>
            <w:vMerge/>
          </w:tcPr>
          <w:p/>
        </w:tc>
        <w:tc>
          <w:tcPr>
            <w:tcW w:type="dxa" w:w="1424"/>
            <w:vMerge/>
          </w:tcPr>
          <w:p/>
        </w:tc>
        <w:tc>
          <w:tcPr>
            <w:tcW w:type="dxa" w:w="688"/>
            <w:vMerge/>
          </w:tcPr>
          <w:p/>
        </w:tc>
        <w:tc>
          <w:tcPr>
            <w:tcW w:type="dxa" w:w="1137"/>
            <w:vAlign w:val="center"/>
          </w:tcPr>
          <w:p>
            <w:pPr>
              <w:keepNext w:val="0"/>
              <w:spacing w:before="0" w:after="0" w:line="240" w:lineRule="auto"/>
              <w:jc w:val="center"/>
            </w:pPr>
            <w:r>
              <w:rPr>
                <w:rFonts w:ascii="Times New Roman" w:hAnsi="Times New Roman" w:eastAsia="宋体" w:hint="eastAsia"/>
                <w:b/>
                <w:sz w:val="15"/>
                <w:lang w:eastAsia="zh-CN" w:val="zh-CN" w:bidi="ar-SA"/>
              </w:rPr>
              <w:t>教学方式</w:t>
            </w:r>
          </w:p>
        </w:tc>
        <w:tc>
          <w:tcPr>
            <w:tcW w:type="dxa" w:w="3640"/>
            <w:vAlign w:val="center"/>
          </w:tcPr>
          <w:p>
            <w:pPr>
              <w:keepNext w:val="0"/>
              <w:spacing w:before="0" w:after="0" w:line="240" w:lineRule="auto"/>
              <w:jc w:val="left"/>
            </w:pPr>
            <w:r>
              <w:rPr>
                <w:rFonts w:ascii="Times New Roman" w:hAnsi="Times New Roman" w:eastAsia="宋体" w:hint="eastAsia"/>
                <w:b w:val="0"/>
                <w:sz w:val="15"/>
                <w:lang w:eastAsia="zh-CN" w:val="zh-CN" w:bidi="ar-SA"/>
              </w:rPr>
              <w:t>讲授、信号与特征演示、数据案例、模式识别结果分析、故障诊断研讨</w:t>
            </w:r>
          </w:p>
        </w:tc>
        <w:tc>
          <w:tcPr>
            <w:tcW w:type="dxa" w:w="1111"/>
            <w:vMerge/>
          </w:tcPr>
          <w:p/>
        </w:tc>
      </w:tr>
    </w:tbl>
    <w:p>
      <w:pPr>
        <w:keepNext w:val="0"/>
        <w:spacing w:before="0" w:after="0" w:line="240" w:lineRule="auto"/>
        <w:jc w:val="left"/>
      </w:pPr>
      <w:r>
        <w:rPr>
          <w:rFonts w:ascii="Times New Roman" w:hAnsi="Times New Roman" w:eastAsia="宋体" w:hint="eastAsia"/>
          <w:b w:val="0"/>
          <w:sz w:val="21"/>
          <w:lang w:eastAsia="zh-CN" w:val="zh-CN" w:bidi="ar-SA"/>
        </w:rPr>
        <w:t>理论总学时 32</w:t>
      </w:r>
    </w:p>
    <w:p>
      <w:pPr>
        <w:keepNext/>
        <w:spacing w:before="0" w:after="0" w:line="240" w:lineRule="auto"/>
        <w:jc w:val="left"/>
      </w:pPr>
      <w:r>
        <w:rPr>
          <w:rFonts w:ascii="Times New Roman" w:hAnsi="Times New Roman" w:eastAsia="宋体" w:hint="eastAsia"/>
          <w:b/>
          <w:sz w:val="28"/>
          <w:lang w:eastAsia="zh-CN" w:val="zh-CN" w:bidi="ar-SA"/>
        </w:rPr>
        <w:t>四、课程评价</w:t>
      </w:r>
    </w:p>
    <w:p>
      <w:pPr>
        <w:keepNext/>
        <w:spacing w:before="0" w:after="0" w:line="240" w:lineRule="auto"/>
        <w:jc w:val="left"/>
      </w:pPr>
      <w:r>
        <w:rPr>
          <w:rFonts w:ascii="Times New Roman" w:hAnsi="Times New Roman" w:eastAsia="宋体" w:hint="eastAsia"/>
          <w:b w:val="0"/>
          <w:sz w:val="21"/>
          <w:lang w:eastAsia="zh-CN" w:val="zh-CN" w:bidi="ar-SA"/>
        </w:rPr>
        <w:t>（一）考核内容、考核方式与课程目标对应关系</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512"/>
        <w:gridCol w:w="1512"/>
        <w:gridCol w:w="1512"/>
        <w:gridCol w:w="1512"/>
        <w:gridCol w:w="1512"/>
        <w:gridCol w:w="1512"/>
      </w:tblGrid>
      <w:tr>
        <w:trPr>
          <w:tblHeader w:val="true"/>
        </w:trPr>
        <w:tc>
          <w:tcPr>
            <w:tcW w:type="dxa" w:w="1512"/>
          </w:tcPr>
          <w:p>
            <w:pPr>
              <w:jc w:val="center"/>
            </w:pPr>
            <w:r>
              <w:rPr>
                <w:rFonts w:ascii="Times New Roman" w:hAnsi="Times New Roman" w:eastAsia="宋体" w:hint="eastAsia"/>
                <w:b/>
                <w:sz w:val="15"/>
                <w:lang w:eastAsia="zh-CN" w:val="zh-CN" w:bidi="ar-SA"/>
              </w:rPr>
              <w:t>考核内容</w:t>
            </w:r>
          </w:p>
        </w:tc>
        <w:tc>
          <w:tcPr>
            <w:tcW w:type="dxa" w:w="1512"/>
          </w:tcPr>
          <w:p>
            <w:pPr>
              <w:jc w:val="center"/>
            </w:pPr>
            <w:r>
              <w:rPr>
                <w:rFonts w:ascii="Times New Roman" w:hAnsi="Times New Roman" w:eastAsia="宋体" w:hint="eastAsia"/>
                <w:b/>
                <w:sz w:val="15"/>
                <w:lang w:eastAsia="zh-CN" w:val="zh-CN" w:bidi="ar-SA"/>
              </w:rPr>
              <w:t>总学时</w:t>
            </w:r>
          </w:p>
        </w:tc>
        <w:tc>
          <w:tcPr>
            <w:tcW w:type="dxa" w:w="1512"/>
          </w:tcPr>
          <w:p>
            <w:pPr>
              <w:jc w:val="center"/>
            </w:pPr>
            <w:r>
              <w:rPr>
                <w:rFonts w:ascii="Times New Roman" w:hAnsi="Times New Roman" w:eastAsia="宋体" w:hint="eastAsia"/>
                <w:b/>
                <w:sz w:val="15"/>
                <w:lang w:eastAsia="zh-CN" w:val="zh-CN" w:bidi="ar-SA"/>
              </w:rPr>
              <w:t>平时成绩（20%）</w:t>
            </w:r>
          </w:p>
        </w:tc>
        <w:tc>
          <w:tcPr>
            <w:tcW w:type="dxa" w:w="1512"/>
          </w:tcPr>
          <w:p>
            <w:pPr>
              <w:jc w:val="center"/>
            </w:pPr>
            <w:r>
              <w:rPr>
                <w:rFonts w:ascii="Times New Roman" w:hAnsi="Times New Roman" w:eastAsia="宋体" w:hint="eastAsia"/>
                <w:b/>
                <w:sz w:val="15"/>
                <w:lang w:eastAsia="zh-CN" w:val="zh-CN" w:bidi="ar-SA"/>
              </w:rPr>
              <w:t>课程作业（20%）</w:t>
            </w:r>
          </w:p>
        </w:tc>
        <w:tc>
          <w:tcPr>
            <w:tcW w:type="dxa" w:w="1512"/>
          </w:tcPr>
          <w:p>
            <w:pPr>
              <w:jc w:val="center"/>
            </w:pPr>
            <w:r>
              <w:rPr>
                <w:rFonts w:ascii="Times New Roman" w:hAnsi="Times New Roman" w:eastAsia="宋体" w:hint="eastAsia"/>
                <w:b/>
                <w:sz w:val="15"/>
                <w:lang w:eastAsia="zh-CN" w:val="zh-CN" w:bidi="ar-SA"/>
              </w:rPr>
              <w:t>期末考核（60%）</w:t>
            </w:r>
          </w:p>
        </w:tc>
        <w:tc>
          <w:tcPr>
            <w:tcW w:type="dxa" w:w="1512"/>
          </w:tcPr>
          <w:p>
            <w:pPr>
              <w:jc w:val="center"/>
            </w:pPr>
            <w:r>
              <w:rPr>
                <w:rFonts w:ascii="Times New Roman" w:hAnsi="Times New Roman" w:eastAsia="宋体" w:hint="eastAsia"/>
                <w:b/>
                <w:sz w:val="15"/>
                <w:lang w:eastAsia="zh-CN" w:val="zh-CN" w:bidi="ar-SA"/>
              </w:rPr>
              <w:t>课程目标</w:t>
            </w:r>
          </w:p>
        </w:tc>
      </w:tr>
      <w:tr>
        <w:trPr>
          <w:cantSplit/>
        </w:trPr>
        <w:tc>
          <w:tcPr>
            <w:tcW w:type="dxa" w:w="1512"/>
          </w:tcPr>
          <w:p>
            <w:pPr>
              <w:jc w:val="left"/>
            </w:pPr>
            <w:r>
              <w:rPr>
                <w:rFonts w:ascii="Times New Roman" w:hAnsi="Times New Roman" w:eastAsia="宋体" w:hint="eastAsia"/>
                <w:b w:val="0"/>
                <w:sz w:val="14"/>
                <w:lang w:eastAsia="zh-CN" w:val="zh-CN" w:bidi="ar-SA"/>
              </w:rPr>
              <w:t>绪论与智能制造装备共性技术</w:t>
            </w:r>
          </w:p>
        </w:tc>
        <w:tc>
          <w:tcPr>
            <w:tcW w:type="dxa" w:w="1512"/>
          </w:tcPr>
          <w:p>
            <w:pPr>
              <w:jc w:val="center"/>
            </w:pPr>
            <w:r>
              <w:rPr>
                <w:rFonts w:ascii="Times New Roman" w:hAnsi="Times New Roman" w:eastAsia="宋体" w:hint="eastAsia"/>
                <w:b w:val="0"/>
                <w:sz w:val="14"/>
                <w:lang w:eastAsia="zh-CN" w:val="zh-CN" w:bidi="ar-SA"/>
              </w:rPr>
              <w:t>4</w:t>
            </w:r>
          </w:p>
        </w:tc>
        <w:tc>
          <w:tcPr>
            <w:tcW w:type="dxa" w:w="1512"/>
          </w:tcPr>
          <w:p>
            <w:pPr>
              <w:jc w:val="center"/>
            </w:pPr>
            <w:r>
              <w:rPr>
                <w:rFonts w:ascii="Times New Roman" w:hAnsi="Times New Roman" w:eastAsia="宋体" w:hint="eastAsia"/>
                <w:b w:val="0"/>
                <w:sz w:val="14"/>
                <w:lang w:eastAsia="zh-CN" w:val="zh-CN" w:bidi="ar-SA"/>
              </w:rPr>
              <w:t>10%</w:t>
            </w:r>
          </w:p>
        </w:tc>
        <w:tc>
          <w:tcPr>
            <w:tcW w:type="dxa" w:w="1512"/>
          </w:tcPr>
          <w:p>
            <w:pPr>
              <w:jc w:val="center"/>
            </w:pPr>
            <w:r>
              <w:rPr>
                <w:rFonts w:ascii="Times New Roman" w:hAnsi="Times New Roman" w:eastAsia="宋体" w:hint="eastAsia"/>
                <w:b w:val="0"/>
                <w:sz w:val="14"/>
                <w:lang w:eastAsia="zh-CN" w:val="zh-CN" w:bidi="ar-SA"/>
              </w:rPr>
              <w:t>10%</w:t>
            </w:r>
          </w:p>
        </w:tc>
        <w:tc>
          <w:tcPr>
            <w:tcW w:type="dxa" w:w="1512"/>
          </w:tcPr>
          <w:p>
            <w:pPr>
              <w:jc w:val="center"/>
            </w:pPr>
            <w:r>
              <w:rPr>
                <w:rFonts w:ascii="Times New Roman" w:hAnsi="Times New Roman" w:eastAsia="宋体" w:hint="eastAsia"/>
                <w:b w:val="0"/>
                <w:sz w:val="14"/>
                <w:lang w:eastAsia="zh-CN" w:val="zh-CN" w:bidi="ar-SA"/>
              </w:rPr>
              <w:t>10%</w:t>
            </w:r>
          </w:p>
        </w:tc>
        <w:tc>
          <w:tcPr>
            <w:tcW w:type="dxa" w:w="1512"/>
          </w:tcPr>
          <w:p>
            <w:pPr>
              <w:jc w:val="center"/>
            </w:pPr>
            <w:r>
              <w:rPr>
                <w:rFonts w:ascii="Times New Roman" w:hAnsi="Times New Roman" w:eastAsia="宋体" w:hint="eastAsia"/>
                <w:b w:val="0"/>
                <w:sz w:val="14"/>
                <w:lang w:eastAsia="zh-CN" w:val="zh-CN" w:bidi="ar-SA"/>
              </w:rPr>
              <w:t>目标 1.1，2.1，3.1</w:t>
            </w:r>
          </w:p>
        </w:tc>
      </w:tr>
      <w:tr>
        <w:trPr>
          <w:cantSplit/>
        </w:trPr>
        <w:tc>
          <w:tcPr>
            <w:tcW w:type="dxa" w:w="1512"/>
          </w:tcPr>
          <w:p>
            <w:pPr>
              <w:jc w:val="left"/>
            </w:pPr>
            <w:r>
              <w:rPr>
                <w:rFonts w:ascii="Times New Roman" w:hAnsi="Times New Roman" w:eastAsia="宋体" w:hint="eastAsia"/>
                <w:b w:val="0"/>
                <w:sz w:val="14"/>
                <w:lang w:eastAsia="zh-CN" w:val="zh-CN" w:bidi="ar-SA"/>
              </w:rPr>
              <w:t>第一单元 智能数控机床与加工中心</w:t>
            </w:r>
          </w:p>
        </w:tc>
        <w:tc>
          <w:tcPr>
            <w:tcW w:type="dxa" w:w="1512"/>
          </w:tcPr>
          <w:p>
            <w:pPr>
              <w:jc w:val="center"/>
            </w:pPr>
            <w:r>
              <w:rPr>
                <w:rFonts w:ascii="Times New Roman" w:hAnsi="Times New Roman" w:eastAsia="宋体" w:hint="eastAsia"/>
                <w:b w:val="0"/>
                <w:sz w:val="14"/>
                <w:lang w:eastAsia="zh-CN" w:val="zh-CN" w:bidi="ar-SA"/>
              </w:rPr>
              <w:t>6</w:t>
            </w:r>
          </w:p>
        </w:tc>
        <w:tc>
          <w:tcPr>
            <w:tcW w:type="dxa" w:w="1512"/>
          </w:tcPr>
          <w:p>
            <w:pPr>
              <w:jc w:val="center"/>
            </w:pPr>
            <w:r>
              <w:rPr>
                <w:rFonts w:ascii="Times New Roman" w:hAnsi="Times New Roman" w:eastAsia="宋体" w:hint="eastAsia"/>
                <w:b w:val="0"/>
                <w:sz w:val="14"/>
                <w:lang w:eastAsia="zh-CN" w:val="zh-CN" w:bidi="ar-SA"/>
              </w:rPr>
              <w:t>15%</w:t>
            </w:r>
          </w:p>
        </w:tc>
        <w:tc>
          <w:tcPr>
            <w:tcW w:type="dxa" w:w="1512"/>
          </w:tcPr>
          <w:p>
            <w:pPr>
              <w:jc w:val="center"/>
            </w:pPr>
            <w:r>
              <w:rPr>
                <w:rFonts w:ascii="Times New Roman" w:hAnsi="Times New Roman" w:eastAsia="宋体" w:hint="eastAsia"/>
                <w:b w:val="0"/>
                <w:sz w:val="14"/>
                <w:lang w:eastAsia="zh-CN" w:val="zh-CN" w:bidi="ar-SA"/>
              </w:rPr>
              <w:t>15%</w:t>
            </w:r>
          </w:p>
        </w:tc>
        <w:tc>
          <w:tcPr>
            <w:tcW w:type="dxa" w:w="1512"/>
          </w:tcPr>
          <w:p>
            <w:pPr>
              <w:jc w:val="center"/>
            </w:pPr>
            <w:r>
              <w:rPr>
                <w:rFonts w:ascii="Times New Roman" w:hAnsi="Times New Roman" w:eastAsia="宋体" w:hint="eastAsia"/>
                <w:b w:val="0"/>
                <w:sz w:val="14"/>
                <w:lang w:eastAsia="zh-CN" w:val="zh-CN" w:bidi="ar-SA"/>
              </w:rPr>
              <w:t>15%</w:t>
            </w:r>
          </w:p>
        </w:tc>
        <w:tc>
          <w:tcPr>
            <w:tcW w:type="dxa" w:w="1512"/>
          </w:tcPr>
          <w:p>
            <w:pPr>
              <w:jc w:val="center"/>
            </w:pPr>
            <w:r>
              <w:rPr>
                <w:rFonts w:ascii="Times New Roman" w:hAnsi="Times New Roman" w:eastAsia="宋体" w:hint="eastAsia"/>
                <w:b w:val="0"/>
                <w:sz w:val="14"/>
                <w:lang w:eastAsia="zh-CN" w:val="zh-CN" w:bidi="ar-SA"/>
              </w:rPr>
              <w:t>目标 1.2，2.2，3.2</w:t>
            </w:r>
          </w:p>
        </w:tc>
      </w:tr>
      <w:tr>
        <w:trPr>
          <w:cantSplit/>
        </w:trPr>
        <w:tc>
          <w:tcPr>
            <w:tcW w:type="dxa" w:w="1512"/>
          </w:tcPr>
          <w:p>
            <w:pPr>
              <w:jc w:val="left"/>
            </w:pPr>
            <w:r>
              <w:rPr>
                <w:rFonts w:ascii="Times New Roman" w:hAnsi="Times New Roman" w:eastAsia="宋体" w:hint="eastAsia"/>
                <w:b w:val="0"/>
                <w:sz w:val="14"/>
                <w:lang w:eastAsia="zh-CN" w:val="zh-CN" w:bidi="ar-SA"/>
              </w:rPr>
              <w:t>第二单元 工业机器人与制造工作站</w:t>
            </w:r>
          </w:p>
        </w:tc>
        <w:tc>
          <w:tcPr>
            <w:tcW w:type="dxa" w:w="1512"/>
          </w:tcPr>
          <w:p>
            <w:pPr>
              <w:jc w:val="center"/>
            </w:pPr>
            <w:r>
              <w:rPr>
                <w:rFonts w:ascii="Times New Roman" w:hAnsi="Times New Roman" w:eastAsia="宋体" w:hint="eastAsia"/>
                <w:b w:val="0"/>
                <w:sz w:val="14"/>
                <w:lang w:eastAsia="zh-CN" w:val="zh-CN" w:bidi="ar-SA"/>
              </w:rPr>
              <w:t>5</w:t>
            </w:r>
          </w:p>
        </w:tc>
        <w:tc>
          <w:tcPr>
            <w:tcW w:type="dxa" w:w="1512"/>
          </w:tcPr>
          <w:p>
            <w:pPr>
              <w:jc w:val="center"/>
            </w:pPr>
            <w:r>
              <w:rPr>
                <w:rFonts w:ascii="Times New Roman" w:hAnsi="Times New Roman" w:eastAsia="宋体" w:hint="eastAsia"/>
                <w:b w:val="0"/>
                <w:sz w:val="14"/>
                <w:lang w:eastAsia="zh-CN" w:val="zh-CN" w:bidi="ar-SA"/>
              </w:rPr>
              <w:t>15%</w:t>
            </w:r>
          </w:p>
        </w:tc>
        <w:tc>
          <w:tcPr>
            <w:tcW w:type="dxa" w:w="1512"/>
          </w:tcPr>
          <w:p>
            <w:pPr>
              <w:jc w:val="center"/>
            </w:pPr>
            <w:r>
              <w:rPr>
                <w:rFonts w:ascii="Times New Roman" w:hAnsi="Times New Roman" w:eastAsia="宋体" w:hint="eastAsia"/>
                <w:b w:val="0"/>
                <w:sz w:val="14"/>
                <w:lang w:eastAsia="zh-CN" w:val="zh-CN" w:bidi="ar-SA"/>
              </w:rPr>
              <w:t>10%</w:t>
            </w:r>
          </w:p>
        </w:tc>
        <w:tc>
          <w:tcPr>
            <w:tcW w:type="dxa" w:w="1512"/>
          </w:tcPr>
          <w:p>
            <w:pPr>
              <w:jc w:val="center"/>
            </w:pPr>
            <w:r>
              <w:rPr>
                <w:rFonts w:ascii="Times New Roman" w:hAnsi="Times New Roman" w:eastAsia="宋体" w:hint="eastAsia"/>
                <w:b w:val="0"/>
                <w:sz w:val="14"/>
                <w:lang w:eastAsia="zh-CN" w:val="zh-CN" w:bidi="ar-SA"/>
              </w:rPr>
              <w:t>15%</w:t>
            </w:r>
          </w:p>
        </w:tc>
        <w:tc>
          <w:tcPr>
            <w:tcW w:type="dxa" w:w="1512"/>
          </w:tcPr>
          <w:p>
            <w:pPr>
              <w:jc w:val="center"/>
            </w:pPr>
            <w:r>
              <w:rPr>
                <w:rFonts w:ascii="Times New Roman" w:hAnsi="Times New Roman" w:eastAsia="宋体" w:hint="eastAsia"/>
                <w:b w:val="0"/>
                <w:sz w:val="14"/>
                <w:lang w:eastAsia="zh-CN" w:val="zh-CN" w:bidi="ar-SA"/>
              </w:rPr>
              <w:t>目标 1.3，2.3，3.2，3.4</w:t>
            </w:r>
          </w:p>
        </w:tc>
      </w:tr>
      <w:tr>
        <w:trPr>
          <w:cantSplit/>
        </w:trPr>
        <w:tc>
          <w:tcPr>
            <w:tcW w:type="dxa" w:w="1512"/>
          </w:tcPr>
          <w:p>
            <w:pPr>
              <w:jc w:val="left"/>
            </w:pPr>
            <w:r>
              <w:rPr>
                <w:rFonts w:ascii="Times New Roman" w:hAnsi="Times New Roman" w:eastAsia="宋体" w:hint="eastAsia"/>
                <w:b w:val="0"/>
                <w:sz w:val="14"/>
                <w:lang w:eastAsia="zh-CN" w:val="zh-CN" w:bidi="ar-SA"/>
              </w:rPr>
              <w:t>第三单元 FDM增材制造装备</w:t>
            </w:r>
          </w:p>
        </w:tc>
        <w:tc>
          <w:tcPr>
            <w:tcW w:type="dxa" w:w="1512"/>
          </w:tcPr>
          <w:p>
            <w:pPr>
              <w:jc w:val="center"/>
            </w:pPr>
            <w:r>
              <w:rPr>
                <w:rFonts w:ascii="Times New Roman" w:hAnsi="Times New Roman" w:eastAsia="宋体" w:hint="eastAsia"/>
                <w:b w:val="0"/>
                <w:sz w:val="14"/>
                <w:lang w:eastAsia="zh-CN" w:val="zh-CN" w:bidi="ar-SA"/>
              </w:rPr>
              <w:t>5</w:t>
            </w:r>
          </w:p>
        </w:tc>
        <w:tc>
          <w:tcPr>
            <w:tcW w:type="dxa" w:w="1512"/>
          </w:tcPr>
          <w:p>
            <w:pPr>
              <w:jc w:val="center"/>
            </w:pPr>
            <w:r>
              <w:rPr>
                <w:rFonts w:ascii="Times New Roman" w:hAnsi="Times New Roman" w:eastAsia="宋体" w:hint="eastAsia"/>
                <w:b w:val="0"/>
                <w:sz w:val="14"/>
                <w:lang w:eastAsia="zh-CN" w:val="zh-CN" w:bidi="ar-SA"/>
              </w:rPr>
              <w:t>15%</w:t>
            </w:r>
          </w:p>
        </w:tc>
        <w:tc>
          <w:tcPr>
            <w:tcW w:type="dxa" w:w="1512"/>
          </w:tcPr>
          <w:p>
            <w:pPr>
              <w:jc w:val="center"/>
            </w:pPr>
            <w:r>
              <w:rPr>
                <w:rFonts w:ascii="Times New Roman" w:hAnsi="Times New Roman" w:eastAsia="宋体" w:hint="eastAsia"/>
                <w:b w:val="0"/>
                <w:sz w:val="14"/>
                <w:lang w:eastAsia="zh-CN" w:val="zh-CN" w:bidi="ar-SA"/>
              </w:rPr>
              <w:t>10%</w:t>
            </w:r>
          </w:p>
        </w:tc>
        <w:tc>
          <w:tcPr>
            <w:tcW w:type="dxa" w:w="1512"/>
          </w:tcPr>
          <w:p>
            <w:pPr>
              <w:jc w:val="center"/>
            </w:pPr>
            <w:r>
              <w:rPr>
                <w:rFonts w:ascii="Times New Roman" w:hAnsi="Times New Roman" w:eastAsia="宋体" w:hint="eastAsia"/>
                <w:b w:val="0"/>
                <w:sz w:val="14"/>
                <w:lang w:eastAsia="zh-CN" w:val="zh-CN" w:bidi="ar-SA"/>
              </w:rPr>
              <w:t>15%</w:t>
            </w:r>
          </w:p>
        </w:tc>
        <w:tc>
          <w:tcPr>
            <w:tcW w:type="dxa" w:w="1512"/>
          </w:tcPr>
          <w:p>
            <w:pPr>
              <w:jc w:val="center"/>
            </w:pPr>
            <w:r>
              <w:rPr>
                <w:rFonts w:ascii="Times New Roman" w:hAnsi="Times New Roman" w:eastAsia="宋体" w:hint="eastAsia"/>
                <w:b w:val="0"/>
                <w:sz w:val="14"/>
                <w:lang w:eastAsia="zh-CN" w:val="zh-CN" w:bidi="ar-SA"/>
              </w:rPr>
              <w:t>目标 1.4，2.4，3.2，3.5</w:t>
            </w:r>
          </w:p>
        </w:tc>
      </w:tr>
      <w:tr>
        <w:trPr>
          <w:cantSplit/>
        </w:trPr>
        <w:tc>
          <w:tcPr>
            <w:tcW w:type="dxa" w:w="1512"/>
          </w:tcPr>
          <w:p>
            <w:pPr>
              <w:jc w:val="left"/>
            </w:pPr>
            <w:r>
              <w:rPr>
                <w:rFonts w:ascii="Times New Roman" w:hAnsi="Times New Roman" w:eastAsia="宋体" w:hint="eastAsia"/>
                <w:b w:val="0"/>
                <w:sz w:val="14"/>
                <w:lang w:eastAsia="zh-CN" w:val="zh-CN" w:bidi="ar-SA"/>
              </w:rPr>
              <w:t>第四单元 智能制造装备单元集成</w:t>
            </w:r>
          </w:p>
        </w:tc>
        <w:tc>
          <w:tcPr>
            <w:tcW w:type="dxa" w:w="1512"/>
          </w:tcPr>
          <w:p>
            <w:pPr>
              <w:jc w:val="center"/>
            </w:pPr>
            <w:r>
              <w:rPr>
                <w:rFonts w:ascii="Times New Roman" w:hAnsi="Times New Roman" w:eastAsia="宋体" w:hint="eastAsia"/>
                <w:b w:val="0"/>
                <w:sz w:val="14"/>
                <w:lang w:eastAsia="zh-CN" w:val="zh-CN" w:bidi="ar-SA"/>
              </w:rPr>
              <w:t>6</w:t>
            </w:r>
          </w:p>
        </w:tc>
        <w:tc>
          <w:tcPr>
            <w:tcW w:type="dxa" w:w="1512"/>
          </w:tcPr>
          <w:p>
            <w:pPr>
              <w:jc w:val="center"/>
            </w:pPr>
            <w:r>
              <w:rPr>
                <w:rFonts w:ascii="Times New Roman" w:hAnsi="Times New Roman" w:eastAsia="宋体" w:hint="eastAsia"/>
                <w:b w:val="0"/>
                <w:sz w:val="14"/>
                <w:lang w:eastAsia="zh-CN" w:val="zh-CN" w:bidi="ar-SA"/>
              </w:rPr>
              <w:t>20%</w:t>
            </w:r>
          </w:p>
        </w:tc>
        <w:tc>
          <w:tcPr>
            <w:tcW w:type="dxa" w:w="1512"/>
          </w:tcPr>
          <w:p>
            <w:pPr>
              <w:jc w:val="center"/>
            </w:pPr>
            <w:r>
              <w:rPr>
                <w:rFonts w:ascii="Times New Roman" w:hAnsi="Times New Roman" w:eastAsia="宋体" w:hint="eastAsia"/>
                <w:b w:val="0"/>
                <w:sz w:val="14"/>
                <w:lang w:eastAsia="zh-CN" w:val="zh-CN" w:bidi="ar-SA"/>
              </w:rPr>
              <w:t>15%</w:t>
            </w:r>
          </w:p>
        </w:tc>
        <w:tc>
          <w:tcPr>
            <w:tcW w:type="dxa" w:w="1512"/>
          </w:tcPr>
          <w:p>
            <w:pPr>
              <w:jc w:val="center"/>
            </w:pPr>
            <w:r>
              <w:rPr>
                <w:rFonts w:ascii="Times New Roman" w:hAnsi="Times New Roman" w:eastAsia="宋体" w:hint="eastAsia"/>
                <w:b w:val="0"/>
                <w:sz w:val="14"/>
                <w:lang w:eastAsia="zh-CN" w:val="zh-CN" w:bidi="ar-SA"/>
              </w:rPr>
              <w:t>20%</w:t>
            </w:r>
          </w:p>
        </w:tc>
        <w:tc>
          <w:tcPr>
            <w:tcW w:type="dxa" w:w="1512"/>
          </w:tcPr>
          <w:p>
            <w:pPr>
              <w:jc w:val="center"/>
            </w:pPr>
            <w:r>
              <w:rPr>
                <w:rFonts w:ascii="Times New Roman" w:hAnsi="Times New Roman" w:eastAsia="宋体" w:hint="eastAsia"/>
                <w:b w:val="0"/>
                <w:sz w:val="14"/>
                <w:lang w:eastAsia="zh-CN" w:val="zh-CN" w:bidi="ar-SA"/>
              </w:rPr>
              <w:t>目标 1.5，2.5，3.1，3.4，3.5</w:t>
            </w:r>
          </w:p>
        </w:tc>
      </w:tr>
      <w:tr>
        <w:trPr>
          <w:cantSplit/>
        </w:trPr>
        <w:tc>
          <w:tcPr>
            <w:tcW w:type="dxa" w:w="1512"/>
          </w:tcPr>
          <w:p>
            <w:pPr>
              <w:jc w:val="left"/>
            </w:pPr>
            <w:r>
              <w:rPr>
                <w:rFonts w:ascii="Times New Roman" w:hAnsi="Times New Roman" w:eastAsia="宋体" w:hint="eastAsia"/>
                <w:b w:val="0"/>
                <w:sz w:val="14"/>
                <w:lang w:eastAsia="zh-CN" w:val="zh-CN" w:bidi="ar-SA"/>
              </w:rPr>
              <w:t>第五单元 状态监测、故障诊断与模式识别</w:t>
            </w:r>
          </w:p>
        </w:tc>
        <w:tc>
          <w:tcPr>
            <w:tcW w:type="dxa" w:w="1512"/>
          </w:tcPr>
          <w:p>
            <w:pPr>
              <w:jc w:val="center"/>
            </w:pPr>
            <w:r>
              <w:rPr>
                <w:rFonts w:ascii="Times New Roman" w:hAnsi="Times New Roman" w:eastAsia="宋体" w:hint="eastAsia"/>
                <w:b w:val="0"/>
                <w:sz w:val="14"/>
                <w:lang w:eastAsia="zh-CN" w:val="zh-CN" w:bidi="ar-SA"/>
              </w:rPr>
              <w:t>6</w:t>
            </w:r>
          </w:p>
        </w:tc>
        <w:tc>
          <w:tcPr>
            <w:tcW w:type="dxa" w:w="1512"/>
          </w:tcPr>
          <w:p>
            <w:pPr>
              <w:jc w:val="center"/>
            </w:pPr>
            <w:r>
              <w:rPr>
                <w:rFonts w:ascii="Times New Roman" w:hAnsi="Times New Roman" w:eastAsia="宋体" w:hint="eastAsia"/>
                <w:b w:val="0"/>
                <w:sz w:val="14"/>
                <w:lang w:eastAsia="zh-CN" w:val="zh-CN" w:bidi="ar-SA"/>
              </w:rPr>
              <w:t>25%</w:t>
            </w:r>
          </w:p>
        </w:tc>
        <w:tc>
          <w:tcPr>
            <w:tcW w:type="dxa" w:w="1512"/>
          </w:tcPr>
          <w:p>
            <w:pPr>
              <w:jc w:val="center"/>
            </w:pPr>
            <w:r>
              <w:rPr>
                <w:rFonts w:ascii="Times New Roman" w:hAnsi="Times New Roman" w:eastAsia="宋体" w:hint="eastAsia"/>
                <w:b w:val="0"/>
                <w:sz w:val="14"/>
                <w:lang w:eastAsia="zh-CN" w:val="zh-CN" w:bidi="ar-SA"/>
              </w:rPr>
              <w:t>40%</w:t>
            </w:r>
          </w:p>
        </w:tc>
        <w:tc>
          <w:tcPr>
            <w:tcW w:type="dxa" w:w="1512"/>
          </w:tcPr>
          <w:p>
            <w:pPr>
              <w:jc w:val="center"/>
            </w:pPr>
            <w:r>
              <w:rPr>
                <w:rFonts w:ascii="Times New Roman" w:hAnsi="Times New Roman" w:eastAsia="宋体" w:hint="eastAsia"/>
                <w:b w:val="0"/>
                <w:sz w:val="14"/>
                <w:lang w:eastAsia="zh-CN" w:val="zh-CN" w:bidi="ar-SA"/>
              </w:rPr>
              <w:t>25%</w:t>
            </w:r>
          </w:p>
        </w:tc>
        <w:tc>
          <w:tcPr>
            <w:tcW w:type="dxa" w:w="1512"/>
          </w:tcPr>
          <w:p>
            <w:pPr>
              <w:jc w:val="center"/>
            </w:pPr>
            <w:r>
              <w:rPr>
                <w:rFonts w:ascii="Times New Roman" w:hAnsi="Times New Roman" w:eastAsia="宋体" w:hint="eastAsia"/>
                <w:b w:val="0"/>
                <w:sz w:val="14"/>
                <w:lang w:eastAsia="zh-CN" w:val="zh-CN" w:bidi="ar-SA"/>
              </w:rPr>
              <w:t>目标 1.6，2.6，3.3，3.6</w:t>
            </w:r>
          </w:p>
        </w:tc>
      </w:tr>
      <w:tr>
        <w:trPr>
          <w:cantSplit/>
        </w:trPr>
        <w:tc>
          <w:tcPr>
            <w:tcW w:type="dxa" w:w="1512"/>
          </w:tcPr>
          <w:p>
            <w:pPr>
              <w:jc w:val="left"/>
            </w:pPr>
            <w:r>
              <w:rPr>
                <w:rFonts w:ascii="Times New Roman" w:hAnsi="Times New Roman" w:eastAsia="宋体" w:hint="eastAsia"/>
                <w:b/>
                <w:sz w:val="14"/>
                <w:lang w:eastAsia="zh-CN" w:val="zh-CN" w:bidi="ar-SA"/>
              </w:rPr>
              <w:t>合计</w:t>
            </w:r>
          </w:p>
        </w:tc>
        <w:tc>
          <w:tcPr>
            <w:tcW w:type="dxa" w:w="1512"/>
          </w:tcPr>
          <w:p>
            <w:pPr>
              <w:jc w:val="center"/>
            </w:pPr>
            <w:r>
              <w:rPr>
                <w:rFonts w:ascii="Times New Roman" w:hAnsi="Times New Roman" w:eastAsia="宋体" w:hint="eastAsia"/>
                <w:b/>
                <w:sz w:val="14"/>
                <w:lang w:eastAsia="zh-CN" w:val="zh-CN" w:bidi="ar-SA"/>
              </w:rPr>
              <w:t>32</w:t>
            </w:r>
          </w:p>
        </w:tc>
        <w:tc>
          <w:tcPr>
            <w:tcW w:type="dxa" w:w="1512"/>
          </w:tcPr>
          <w:p>
            <w:pPr>
              <w:jc w:val="center"/>
            </w:pPr>
            <w:r>
              <w:rPr>
                <w:rFonts w:ascii="Times New Roman" w:hAnsi="Times New Roman" w:eastAsia="宋体" w:hint="eastAsia"/>
                <w:b/>
                <w:sz w:val="14"/>
                <w:lang w:eastAsia="zh-CN" w:val="zh-CN" w:bidi="ar-SA"/>
              </w:rPr>
              <w:t>100%</w:t>
            </w:r>
          </w:p>
        </w:tc>
        <w:tc>
          <w:tcPr>
            <w:tcW w:type="dxa" w:w="1512"/>
          </w:tcPr>
          <w:p>
            <w:pPr>
              <w:jc w:val="center"/>
            </w:pPr>
            <w:r>
              <w:rPr>
                <w:rFonts w:ascii="Times New Roman" w:hAnsi="Times New Roman" w:eastAsia="宋体" w:hint="eastAsia"/>
                <w:b/>
                <w:sz w:val="14"/>
                <w:lang w:eastAsia="zh-CN" w:val="zh-CN" w:bidi="ar-SA"/>
              </w:rPr>
              <w:t>100%</w:t>
            </w:r>
          </w:p>
        </w:tc>
        <w:tc>
          <w:tcPr>
            <w:tcW w:type="dxa" w:w="1512"/>
          </w:tcPr>
          <w:p>
            <w:pPr>
              <w:jc w:val="center"/>
            </w:pPr>
            <w:r>
              <w:rPr>
                <w:rFonts w:ascii="Times New Roman" w:hAnsi="Times New Roman" w:eastAsia="宋体" w:hint="eastAsia"/>
                <w:b/>
                <w:sz w:val="14"/>
                <w:lang w:eastAsia="zh-CN" w:val="zh-CN" w:bidi="ar-SA"/>
              </w:rPr>
              <w:t>100%</w:t>
            </w:r>
          </w:p>
        </w:tc>
        <w:tc>
          <w:tcPr>
            <w:tcW w:type="dxa" w:w="1512"/>
          </w:tcPr>
          <w:p>
            <w:pPr>
              <w:jc w:val="center"/>
            </w:pPr>
            <w:r>
              <w:rPr>
                <w:rFonts w:ascii="Times New Roman" w:hAnsi="Times New Roman" w:eastAsia="宋体" w:hint="eastAsia"/>
                <w:b/>
                <w:sz w:val="14"/>
                <w:lang w:eastAsia="zh-CN" w:val="zh-CN" w:bidi="ar-SA"/>
              </w:rPr>
              <w:t>—</w:t>
            </w:r>
          </w:p>
        </w:tc>
      </w:tr>
    </w:tbl>
    <w:p>
      <w:pPr>
        <w:keepNext/>
        <w:spacing w:before="0" w:after="0" w:line="240" w:lineRule="auto"/>
        <w:jc w:val="left"/>
      </w:pPr>
      <w:r>
        <w:rPr>
          <w:rFonts w:ascii="Times New Roman" w:hAnsi="Times New Roman" w:eastAsia="宋体" w:hint="eastAsia"/>
          <w:b w:val="0"/>
          <w:sz w:val="21"/>
          <w:lang w:eastAsia="zh-CN" w:val="zh-CN" w:bidi="ar-SA"/>
        </w:rPr>
        <w:t>（二）考核方式与评分标准</w:t>
      </w:r>
    </w:p>
    <w:p>
      <w:pPr>
        <w:keepNext/>
        <w:spacing w:before="0" w:after="0" w:line="240" w:lineRule="auto"/>
        <w:jc w:val="left"/>
      </w:pPr>
      <w:r>
        <w:rPr>
          <w:rFonts w:ascii="Times New Roman" w:hAnsi="Times New Roman" w:eastAsia="宋体" w:hint="eastAsia"/>
          <w:b w:val="0"/>
          <w:sz w:val="21"/>
          <w:lang w:eastAsia="zh-CN" w:val="zh-CN" w:bidi="ar-SA"/>
        </w:rPr>
        <w:t>1.考核方式</w:t>
      </w:r>
    </w:p>
    <w:p>
      <w:pPr>
        <w:keepNext w:val="0"/>
        <w:spacing w:before="0" w:after="0" w:line="300" w:lineRule="auto"/>
        <w:jc w:val="both"/>
      </w:pPr>
      <w:r>
        <w:rPr>
          <w:rFonts w:ascii="Times New Roman" w:hAnsi="Times New Roman" w:eastAsia="宋体" w:hint="eastAsia"/>
          <w:b w:val="0"/>
          <w:sz w:val="21"/>
          <w:lang w:eastAsia="zh-CN" w:val="zh-CN" w:bidi="ar-SA"/>
        </w:rPr>
        <w:t>考查。</w:t>
      </w:r>
    </w:p>
    <w:p>
      <w:pPr>
        <w:keepNext/>
        <w:spacing w:before="0" w:after="0" w:line="240" w:lineRule="auto"/>
        <w:jc w:val="left"/>
      </w:pPr>
      <w:r>
        <w:rPr>
          <w:rFonts w:ascii="Times New Roman" w:hAnsi="Times New Roman" w:eastAsia="宋体" w:hint="eastAsia"/>
          <w:b w:val="0"/>
          <w:sz w:val="21"/>
          <w:lang w:eastAsia="zh-CN" w:val="zh-CN" w:bidi="ar-SA"/>
        </w:rPr>
        <w:t>2.评分说明</w:t>
      </w:r>
    </w:p>
    <w:p>
      <w:pPr>
        <w:keepNext w:val="0"/>
        <w:spacing w:before="0" w:after="0" w:line="288" w:lineRule="auto"/>
        <w:ind w:firstLine="420"/>
        <w:jc w:val="both"/>
      </w:pPr>
      <w:r>
        <w:rPr>
          <w:rFonts w:ascii="Times New Roman" w:hAnsi="Times New Roman" w:eastAsia="宋体" w:hint="eastAsia"/>
          <w:b w:val="0"/>
          <w:sz w:val="21"/>
          <w:lang w:eastAsia="zh-CN" w:val="zh-CN" w:bidi="ar-SA"/>
        </w:rPr>
        <w:t>本课程采用平时成绩、课程作业和期末考核相结合的方式。最终成绩100%=平时成绩20%＋课程作业20%＋期末考核60%。期末考核采用智能制造装备综合项目成果与个人答辩/核验相结合的综合考查形式，其中综合项目成果占期末考核内部90%，个人答辩/核验占期末考核内部10%；不设置闭卷笔试或机考。原单元案例作业和故障诊断案例的全部有效学习证据并入课程作业，原期末综合项目及个人核验要求并入期末考核。</w:t>
      </w:r>
    </w:p>
    <w:p>
      <w:pPr>
        <w:keepNext/>
        <w:spacing w:before="0" w:after="0" w:line="240" w:lineRule="auto"/>
        <w:jc w:val="left"/>
      </w:pPr>
      <w:r>
        <w:rPr>
          <w:rFonts w:ascii="Times New Roman" w:hAnsi="Times New Roman" w:eastAsia="宋体" w:hint="eastAsia"/>
          <w:b w:val="0"/>
          <w:sz w:val="21"/>
          <w:lang w:eastAsia="zh-CN" w:val="zh-CN" w:bidi="ar-SA"/>
        </w:rPr>
        <w:t>3.评分标准分项说明</w:t>
      </w:r>
    </w:p>
    <w:p>
      <w:pPr>
        <w:keepNext/>
        <w:spacing w:before="0" w:after="0" w:line="240" w:lineRule="auto"/>
        <w:jc w:val="left"/>
      </w:pPr>
      <w:r>
        <w:rPr>
          <w:rFonts w:ascii="Times New Roman" w:hAnsi="Times New Roman" w:eastAsia="宋体" w:hint="eastAsia"/>
          <w:b w:val="0"/>
          <w:sz w:val="21"/>
          <w:lang w:eastAsia="zh-CN" w:val="zh-CN" w:bidi="ar-SA"/>
        </w:rPr>
        <w:t>（1）平时成绩评分标准</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350"/>
        <w:gridCol w:w="700"/>
        <w:gridCol w:w="1400"/>
        <w:gridCol w:w="1400"/>
        <w:gridCol w:w="1400"/>
        <w:gridCol w:w="1400"/>
        <w:gridCol w:w="1400"/>
      </w:tblGrid>
      <w:tr>
        <w:trPr>
          <w:tblHeader w:val="true"/>
          <w:cantSplit/>
        </w:trPr>
        <w:tc>
          <w:tcPr>
            <w:tcW w:type="dxa" w:w="1350"/>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5"/>
                <w:lang w:eastAsia="zh-CN" w:val="zh-CN" w:bidi="ar-SA"/>
              </w:rPr>
              <w:t>评分指标</w:t>
            </w:r>
          </w:p>
        </w:tc>
        <w:tc>
          <w:tcPr>
            <w:tcW w:type="dxa" w:w="700"/>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5"/>
                <w:lang w:eastAsia="zh-CN" w:val="zh-CN" w:bidi="ar-SA"/>
              </w:rPr>
              <w:t>指标权重</w:t>
            </w:r>
          </w:p>
        </w:tc>
        <w:tc>
          <w:tcPr>
            <w:tcW w:type="dxa" w:w="1400"/>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5"/>
                <w:lang w:eastAsia="zh-CN" w:val="zh-CN" w:bidi="ar-SA"/>
              </w:rPr>
              <w:t>90–100（优）</w:t>
            </w:r>
          </w:p>
        </w:tc>
        <w:tc>
          <w:tcPr>
            <w:tcW w:type="dxa" w:w="1400"/>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5"/>
                <w:lang w:eastAsia="zh-CN" w:val="zh-CN" w:bidi="ar-SA"/>
              </w:rPr>
              <w:t>80–89（良）</w:t>
            </w:r>
          </w:p>
        </w:tc>
        <w:tc>
          <w:tcPr>
            <w:tcW w:type="dxa" w:w="1400"/>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5"/>
                <w:lang w:eastAsia="zh-CN" w:val="zh-CN" w:bidi="ar-SA"/>
              </w:rPr>
              <w:t>70–79（中）</w:t>
            </w:r>
          </w:p>
        </w:tc>
        <w:tc>
          <w:tcPr>
            <w:tcW w:type="dxa" w:w="1400"/>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5"/>
                <w:lang w:eastAsia="zh-CN" w:val="zh-CN" w:bidi="ar-SA"/>
              </w:rPr>
              <w:t>60–69（及格）</w:t>
            </w:r>
          </w:p>
        </w:tc>
        <w:tc>
          <w:tcPr>
            <w:tcW w:type="dxa" w:w="1400"/>
            <w:vAlign w:val="center"/>
            <w:tcMar>
              <w:top w:w="60" w:type="dxa"/>
              <w:bottom w:w="60" w:type="dxa"/>
              <w:start w:w="65" w:type="dxa"/>
              <w:end w:w="65" w:type="dxa"/>
            </w:tcMar>
          </w:tcPr>
          <w:p>
            <w:pPr>
              <w:keepNext w:val="0"/>
              <w:spacing w:before="0" w:after="0" w:line="252" w:lineRule="auto"/>
              <w:jc w:val="center"/>
            </w:pPr>
            <w:r>
              <w:rPr>
                <w:rFonts w:ascii="Times New Roman" w:hAnsi="Times New Roman" w:eastAsia="宋体" w:cs="Times New Roman" w:hint="eastAsia"/>
                <w:b/>
                <w:sz w:val="15"/>
                <w:lang w:eastAsia="zh-CN" w:val="zh-CN" w:bidi="ar-SA"/>
              </w:rPr>
              <w:t>0–59（不及格）</w:t>
            </w:r>
          </w:p>
        </w:tc>
      </w:tr>
      <w:tr>
        <w:trPr>
          <w:cantSplit/>
        </w:trPr>
        <w:tc>
          <w:tcPr>
            <w:tcW w:type="dxa" w:w="1350"/>
            <w:vAlign w:val="center"/>
          </w:tcPr>
          <w:p>
            <w:pPr>
              <w:keepNext w:val="0"/>
              <w:spacing w:before="0" w:after="0" w:line="240" w:lineRule="auto"/>
              <w:jc w:val="left"/>
            </w:pPr>
            <w:r>
              <w:rPr>
                <w:rFonts w:ascii="Times New Roman" w:hAnsi="Times New Roman" w:eastAsia="宋体" w:hint="eastAsia"/>
                <w:b/>
                <w:sz w:val="14"/>
                <w:lang w:eastAsia="zh-CN" w:val="zh-CN" w:bidi="ar-SA"/>
              </w:rPr>
              <w:t>出勤与课堂规范</w:t>
            </w:r>
          </w:p>
        </w:tc>
        <w:tc>
          <w:tcPr>
            <w:tcW w:type="dxa" w:w="700"/>
            <w:vAlign w:val="center"/>
          </w:tcPr>
          <w:p>
            <w:pPr>
              <w:keepNext w:val="0"/>
              <w:spacing w:before="0" w:after="0" w:line="240" w:lineRule="auto"/>
              <w:jc w:val="center"/>
            </w:pPr>
            <w:r>
              <w:rPr>
                <w:rFonts w:ascii="Times New Roman" w:hAnsi="Times New Roman" w:eastAsia="宋体" w:hint="eastAsia"/>
                <w:b w:val="0"/>
                <w:sz w:val="14"/>
                <w:lang w:eastAsia="zh-CN" w:val="zh-CN" w:bidi="ar-SA"/>
              </w:rPr>
              <w:t>30%</w:t>
            </w:r>
          </w:p>
        </w:tc>
        <w:tc>
          <w:tcPr>
            <w:tcW w:type="dxa" w:w="1400"/>
            <w:vAlign w:val="center"/>
          </w:tcPr>
          <w:p>
            <w:pPr>
              <w:keepNext w:val="0"/>
              <w:spacing w:before="0" w:after="0" w:line="240" w:lineRule="auto"/>
              <w:jc w:val="left"/>
            </w:pPr>
            <w:r>
              <w:rPr>
                <w:rFonts w:ascii="Times New Roman" w:hAnsi="Times New Roman" w:eastAsia="宋体" w:hint="eastAsia"/>
                <w:b w:val="0"/>
                <w:sz w:val="14"/>
                <w:lang w:eastAsia="zh-CN" w:val="zh-CN" w:bidi="ar-SA"/>
              </w:rPr>
              <w:t>出勤完整，严格遵守课堂规范</w:t>
            </w:r>
          </w:p>
        </w:tc>
        <w:tc>
          <w:tcPr>
            <w:tcW w:type="dxa" w:w="1400"/>
            <w:vAlign w:val="center"/>
          </w:tcPr>
          <w:p>
            <w:pPr>
              <w:keepNext w:val="0"/>
              <w:spacing w:before="0" w:after="0" w:line="240" w:lineRule="auto"/>
              <w:jc w:val="left"/>
            </w:pPr>
            <w:r>
              <w:rPr>
                <w:rFonts w:ascii="Times New Roman" w:hAnsi="Times New Roman" w:eastAsia="宋体" w:hint="eastAsia"/>
                <w:b w:val="0"/>
                <w:sz w:val="14"/>
                <w:lang w:eastAsia="zh-CN" w:val="zh-CN" w:bidi="ar-SA"/>
              </w:rPr>
              <w:t>出勤良好，偶有轻微迟到</w:t>
            </w:r>
          </w:p>
        </w:tc>
        <w:tc>
          <w:tcPr>
            <w:tcW w:type="dxa" w:w="1400"/>
            <w:vAlign w:val="center"/>
          </w:tcPr>
          <w:p>
            <w:pPr>
              <w:keepNext w:val="0"/>
              <w:spacing w:before="0" w:after="0" w:line="240" w:lineRule="auto"/>
              <w:jc w:val="left"/>
            </w:pPr>
            <w:r>
              <w:rPr>
                <w:rFonts w:ascii="Times New Roman" w:hAnsi="Times New Roman" w:eastAsia="宋体" w:hint="eastAsia"/>
                <w:b w:val="0"/>
                <w:sz w:val="14"/>
                <w:lang w:eastAsia="zh-CN" w:val="zh-CN" w:bidi="ar-SA"/>
              </w:rPr>
              <w:t>出勤基本正常</w:t>
            </w:r>
          </w:p>
        </w:tc>
        <w:tc>
          <w:tcPr>
            <w:tcW w:type="dxa" w:w="1400"/>
            <w:vAlign w:val="center"/>
          </w:tcPr>
          <w:p>
            <w:pPr>
              <w:keepNext w:val="0"/>
              <w:spacing w:before="0" w:after="0" w:line="240" w:lineRule="auto"/>
              <w:jc w:val="left"/>
            </w:pPr>
            <w:r>
              <w:rPr>
                <w:rFonts w:ascii="Times New Roman" w:hAnsi="Times New Roman" w:eastAsia="宋体" w:hint="eastAsia"/>
                <w:b w:val="0"/>
                <w:sz w:val="14"/>
                <w:lang w:eastAsia="zh-CN" w:val="zh-CN" w:bidi="ar-SA"/>
              </w:rPr>
              <w:t>达到最低出勤要求</w:t>
            </w:r>
          </w:p>
        </w:tc>
        <w:tc>
          <w:tcPr>
            <w:tcW w:type="dxa" w:w="1400"/>
            <w:vAlign w:val="center"/>
          </w:tcPr>
          <w:p>
            <w:pPr>
              <w:keepNext w:val="0"/>
              <w:spacing w:before="0" w:after="0" w:line="240" w:lineRule="auto"/>
              <w:jc w:val="left"/>
            </w:pPr>
            <w:r>
              <w:rPr>
                <w:rFonts w:ascii="Times New Roman" w:hAnsi="Times New Roman" w:eastAsia="宋体" w:hint="eastAsia"/>
                <w:b w:val="0"/>
                <w:sz w:val="14"/>
                <w:lang w:eastAsia="zh-CN" w:val="zh-CN" w:bidi="ar-SA"/>
              </w:rPr>
              <w:t>缺勤较多或多次违反课堂规范</w:t>
            </w:r>
          </w:p>
        </w:tc>
      </w:tr>
      <w:tr>
        <w:trPr>
          <w:cantSplit/>
        </w:trPr>
        <w:tc>
          <w:tcPr>
            <w:tcW w:type="dxa" w:w="1350"/>
            <w:vAlign w:val="center"/>
          </w:tcPr>
          <w:p>
            <w:pPr>
              <w:keepNext w:val="0"/>
              <w:spacing w:before="0" w:after="0" w:line="240" w:lineRule="auto"/>
              <w:jc w:val="left"/>
            </w:pPr>
            <w:r>
              <w:rPr>
                <w:rFonts w:ascii="Times New Roman" w:hAnsi="Times New Roman" w:eastAsia="宋体" w:hint="eastAsia"/>
                <w:b/>
                <w:sz w:val="14"/>
                <w:lang w:eastAsia="zh-CN" w:val="zh-CN" w:bidi="ar-SA"/>
              </w:rPr>
              <w:t>案例讨论与课堂参与</w:t>
            </w:r>
          </w:p>
        </w:tc>
        <w:tc>
          <w:tcPr>
            <w:tcW w:type="dxa" w:w="700"/>
            <w:vAlign w:val="center"/>
          </w:tcPr>
          <w:p>
            <w:pPr>
              <w:keepNext w:val="0"/>
              <w:spacing w:before="0" w:after="0" w:line="240" w:lineRule="auto"/>
              <w:jc w:val="center"/>
            </w:pPr>
            <w:r>
              <w:rPr>
                <w:rFonts w:ascii="Times New Roman" w:hAnsi="Times New Roman" w:eastAsia="宋体" w:hint="eastAsia"/>
                <w:b w:val="0"/>
                <w:sz w:val="14"/>
                <w:lang w:eastAsia="zh-CN" w:val="zh-CN" w:bidi="ar-SA"/>
              </w:rPr>
              <w:t>30%</w:t>
            </w:r>
          </w:p>
        </w:tc>
        <w:tc>
          <w:tcPr>
            <w:tcW w:type="dxa" w:w="1400"/>
            <w:vAlign w:val="center"/>
          </w:tcPr>
          <w:p>
            <w:pPr>
              <w:keepNext w:val="0"/>
              <w:spacing w:before="0" w:after="0" w:line="240" w:lineRule="auto"/>
              <w:jc w:val="left"/>
            </w:pPr>
            <w:r>
              <w:rPr>
                <w:rFonts w:ascii="Times New Roman" w:hAnsi="Times New Roman" w:eastAsia="宋体" w:hint="eastAsia"/>
                <w:b w:val="0"/>
                <w:sz w:val="14"/>
                <w:lang w:eastAsia="zh-CN" w:val="zh-CN" w:bidi="ar-SA"/>
              </w:rPr>
              <w:t>主动分析装备案例，能提出有依据的系统观点</w:t>
            </w:r>
          </w:p>
        </w:tc>
        <w:tc>
          <w:tcPr>
            <w:tcW w:type="dxa" w:w="1400"/>
            <w:vAlign w:val="center"/>
          </w:tcPr>
          <w:p>
            <w:pPr>
              <w:keepNext w:val="0"/>
              <w:spacing w:before="0" w:after="0" w:line="240" w:lineRule="auto"/>
              <w:jc w:val="left"/>
            </w:pPr>
            <w:r>
              <w:rPr>
                <w:rFonts w:ascii="Times New Roman" w:hAnsi="Times New Roman" w:eastAsia="宋体" w:hint="eastAsia"/>
                <w:b w:val="0"/>
                <w:sz w:val="14"/>
                <w:lang w:eastAsia="zh-CN" w:val="zh-CN" w:bidi="ar-SA"/>
              </w:rPr>
              <w:t>能参与主要讨论并表达合理观点</w:t>
            </w:r>
          </w:p>
        </w:tc>
        <w:tc>
          <w:tcPr>
            <w:tcW w:type="dxa" w:w="1400"/>
            <w:vAlign w:val="center"/>
          </w:tcPr>
          <w:p>
            <w:pPr>
              <w:keepNext w:val="0"/>
              <w:spacing w:before="0" w:after="0" w:line="240" w:lineRule="auto"/>
              <w:jc w:val="left"/>
            </w:pPr>
            <w:r>
              <w:rPr>
                <w:rFonts w:ascii="Times New Roman" w:hAnsi="Times New Roman" w:eastAsia="宋体" w:hint="eastAsia"/>
                <w:b w:val="0"/>
                <w:sz w:val="14"/>
                <w:lang w:eastAsia="zh-CN" w:val="zh-CN" w:bidi="ar-SA"/>
              </w:rPr>
              <w:t>能完成基本讨论任务</w:t>
            </w:r>
          </w:p>
        </w:tc>
        <w:tc>
          <w:tcPr>
            <w:tcW w:type="dxa" w:w="1400"/>
            <w:vAlign w:val="center"/>
          </w:tcPr>
          <w:p>
            <w:pPr>
              <w:keepNext w:val="0"/>
              <w:spacing w:before="0" w:after="0" w:line="240" w:lineRule="auto"/>
              <w:jc w:val="left"/>
            </w:pPr>
            <w:r>
              <w:rPr>
                <w:rFonts w:ascii="Times New Roman" w:hAnsi="Times New Roman" w:eastAsia="宋体" w:hint="eastAsia"/>
                <w:b w:val="0"/>
                <w:sz w:val="14"/>
                <w:lang w:eastAsia="zh-CN" w:val="zh-CN" w:bidi="ar-SA"/>
              </w:rPr>
              <w:t>经提醒能够参与</w:t>
            </w:r>
          </w:p>
        </w:tc>
        <w:tc>
          <w:tcPr>
            <w:tcW w:type="dxa" w:w="1400"/>
            <w:vAlign w:val="center"/>
          </w:tcPr>
          <w:p>
            <w:pPr>
              <w:keepNext w:val="0"/>
              <w:spacing w:before="0" w:after="0" w:line="240" w:lineRule="auto"/>
              <w:jc w:val="left"/>
            </w:pPr>
            <w:r>
              <w:rPr>
                <w:rFonts w:ascii="Times New Roman" w:hAnsi="Times New Roman" w:eastAsia="宋体" w:hint="eastAsia"/>
                <w:b w:val="0"/>
                <w:sz w:val="14"/>
                <w:lang w:eastAsia="zh-CN" w:val="zh-CN" w:bidi="ar-SA"/>
              </w:rPr>
              <w:t>长期不参与或无法说明基本观点</w:t>
            </w:r>
          </w:p>
        </w:tc>
      </w:tr>
      <w:tr>
        <w:trPr>
          <w:cantSplit/>
        </w:trPr>
        <w:tc>
          <w:tcPr>
            <w:tcW w:type="dxa" w:w="1350"/>
            <w:vAlign w:val="center"/>
          </w:tcPr>
          <w:p>
            <w:pPr>
              <w:keepNext w:val="0"/>
              <w:spacing w:before="0" w:after="0" w:line="240" w:lineRule="auto"/>
              <w:jc w:val="left"/>
            </w:pPr>
            <w:r>
              <w:rPr>
                <w:rFonts w:ascii="Times New Roman" w:hAnsi="Times New Roman" w:eastAsia="宋体" w:hint="eastAsia"/>
                <w:b/>
                <w:sz w:val="14"/>
                <w:lang w:eastAsia="zh-CN" w:val="zh-CN" w:bidi="ar-SA"/>
              </w:rPr>
              <w:t>随堂练习与技术表达</w:t>
            </w:r>
          </w:p>
        </w:tc>
        <w:tc>
          <w:tcPr>
            <w:tcW w:type="dxa" w:w="700"/>
            <w:vAlign w:val="center"/>
          </w:tcPr>
          <w:p>
            <w:pPr>
              <w:keepNext w:val="0"/>
              <w:spacing w:before="0" w:after="0" w:line="240" w:lineRule="auto"/>
              <w:jc w:val="center"/>
            </w:pPr>
            <w:r>
              <w:rPr>
                <w:rFonts w:ascii="Times New Roman" w:hAnsi="Times New Roman" w:eastAsia="宋体" w:hint="eastAsia"/>
                <w:b w:val="0"/>
                <w:sz w:val="14"/>
                <w:lang w:eastAsia="zh-CN" w:val="zh-CN" w:bidi="ar-SA"/>
              </w:rPr>
              <w:t>40%</w:t>
            </w:r>
          </w:p>
        </w:tc>
        <w:tc>
          <w:tcPr>
            <w:tcW w:type="dxa" w:w="1400"/>
            <w:vAlign w:val="center"/>
          </w:tcPr>
          <w:p>
            <w:pPr>
              <w:keepNext w:val="0"/>
              <w:spacing w:before="0" w:after="0" w:line="240" w:lineRule="auto"/>
              <w:jc w:val="left"/>
            </w:pPr>
            <w:r>
              <w:rPr>
                <w:rFonts w:ascii="Times New Roman" w:hAnsi="Times New Roman" w:eastAsia="宋体" w:hint="eastAsia"/>
                <w:b w:val="0"/>
                <w:sz w:val="14"/>
                <w:lang w:eastAsia="zh-CN" w:val="zh-CN" w:bidi="ar-SA"/>
              </w:rPr>
              <w:t>系统图、表格和分析准确规范，结论有证据</w:t>
            </w:r>
          </w:p>
        </w:tc>
        <w:tc>
          <w:tcPr>
            <w:tcW w:type="dxa" w:w="1400"/>
            <w:vAlign w:val="center"/>
          </w:tcPr>
          <w:p>
            <w:pPr>
              <w:keepNext w:val="0"/>
              <w:spacing w:before="0" w:after="0" w:line="240" w:lineRule="auto"/>
              <w:jc w:val="left"/>
            </w:pPr>
            <w:r>
              <w:rPr>
                <w:rFonts w:ascii="Times New Roman" w:hAnsi="Times New Roman" w:eastAsia="宋体" w:hint="eastAsia"/>
                <w:b w:val="0"/>
                <w:sz w:val="14"/>
                <w:lang w:eastAsia="zh-CN" w:val="zh-CN" w:bidi="ar-SA"/>
              </w:rPr>
              <w:t>基本准确规范，少量问题可修正</w:t>
            </w:r>
          </w:p>
        </w:tc>
        <w:tc>
          <w:tcPr>
            <w:tcW w:type="dxa" w:w="1400"/>
            <w:vAlign w:val="center"/>
          </w:tcPr>
          <w:p>
            <w:pPr>
              <w:keepNext w:val="0"/>
              <w:spacing w:before="0" w:after="0" w:line="240" w:lineRule="auto"/>
              <w:jc w:val="left"/>
            </w:pPr>
            <w:r>
              <w:rPr>
                <w:rFonts w:ascii="Times New Roman" w:hAnsi="Times New Roman" w:eastAsia="宋体" w:hint="eastAsia"/>
                <w:b w:val="0"/>
                <w:sz w:val="14"/>
                <w:lang w:eastAsia="zh-CN" w:val="zh-CN" w:bidi="ar-SA"/>
              </w:rPr>
              <w:t>完成主要内容，表达基本清楚</w:t>
            </w:r>
          </w:p>
        </w:tc>
        <w:tc>
          <w:tcPr>
            <w:tcW w:type="dxa" w:w="1400"/>
            <w:vAlign w:val="center"/>
          </w:tcPr>
          <w:p>
            <w:pPr>
              <w:keepNext w:val="0"/>
              <w:spacing w:before="0" w:after="0" w:line="240" w:lineRule="auto"/>
              <w:jc w:val="left"/>
            </w:pPr>
            <w:r>
              <w:rPr>
                <w:rFonts w:ascii="Times New Roman" w:hAnsi="Times New Roman" w:eastAsia="宋体" w:hint="eastAsia"/>
                <w:b w:val="0"/>
                <w:sz w:val="14"/>
                <w:lang w:eastAsia="zh-CN" w:val="zh-CN" w:bidi="ar-SA"/>
              </w:rPr>
              <w:t>在指导下完成基础内容</w:t>
            </w:r>
          </w:p>
        </w:tc>
        <w:tc>
          <w:tcPr>
            <w:tcW w:type="dxa" w:w="1400"/>
            <w:vAlign w:val="center"/>
          </w:tcPr>
          <w:p>
            <w:pPr>
              <w:keepNext w:val="0"/>
              <w:spacing w:before="0" w:after="0" w:line="240" w:lineRule="auto"/>
              <w:jc w:val="left"/>
            </w:pPr>
            <w:r>
              <w:rPr>
                <w:rFonts w:ascii="Times New Roman" w:hAnsi="Times New Roman" w:eastAsia="宋体" w:hint="eastAsia"/>
                <w:b w:val="0"/>
                <w:sz w:val="14"/>
                <w:lang w:eastAsia="zh-CN" w:val="zh-CN" w:bidi="ar-SA"/>
              </w:rPr>
              <w:t>大量缺交或分析明显错误</w:t>
            </w:r>
          </w:p>
        </w:tc>
      </w:tr>
    </w:tbl>
    <w:p>
      <w:pPr>
        <w:keepNext/>
        <w:spacing w:before="0" w:after="0" w:line="240" w:lineRule="auto"/>
        <w:jc w:val="left"/>
      </w:pPr>
      <w:r>
        <w:rPr>
          <w:rFonts w:ascii="Times New Roman" w:hAnsi="Times New Roman" w:eastAsia="宋体" w:hint="eastAsia"/>
          <w:b w:val="0"/>
          <w:sz w:val="21"/>
          <w:lang w:eastAsia="zh-CN" w:val="zh-CN" w:bidi="ar-SA"/>
        </w:rPr>
        <w:t>（2）课程作业评分标准</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2268"/>
        <w:gridCol w:w="2268"/>
        <w:gridCol w:w="2268"/>
        <w:gridCol w:w="2268"/>
      </w:tblGrid>
      <w:tr>
        <w:trPr>
          <w:tblHeader w:val="true"/>
        </w:trPr>
        <w:tc>
          <w:tcPr>
            <w:tcW w:type="dxa" w:w="2268"/>
          </w:tcPr>
          <w:p>
            <w:pPr>
              <w:jc w:val="center"/>
            </w:pPr>
            <w:r>
              <w:rPr>
                <w:rFonts w:ascii="Times New Roman" w:hAnsi="Times New Roman" w:eastAsia="宋体" w:hint="eastAsia"/>
                <w:b/>
                <w:sz w:val="15"/>
                <w:lang w:eastAsia="zh-CN" w:val="zh-CN" w:bidi="ar-SA"/>
              </w:rPr>
              <w:t>评分指标</w:t>
            </w:r>
          </w:p>
        </w:tc>
        <w:tc>
          <w:tcPr>
            <w:tcW w:type="dxa" w:w="2268"/>
          </w:tcPr>
          <w:p>
            <w:pPr>
              <w:jc w:val="center"/>
            </w:pPr>
            <w:r>
              <w:rPr>
                <w:rFonts w:ascii="Times New Roman" w:hAnsi="Times New Roman" w:eastAsia="宋体" w:hint="eastAsia"/>
                <w:b/>
                <w:sz w:val="15"/>
                <w:lang w:eastAsia="zh-CN" w:val="zh-CN" w:bidi="ar-SA"/>
              </w:rPr>
              <w:t>内部权重</w:t>
            </w:r>
          </w:p>
        </w:tc>
        <w:tc>
          <w:tcPr>
            <w:tcW w:type="dxa" w:w="2268"/>
          </w:tcPr>
          <w:p>
            <w:pPr>
              <w:jc w:val="center"/>
            </w:pPr>
            <w:r>
              <w:rPr>
                <w:rFonts w:ascii="Times New Roman" w:hAnsi="Times New Roman" w:eastAsia="宋体" w:hint="eastAsia"/>
                <w:b/>
                <w:sz w:val="15"/>
                <w:lang w:eastAsia="zh-CN" w:val="zh-CN" w:bidi="ar-SA"/>
              </w:rPr>
              <w:t>考点与要求</w:t>
            </w:r>
          </w:p>
        </w:tc>
        <w:tc>
          <w:tcPr>
            <w:tcW w:type="dxa" w:w="2268"/>
          </w:tcPr>
          <w:p>
            <w:pPr>
              <w:jc w:val="center"/>
            </w:pPr>
            <w:r>
              <w:rPr>
                <w:rFonts w:ascii="Times New Roman" w:hAnsi="Times New Roman" w:eastAsia="宋体" w:hint="eastAsia"/>
                <w:b/>
                <w:sz w:val="15"/>
                <w:lang w:eastAsia="zh-CN" w:val="zh-CN" w:bidi="ar-SA"/>
              </w:rPr>
              <w:t>课程目标</w:t>
            </w:r>
          </w:p>
        </w:tc>
      </w:tr>
      <w:tr>
        <w:trPr>
          <w:cantSplit/>
        </w:trPr>
        <w:tc>
          <w:tcPr>
            <w:tcW w:type="dxa" w:w="2268"/>
          </w:tcPr>
          <w:p>
            <w:pPr>
              <w:jc w:val="left"/>
            </w:pPr>
            <w:r>
              <w:rPr>
                <w:rFonts w:ascii="Times New Roman" w:hAnsi="Times New Roman" w:eastAsia="宋体" w:hint="eastAsia"/>
                <w:b w:val="0"/>
                <w:sz w:val="14"/>
                <w:lang w:eastAsia="zh-CN" w:val="zh-CN" w:bidi="ar-SA"/>
              </w:rPr>
              <w:t>绪论与共性技术案例</w:t>
            </w:r>
          </w:p>
        </w:tc>
        <w:tc>
          <w:tcPr>
            <w:tcW w:type="dxa" w:w="2268"/>
          </w:tcPr>
          <w:p>
            <w:pPr>
              <w:jc w:val="center"/>
            </w:pPr>
            <w:r>
              <w:rPr>
                <w:rFonts w:ascii="Times New Roman" w:hAnsi="Times New Roman" w:eastAsia="宋体" w:hint="eastAsia"/>
                <w:b w:val="0"/>
                <w:sz w:val="14"/>
                <w:lang w:eastAsia="zh-CN" w:val="zh-CN" w:bidi="ar-SA"/>
              </w:rPr>
              <w:t>5%</w:t>
            </w:r>
          </w:p>
        </w:tc>
        <w:tc>
          <w:tcPr>
            <w:tcW w:type="dxa" w:w="2268"/>
          </w:tcPr>
          <w:p>
            <w:pPr>
              <w:jc w:val="left"/>
            </w:pPr>
            <w:r>
              <w:rPr>
                <w:rFonts w:ascii="Times New Roman" w:hAnsi="Times New Roman" w:eastAsia="宋体" w:hint="eastAsia"/>
                <w:b w:val="0"/>
                <w:sz w:val="14"/>
                <w:lang w:eastAsia="zh-CN" w:val="zh-CN" w:bidi="ar-SA"/>
              </w:rPr>
              <w:t>正确建立智能装备系统架构图，说明感知、驱动、控制、网络和数据关系。</w:t>
            </w:r>
          </w:p>
        </w:tc>
        <w:tc>
          <w:tcPr>
            <w:tcW w:type="dxa" w:w="2268"/>
          </w:tcPr>
          <w:p>
            <w:pPr>
              <w:jc w:val="center"/>
            </w:pPr>
            <w:r>
              <w:rPr>
                <w:rFonts w:ascii="Times New Roman" w:hAnsi="Times New Roman" w:eastAsia="宋体" w:hint="eastAsia"/>
                <w:b w:val="0"/>
                <w:sz w:val="14"/>
                <w:lang w:eastAsia="zh-CN" w:val="zh-CN" w:bidi="ar-SA"/>
              </w:rPr>
              <w:t>目标 1.1，2.1，3.1</w:t>
            </w:r>
          </w:p>
        </w:tc>
      </w:tr>
      <w:tr>
        <w:trPr>
          <w:cantSplit/>
        </w:trPr>
        <w:tc>
          <w:tcPr>
            <w:tcW w:type="dxa" w:w="2268"/>
          </w:tcPr>
          <w:p>
            <w:pPr>
              <w:jc w:val="left"/>
            </w:pPr>
            <w:r>
              <w:rPr>
                <w:rFonts w:ascii="Times New Roman" w:hAnsi="Times New Roman" w:eastAsia="宋体" w:hint="eastAsia"/>
                <w:b w:val="0"/>
                <w:sz w:val="14"/>
                <w:lang w:eastAsia="zh-CN" w:val="zh-CN" w:bidi="ar-SA"/>
              </w:rPr>
              <w:t>智能数控机床案例</w:t>
            </w:r>
          </w:p>
        </w:tc>
        <w:tc>
          <w:tcPr>
            <w:tcW w:type="dxa" w:w="2268"/>
          </w:tcPr>
          <w:p>
            <w:pPr>
              <w:jc w:val="center"/>
            </w:pPr>
            <w:r>
              <w:rPr>
                <w:rFonts w:ascii="Times New Roman" w:hAnsi="Times New Roman" w:eastAsia="宋体" w:hint="eastAsia"/>
                <w:b w:val="0"/>
                <w:sz w:val="14"/>
                <w:lang w:eastAsia="zh-CN" w:val="zh-CN" w:bidi="ar-SA"/>
              </w:rPr>
              <w:t>10%</w:t>
            </w:r>
          </w:p>
        </w:tc>
        <w:tc>
          <w:tcPr>
            <w:tcW w:type="dxa" w:w="2268"/>
          </w:tcPr>
          <w:p>
            <w:pPr>
              <w:jc w:val="left"/>
            </w:pPr>
            <w:r>
              <w:rPr>
                <w:rFonts w:ascii="Times New Roman" w:hAnsi="Times New Roman" w:eastAsia="宋体" w:hint="eastAsia"/>
                <w:b w:val="0"/>
                <w:sz w:val="14"/>
                <w:lang w:eastAsia="zh-CN" w:val="zh-CN" w:bidi="ar-SA"/>
              </w:rPr>
              <w:t>识别机床关键功能部件及智能化功能，分析典型加工异常与监测线索。</w:t>
            </w:r>
          </w:p>
        </w:tc>
        <w:tc>
          <w:tcPr>
            <w:tcW w:type="dxa" w:w="2268"/>
          </w:tcPr>
          <w:p>
            <w:pPr>
              <w:jc w:val="center"/>
            </w:pPr>
            <w:r>
              <w:rPr>
                <w:rFonts w:ascii="Times New Roman" w:hAnsi="Times New Roman" w:eastAsia="宋体" w:hint="eastAsia"/>
                <w:b w:val="0"/>
                <w:sz w:val="14"/>
                <w:lang w:eastAsia="zh-CN" w:val="zh-CN" w:bidi="ar-SA"/>
              </w:rPr>
              <w:t>目标 1.2，2.2，3.2</w:t>
            </w:r>
          </w:p>
        </w:tc>
      </w:tr>
      <w:tr>
        <w:trPr>
          <w:cantSplit/>
        </w:trPr>
        <w:tc>
          <w:tcPr>
            <w:tcW w:type="dxa" w:w="2268"/>
          </w:tcPr>
          <w:p>
            <w:pPr>
              <w:jc w:val="left"/>
            </w:pPr>
            <w:r>
              <w:rPr>
                <w:rFonts w:ascii="Times New Roman" w:hAnsi="Times New Roman" w:eastAsia="宋体" w:hint="eastAsia"/>
                <w:b w:val="0"/>
                <w:sz w:val="14"/>
                <w:lang w:eastAsia="zh-CN" w:val="zh-CN" w:bidi="ar-SA"/>
              </w:rPr>
              <w:t>工业机器人案例</w:t>
            </w:r>
          </w:p>
        </w:tc>
        <w:tc>
          <w:tcPr>
            <w:tcW w:type="dxa" w:w="2268"/>
          </w:tcPr>
          <w:p>
            <w:pPr>
              <w:jc w:val="center"/>
            </w:pPr>
            <w:r>
              <w:rPr>
                <w:rFonts w:ascii="Times New Roman" w:hAnsi="Times New Roman" w:eastAsia="宋体" w:hint="eastAsia"/>
                <w:b w:val="0"/>
                <w:sz w:val="14"/>
                <w:lang w:eastAsia="zh-CN" w:val="zh-CN" w:bidi="ar-SA"/>
              </w:rPr>
              <w:t>7.5%</w:t>
            </w:r>
          </w:p>
        </w:tc>
        <w:tc>
          <w:tcPr>
            <w:tcW w:type="dxa" w:w="2268"/>
          </w:tcPr>
          <w:p>
            <w:pPr>
              <w:jc w:val="left"/>
            </w:pPr>
            <w:r>
              <w:rPr>
                <w:rFonts w:ascii="Times New Roman" w:hAnsi="Times New Roman" w:eastAsia="宋体" w:hint="eastAsia"/>
                <w:b w:val="0"/>
                <w:sz w:val="14"/>
                <w:lang w:eastAsia="zh-CN" w:val="zh-CN" w:bidi="ar-SA"/>
              </w:rPr>
              <w:t>完成机器人工作站功能与接口分析，说明I/O、安全互锁及与机床/物流单元的关系。</w:t>
            </w:r>
          </w:p>
        </w:tc>
        <w:tc>
          <w:tcPr>
            <w:tcW w:type="dxa" w:w="2268"/>
          </w:tcPr>
          <w:p>
            <w:pPr>
              <w:jc w:val="center"/>
            </w:pPr>
            <w:r>
              <w:rPr>
                <w:rFonts w:ascii="Times New Roman" w:hAnsi="Times New Roman" w:eastAsia="宋体" w:hint="eastAsia"/>
                <w:b w:val="0"/>
                <w:sz w:val="14"/>
                <w:lang w:eastAsia="zh-CN" w:val="zh-CN" w:bidi="ar-SA"/>
              </w:rPr>
              <w:t>目标 1.3，2.3，3.2，3.4</w:t>
            </w:r>
          </w:p>
        </w:tc>
      </w:tr>
      <w:tr>
        <w:trPr>
          <w:cantSplit/>
        </w:trPr>
        <w:tc>
          <w:tcPr>
            <w:tcW w:type="dxa" w:w="2268"/>
          </w:tcPr>
          <w:p>
            <w:pPr>
              <w:jc w:val="left"/>
            </w:pPr>
            <w:r>
              <w:rPr>
                <w:rFonts w:ascii="Times New Roman" w:hAnsi="Times New Roman" w:eastAsia="宋体" w:hint="eastAsia"/>
                <w:b w:val="0"/>
                <w:sz w:val="14"/>
                <w:lang w:eastAsia="zh-CN" w:val="zh-CN" w:bidi="ar-SA"/>
              </w:rPr>
              <w:t>FDM增材制造装备案例</w:t>
            </w:r>
          </w:p>
        </w:tc>
        <w:tc>
          <w:tcPr>
            <w:tcW w:type="dxa" w:w="2268"/>
          </w:tcPr>
          <w:p>
            <w:pPr>
              <w:jc w:val="center"/>
            </w:pPr>
            <w:r>
              <w:rPr>
                <w:rFonts w:ascii="Times New Roman" w:hAnsi="Times New Roman" w:eastAsia="宋体" w:hint="eastAsia"/>
                <w:b w:val="0"/>
                <w:sz w:val="14"/>
                <w:lang w:eastAsia="zh-CN" w:val="zh-CN" w:bidi="ar-SA"/>
              </w:rPr>
              <w:t>7.5%</w:t>
            </w:r>
          </w:p>
        </w:tc>
        <w:tc>
          <w:tcPr>
            <w:tcW w:type="dxa" w:w="2268"/>
          </w:tcPr>
          <w:p>
            <w:pPr>
              <w:jc w:val="left"/>
            </w:pPr>
            <w:r>
              <w:rPr>
                <w:rFonts w:ascii="Times New Roman" w:hAnsi="Times New Roman" w:eastAsia="宋体" w:hint="eastAsia"/>
                <w:b w:val="0"/>
                <w:sz w:val="14"/>
                <w:lang w:eastAsia="zh-CN" w:val="zh-CN" w:bidi="ar-SA"/>
              </w:rPr>
              <w:t>建立参数—状态—缺陷关系，提出合理监测、调参或设备改进方案。</w:t>
            </w:r>
          </w:p>
        </w:tc>
        <w:tc>
          <w:tcPr>
            <w:tcW w:type="dxa" w:w="2268"/>
          </w:tcPr>
          <w:p>
            <w:pPr>
              <w:jc w:val="center"/>
            </w:pPr>
            <w:r>
              <w:rPr>
                <w:rFonts w:ascii="Times New Roman" w:hAnsi="Times New Roman" w:eastAsia="宋体" w:hint="eastAsia"/>
                <w:b w:val="0"/>
                <w:sz w:val="14"/>
                <w:lang w:eastAsia="zh-CN" w:val="zh-CN" w:bidi="ar-SA"/>
              </w:rPr>
              <w:t>目标 1.4，2.4，3.5</w:t>
            </w:r>
          </w:p>
        </w:tc>
      </w:tr>
      <w:tr>
        <w:trPr>
          <w:cantSplit/>
        </w:trPr>
        <w:tc>
          <w:tcPr>
            <w:tcW w:type="dxa" w:w="2268"/>
          </w:tcPr>
          <w:p>
            <w:pPr>
              <w:jc w:val="left"/>
            </w:pPr>
            <w:r>
              <w:rPr>
                <w:rFonts w:ascii="Times New Roman" w:hAnsi="Times New Roman" w:eastAsia="宋体" w:hint="eastAsia"/>
                <w:b w:val="0"/>
                <w:sz w:val="14"/>
                <w:lang w:eastAsia="zh-CN" w:val="zh-CN" w:bidi="ar-SA"/>
              </w:rPr>
              <w:t>装备单元集成案例</w:t>
            </w:r>
          </w:p>
        </w:tc>
        <w:tc>
          <w:tcPr>
            <w:tcW w:type="dxa" w:w="2268"/>
          </w:tcPr>
          <w:p>
            <w:pPr>
              <w:jc w:val="center"/>
            </w:pPr>
            <w:r>
              <w:rPr>
                <w:rFonts w:ascii="Times New Roman" w:hAnsi="Times New Roman" w:eastAsia="宋体" w:hint="eastAsia"/>
                <w:b w:val="0"/>
                <w:sz w:val="14"/>
                <w:lang w:eastAsia="zh-CN" w:val="zh-CN" w:bidi="ar-SA"/>
              </w:rPr>
              <w:t>10%</w:t>
            </w:r>
          </w:p>
        </w:tc>
        <w:tc>
          <w:tcPr>
            <w:tcW w:type="dxa" w:w="2268"/>
          </w:tcPr>
          <w:p>
            <w:pPr>
              <w:jc w:val="left"/>
            </w:pPr>
            <w:r>
              <w:rPr>
                <w:rFonts w:ascii="Times New Roman" w:hAnsi="Times New Roman" w:eastAsia="宋体" w:hint="eastAsia"/>
                <w:b w:val="0"/>
                <w:sz w:val="14"/>
                <w:lang w:eastAsia="zh-CN" w:val="zh-CN" w:bidi="ar-SA"/>
              </w:rPr>
              <w:t>形成制造单元系统框图、接口表和状态/异常流程，体现安全与节拍约束。</w:t>
            </w:r>
          </w:p>
        </w:tc>
        <w:tc>
          <w:tcPr>
            <w:tcW w:type="dxa" w:w="2268"/>
          </w:tcPr>
          <w:p>
            <w:pPr>
              <w:jc w:val="center"/>
            </w:pPr>
            <w:r>
              <w:rPr>
                <w:rFonts w:ascii="Times New Roman" w:hAnsi="Times New Roman" w:eastAsia="宋体" w:hint="eastAsia"/>
                <w:b w:val="0"/>
                <w:sz w:val="14"/>
                <w:lang w:eastAsia="zh-CN" w:val="zh-CN" w:bidi="ar-SA"/>
              </w:rPr>
              <w:t>目标 1.5，2.5，3.1，3.4</w:t>
            </w:r>
          </w:p>
        </w:tc>
      </w:tr>
      <w:tr>
        <w:trPr>
          <w:cantSplit/>
        </w:trPr>
        <w:tc>
          <w:tcPr>
            <w:tcW w:type="dxa" w:w="2268"/>
          </w:tcPr>
          <w:p>
            <w:pPr>
              <w:jc w:val="left"/>
            </w:pPr>
            <w:r>
              <w:rPr>
                <w:rFonts w:ascii="Times New Roman" w:hAnsi="Times New Roman" w:eastAsia="宋体" w:hint="eastAsia"/>
                <w:b w:val="0"/>
                <w:sz w:val="14"/>
                <w:lang w:eastAsia="zh-CN" w:val="zh-CN" w:bidi="ar-SA"/>
              </w:rPr>
              <w:t>状态监测与故障诊断单元案例</w:t>
            </w:r>
          </w:p>
        </w:tc>
        <w:tc>
          <w:tcPr>
            <w:tcW w:type="dxa" w:w="2268"/>
          </w:tcPr>
          <w:p>
            <w:pPr>
              <w:jc w:val="center"/>
            </w:pPr>
            <w:r>
              <w:rPr>
                <w:rFonts w:ascii="Times New Roman" w:hAnsi="Times New Roman" w:eastAsia="宋体" w:hint="eastAsia"/>
                <w:b w:val="0"/>
                <w:sz w:val="14"/>
                <w:lang w:eastAsia="zh-CN" w:val="zh-CN" w:bidi="ar-SA"/>
              </w:rPr>
              <w:t>10%</w:t>
            </w:r>
          </w:p>
        </w:tc>
        <w:tc>
          <w:tcPr>
            <w:tcW w:type="dxa" w:w="2268"/>
          </w:tcPr>
          <w:p>
            <w:pPr>
              <w:jc w:val="left"/>
            </w:pPr>
            <w:r>
              <w:rPr>
                <w:rFonts w:ascii="Times New Roman" w:hAnsi="Times New Roman" w:eastAsia="宋体" w:hint="eastAsia"/>
                <w:b w:val="0"/>
                <w:sz w:val="14"/>
                <w:lang w:eastAsia="zh-CN" w:val="zh-CN" w:bidi="ar-SA"/>
              </w:rPr>
              <w:t>解释常见信号特征和模式识别流程，正确解读PCA/分类结果和误判案例。</w:t>
            </w:r>
          </w:p>
        </w:tc>
        <w:tc>
          <w:tcPr>
            <w:tcW w:type="dxa" w:w="2268"/>
          </w:tcPr>
          <w:p>
            <w:pPr>
              <w:jc w:val="center"/>
            </w:pPr>
            <w:r>
              <w:rPr>
                <w:rFonts w:ascii="Times New Roman" w:hAnsi="Times New Roman" w:eastAsia="宋体" w:hint="eastAsia"/>
                <w:b w:val="0"/>
                <w:sz w:val="14"/>
                <w:lang w:eastAsia="zh-CN" w:val="zh-CN" w:bidi="ar-SA"/>
              </w:rPr>
              <w:t>目标 1.6，2.6，3.3，3.6</w:t>
            </w:r>
          </w:p>
        </w:tc>
      </w:tr>
      <w:tr>
        <w:trPr>
          <w:cantSplit/>
        </w:trPr>
        <w:tc>
          <w:tcPr>
            <w:tcW w:type="dxa" w:w="2268"/>
          </w:tcPr>
          <w:p>
            <w:pPr>
              <w:jc w:val="left"/>
            </w:pPr>
            <w:r>
              <w:rPr>
                <w:rFonts w:ascii="Times New Roman" w:hAnsi="Times New Roman" w:eastAsia="宋体" w:hint="eastAsia"/>
                <w:b w:val="0"/>
                <w:sz w:val="14"/>
                <w:lang w:eastAsia="zh-CN" w:val="zh-CN" w:bidi="ar-SA"/>
              </w:rPr>
              <w:t>故障诊断：数据与问题定义</w:t>
            </w:r>
          </w:p>
        </w:tc>
        <w:tc>
          <w:tcPr>
            <w:tcW w:type="dxa" w:w="2268"/>
          </w:tcPr>
          <w:p>
            <w:pPr>
              <w:jc w:val="center"/>
            </w:pPr>
            <w:r>
              <w:rPr>
                <w:rFonts w:ascii="Times New Roman" w:hAnsi="Times New Roman" w:eastAsia="宋体" w:hint="eastAsia"/>
                <w:b w:val="0"/>
                <w:sz w:val="14"/>
                <w:lang w:eastAsia="zh-CN" w:val="zh-CN" w:bidi="ar-SA"/>
              </w:rPr>
              <w:t>10%</w:t>
            </w:r>
          </w:p>
        </w:tc>
        <w:tc>
          <w:tcPr>
            <w:tcW w:type="dxa" w:w="2268"/>
          </w:tcPr>
          <w:p>
            <w:pPr>
              <w:jc w:val="left"/>
            </w:pPr>
            <w:r>
              <w:rPr>
                <w:rFonts w:ascii="Times New Roman" w:hAnsi="Times New Roman" w:eastAsia="宋体" w:hint="eastAsia"/>
                <w:b w:val="0"/>
                <w:sz w:val="14"/>
                <w:lang w:eastAsia="zh-CN" w:val="zh-CN" w:bidi="ar-SA"/>
              </w:rPr>
              <w:t>故障类别、数据来源、变量和诊断目标定义清晰。</w:t>
            </w:r>
          </w:p>
        </w:tc>
        <w:tc>
          <w:tcPr>
            <w:tcW w:type="dxa" w:w="2268"/>
          </w:tcPr>
          <w:p>
            <w:pPr>
              <w:jc w:val="center"/>
            </w:pPr>
            <w:r>
              <w:rPr>
                <w:rFonts w:ascii="Times New Roman" w:hAnsi="Times New Roman" w:eastAsia="宋体" w:hint="eastAsia"/>
                <w:b w:val="0"/>
                <w:sz w:val="14"/>
                <w:lang w:eastAsia="zh-CN" w:val="zh-CN" w:bidi="ar-SA"/>
              </w:rPr>
              <w:t>目标 1.6，2.6，3.3</w:t>
            </w:r>
          </w:p>
        </w:tc>
      </w:tr>
      <w:tr>
        <w:trPr>
          <w:cantSplit/>
        </w:trPr>
        <w:tc>
          <w:tcPr>
            <w:tcW w:type="dxa" w:w="2268"/>
          </w:tcPr>
          <w:p>
            <w:pPr>
              <w:jc w:val="left"/>
            </w:pPr>
            <w:r>
              <w:rPr>
                <w:rFonts w:ascii="Times New Roman" w:hAnsi="Times New Roman" w:eastAsia="宋体" w:hint="eastAsia"/>
                <w:b w:val="0"/>
                <w:sz w:val="14"/>
                <w:lang w:eastAsia="zh-CN" w:val="zh-CN" w:bidi="ar-SA"/>
              </w:rPr>
              <w:t>故障诊断：特征与方法选择</w:t>
            </w:r>
          </w:p>
        </w:tc>
        <w:tc>
          <w:tcPr>
            <w:tcW w:type="dxa" w:w="2268"/>
          </w:tcPr>
          <w:p>
            <w:pPr>
              <w:jc w:val="center"/>
            </w:pPr>
            <w:r>
              <w:rPr>
                <w:rFonts w:ascii="Times New Roman" w:hAnsi="Times New Roman" w:eastAsia="宋体" w:hint="eastAsia"/>
                <w:b w:val="0"/>
                <w:sz w:val="14"/>
                <w:lang w:eastAsia="zh-CN" w:val="zh-CN" w:bidi="ar-SA"/>
              </w:rPr>
              <w:t>15%</w:t>
            </w:r>
          </w:p>
        </w:tc>
        <w:tc>
          <w:tcPr>
            <w:tcW w:type="dxa" w:w="2268"/>
          </w:tcPr>
          <w:p>
            <w:pPr>
              <w:jc w:val="left"/>
            </w:pPr>
            <w:r>
              <w:rPr>
                <w:rFonts w:ascii="Times New Roman" w:hAnsi="Times New Roman" w:eastAsia="宋体" w:hint="eastAsia"/>
                <w:b w:val="0"/>
                <w:sz w:val="14"/>
                <w:lang w:eastAsia="zh-CN" w:val="zh-CN" w:bidi="ar-SA"/>
              </w:rPr>
              <w:t>特征具有物理/统计依据，降维或分类方法选择合理并说明适用边界。</w:t>
            </w:r>
          </w:p>
        </w:tc>
        <w:tc>
          <w:tcPr>
            <w:tcW w:type="dxa" w:w="2268"/>
          </w:tcPr>
          <w:p>
            <w:pPr>
              <w:jc w:val="center"/>
            </w:pPr>
            <w:r>
              <w:rPr>
                <w:rFonts w:ascii="Times New Roman" w:hAnsi="Times New Roman" w:eastAsia="宋体" w:hint="eastAsia"/>
                <w:b w:val="0"/>
                <w:sz w:val="14"/>
                <w:lang w:eastAsia="zh-CN" w:val="zh-CN" w:bidi="ar-SA"/>
              </w:rPr>
              <w:t>目标 1.6，2.6，3.3，3.6</w:t>
            </w:r>
          </w:p>
        </w:tc>
      </w:tr>
      <w:tr>
        <w:trPr>
          <w:cantSplit/>
        </w:trPr>
        <w:tc>
          <w:tcPr>
            <w:tcW w:type="dxa" w:w="2268"/>
          </w:tcPr>
          <w:p>
            <w:pPr>
              <w:jc w:val="left"/>
            </w:pPr>
            <w:r>
              <w:rPr>
                <w:rFonts w:ascii="Times New Roman" w:hAnsi="Times New Roman" w:eastAsia="宋体" w:hint="eastAsia"/>
                <w:b w:val="0"/>
                <w:sz w:val="14"/>
                <w:lang w:eastAsia="zh-CN" w:val="zh-CN" w:bidi="ar-SA"/>
              </w:rPr>
              <w:t>故障诊断：结果验证与解释</w:t>
            </w:r>
          </w:p>
        </w:tc>
        <w:tc>
          <w:tcPr>
            <w:tcW w:type="dxa" w:w="2268"/>
          </w:tcPr>
          <w:p>
            <w:pPr>
              <w:jc w:val="center"/>
            </w:pPr>
            <w:r>
              <w:rPr>
                <w:rFonts w:ascii="Times New Roman" w:hAnsi="Times New Roman" w:eastAsia="宋体" w:hint="eastAsia"/>
                <w:b w:val="0"/>
                <w:sz w:val="14"/>
                <w:lang w:eastAsia="zh-CN" w:val="zh-CN" w:bidi="ar-SA"/>
              </w:rPr>
              <w:t>15%</w:t>
            </w:r>
          </w:p>
        </w:tc>
        <w:tc>
          <w:tcPr>
            <w:tcW w:type="dxa" w:w="2268"/>
          </w:tcPr>
          <w:p>
            <w:pPr>
              <w:jc w:val="left"/>
            </w:pPr>
            <w:r>
              <w:rPr>
                <w:rFonts w:ascii="Times New Roman" w:hAnsi="Times New Roman" w:eastAsia="宋体" w:hint="eastAsia"/>
                <w:b w:val="0"/>
                <w:sz w:val="14"/>
                <w:lang w:eastAsia="zh-CN" w:val="zh-CN" w:bidi="ar-SA"/>
              </w:rPr>
              <w:t>使用混淆矩阵、误判样本等验证并解释工程含义，说明误报、漏报和局限。</w:t>
            </w:r>
          </w:p>
        </w:tc>
        <w:tc>
          <w:tcPr>
            <w:tcW w:type="dxa" w:w="2268"/>
          </w:tcPr>
          <w:p>
            <w:pPr>
              <w:jc w:val="center"/>
            </w:pPr>
            <w:r>
              <w:rPr>
                <w:rFonts w:ascii="Times New Roman" w:hAnsi="Times New Roman" w:eastAsia="宋体" w:hint="eastAsia"/>
                <w:b w:val="0"/>
                <w:sz w:val="14"/>
                <w:lang w:eastAsia="zh-CN" w:val="zh-CN" w:bidi="ar-SA"/>
              </w:rPr>
              <w:t>目标 1.6，2.6，3.3</w:t>
            </w:r>
          </w:p>
        </w:tc>
      </w:tr>
      <w:tr>
        <w:trPr>
          <w:cantSplit/>
        </w:trPr>
        <w:tc>
          <w:tcPr>
            <w:tcW w:type="dxa" w:w="2268"/>
          </w:tcPr>
          <w:p>
            <w:pPr>
              <w:jc w:val="left"/>
            </w:pPr>
            <w:r>
              <w:rPr>
                <w:rFonts w:ascii="Times New Roman" w:hAnsi="Times New Roman" w:eastAsia="宋体" w:hint="eastAsia"/>
                <w:b w:val="0"/>
                <w:sz w:val="14"/>
                <w:lang w:eastAsia="zh-CN" w:val="zh-CN" w:bidi="ar-SA"/>
              </w:rPr>
              <w:t>故障诊断：报告规范与可复现性</w:t>
            </w:r>
          </w:p>
        </w:tc>
        <w:tc>
          <w:tcPr>
            <w:tcW w:type="dxa" w:w="2268"/>
          </w:tcPr>
          <w:p>
            <w:pPr>
              <w:jc w:val="center"/>
            </w:pPr>
            <w:r>
              <w:rPr>
                <w:rFonts w:ascii="Times New Roman" w:hAnsi="Times New Roman" w:eastAsia="宋体" w:hint="eastAsia"/>
                <w:b w:val="0"/>
                <w:sz w:val="14"/>
                <w:lang w:eastAsia="zh-CN" w:val="zh-CN" w:bidi="ar-SA"/>
              </w:rPr>
              <w:t>10%</w:t>
            </w:r>
          </w:p>
        </w:tc>
        <w:tc>
          <w:tcPr>
            <w:tcW w:type="dxa" w:w="2268"/>
          </w:tcPr>
          <w:p>
            <w:pPr>
              <w:jc w:val="left"/>
            </w:pPr>
            <w:r>
              <w:rPr>
                <w:rFonts w:ascii="Times New Roman" w:hAnsi="Times New Roman" w:eastAsia="宋体" w:hint="eastAsia"/>
                <w:b w:val="0"/>
                <w:sz w:val="14"/>
                <w:lang w:eastAsia="zh-CN" w:val="zh-CN" w:bidi="ar-SA"/>
              </w:rPr>
              <w:t>数据处理、图表、参数和步骤记录完整，来源与版本清楚，可复核。</w:t>
            </w:r>
          </w:p>
        </w:tc>
        <w:tc>
          <w:tcPr>
            <w:tcW w:type="dxa" w:w="2268"/>
          </w:tcPr>
          <w:p>
            <w:pPr>
              <w:jc w:val="center"/>
            </w:pPr>
            <w:r>
              <w:rPr>
                <w:rFonts w:ascii="Times New Roman" w:hAnsi="Times New Roman" w:eastAsia="宋体" w:hint="eastAsia"/>
                <w:b w:val="0"/>
                <w:sz w:val="14"/>
                <w:lang w:eastAsia="zh-CN" w:val="zh-CN" w:bidi="ar-SA"/>
              </w:rPr>
              <w:t>目标 2.6，3.4，3.6</w:t>
            </w:r>
          </w:p>
        </w:tc>
      </w:tr>
      <w:tr>
        <w:trPr>
          <w:cantSplit/>
        </w:trPr>
        <w:tc>
          <w:tcPr>
            <w:tcW w:type="dxa" w:w="2268"/>
          </w:tcPr>
          <w:p>
            <w:pPr>
              <w:jc w:val="left"/>
            </w:pPr>
            <w:r>
              <w:rPr>
                <w:rFonts w:ascii="Times New Roman" w:hAnsi="Times New Roman" w:eastAsia="宋体" w:hint="eastAsia"/>
                <w:b/>
                <w:sz w:val="14"/>
                <w:lang w:eastAsia="zh-CN" w:val="zh-CN" w:bidi="ar-SA"/>
              </w:rPr>
              <w:t>合计</w:t>
            </w:r>
          </w:p>
        </w:tc>
        <w:tc>
          <w:tcPr>
            <w:tcW w:type="dxa" w:w="2268"/>
          </w:tcPr>
          <w:p>
            <w:pPr>
              <w:jc w:val="center"/>
            </w:pPr>
            <w:r>
              <w:rPr>
                <w:rFonts w:ascii="Times New Roman" w:hAnsi="Times New Roman" w:eastAsia="宋体" w:hint="eastAsia"/>
                <w:b/>
                <w:sz w:val="14"/>
                <w:lang w:eastAsia="zh-CN" w:val="zh-CN" w:bidi="ar-SA"/>
              </w:rPr>
              <w:t>100%</w:t>
            </w:r>
          </w:p>
        </w:tc>
        <w:tc>
          <w:tcPr>
            <w:tcW w:type="dxa" w:w="2268"/>
          </w:tcPr>
          <w:p>
            <w:pPr>
              <w:jc w:val="left"/>
            </w:pPr>
            <w:r>
              <w:rPr>
                <w:rFonts w:ascii="Times New Roman" w:hAnsi="Times New Roman" w:eastAsia="宋体" w:hint="eastAsia"/>
                <w:b/>
                <w:sz w:val="14"/>
                <w:lang w:eastAsia="zh-CN" w:val="zh-CN" w:bidi="ar-SA"/>
              </w:rPr>
            </w:r>
          </w:p>
        </w:tc>
        <w:tc>
          <w:tcPr>
            <w:tcW w:type="dxa" w:w="2268"/>
          </w:tcPr>
          <w:p>
            <w:pPr>
              <w:jc w:val="center"/>
            </w:pPr>
            <w:r>
              <w:rPr>
                <w:rFonts w:ascii="Times New Roman" w:hAnsi="Times New Roman" w:eastAsia="宋体" w:hint="eastAsia"/>
                <w:b/>
                <w:sz w:val="14"/>
                <w:lang w:eastAsia="zh-CN" w:val="zh-CN" w:bidi="ar-SA"/>
              </w:rPr>
            </w:r>
          </w:p>
        </w:tc>
      </w:tr>
    </w:tbl>
    <w:p>
      <w:pPr>
        <w:keepNext/>
        <w:spacing w:before="0" w:after="0" w:line="240" w:lineRule="auto"/>
        <w:jc w:val="left"/>
      </w:pPr>
      <w:r>
        <w:rPr>
          <w:rFonts w:ascii="Times New Roman" w:hAnsi="Times New Roman" w:eastAsia="宋体" w:hint="eastAsia"/>
          <w:b w:val="0"/>
          <w:sz w:val="21"/>
          <w:lang w:eastAsia="zh-CN" w:val="zh-CN" w:bidi="ar-SA"/>
        </w:rPr>
        <w:t>（3）期末考核评分标准</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2268"/>
        <w:gridCol w:w="2268"/>
        <w:gridCol w:w="2268"/>
        <w:gridCol w:w="2268"/>
      </w:tblGrid>
      <w:tr>
        <w:trPr>
          <w:tblHeader w:val="true"/>
        </w:trPr>
        <w:tc>
          <w:tcPr>
            <w:tcW w:type="dxa" w:w="2268"/>
          </w:tcPr>
          <w:p>
            <w:pPr>
              <w:jc w:val="center"/>
            </w:pPr>
            <w:r>
              <w:rPr>
                <w:rFonts w:ascii="Times New Roman" w:hAnsi="Times New Roman" w:eastAsia="宋体" w:hint="eastAsia"/>
                <w:b/>
                <w:sz w:val="15"/>
                <w:lang w:eastAsia="zh-CN" w:val="zh-CN" w:bidi="ar-SA"/>
              </w:rPr>
              <w:t>评分指标</w:t>
            </w:r>
          </w:p>
        </w:tc>
        <w:tc>
          <w:tcPr>
            <w:tcW w:type="dxa" w:w="2268"/>
          </w:tcPr>
          <w:p>
            <w:pPr>
              <w:jc w:val="center"/>
            </w:pPr>
            <w:r>
              <w:rPr>
                <w:rFonts w:ascii="Times New Roman" w:hAnsi="Times New Roman" w:eastAsia="宋体" w:hint="eastAsia"/>
                <w:b/>
                <w:sz w:val="15"/>
                <w:lang w:eastAsia="zh-CN" w:val="zh-CN" w:bidi="ar-SA"/>
              </w:rPr>
              <w:t>内部权重</w:t>
            </w:r>
          </w:p>
        </w:tc>
        <w:tc>
          <w:tcPr>
            <w:tcW w:type="dxa" w:w="2268"/>
          </w:tcPr>
          <w:p>
            <w:pPr>
              <w:jc w:val="center"/>
            </w:pPr>
            <w:r>
              <w:rPr>
                <w:rFonts w:ascii="Times New Roman" w:hAnsi="Times New Roman" w:eastAsia="宋体" w:hint="eastAsia"/>
                <w:b/>
                <w:sz w:val="15"/>
                <w:lang w:eastAsia="zh-CN" w:val="zh-CN" w:bidi="ar-SA"/>
              </w:rPr>
              <w:t>考点与要求</w:t>
            </w:r>
          </w:p>
        </w:tc>
        <w:tc>
          <w:tcPr>
            <w:tcW w:type="dxa" w:w="2268"/>
          </w:tcPr>
          <w:p>
            <w:pPr>
              <w:jc w:val="center"/>
            </w:pPr>
            <w:r>
              <w:rPr>
                <w:rFonts w:ascii="Times New Roman" w:hAnsi="Times New Roman" w:eastAsia="宋体" w:hint="eastAsia"/>
                <w:b/>
                <w:sz w:val="15"/>
                <w:lang w:eastAsia="zh-CN" w:val="zh-CN" w:bidi="ar-SA"/>
              </w:rPr>
              <w:t>课程目标</w:t>
            </w:r>
          </w:p>
        </w:tc>
      </w:tr>
      <w:tr>
        <w:trPr>
          <w:cantSplit/>
        </w:trPr>
        <w:tc>
          <w:tcPr>
            <w:tcW w:type="dxa" w:w="2268"/>
          </w:tcPr>
          <w:p>
            <w:pPr>
              <w:jc w:val="left"/>
            </w:pPr>
            <w:r>
              <w:rPr>
                <w:rFonts w:ascii="Times New Roman" w:hAnsi="Times New Roman" w:eastAsia="宋体" w:hint="eastAsia"/>
                <w:b w:val="0"/>
                <w:sz w:val="14"/>
                <w:lang w:eastAsia="zh-CN" w:val="zh-CN" w:bidi="ar-SA"/>
              </w:rPr>
              <w:t>装备架构与原理分析</w:t>
            </w:r>
          </w:p>
        </w:tc>
        <w:tc>
          <w:tcPr>
            <w:tcW w:type="dxa" w:w="2268"/>
          </w:tcPr>
          <w:p>
            <w:pPr>
              <w:jc w:val="center"/>
            </w:pPr>
            <w:r>
              <w:rPr>
                <w:rFonts w:ascii="Times New Roman" w:hAnsi="Times New Roman" w:eastAsia="宋体" w:hint="eastAsia"/>
                <w:b w:val="0"/>
                <w:sz w:val="14"/>
                <w:lang w:eastAsia="zh-CN" w:val="zh-CN" w:bidi="ar-SA"/>
              </w:rPr>
              <w:t>25%</w:t>
            </w:r>
          </w:p>
        </w:tc>
        <w:tc>
          <w:tcPr>
            <w:tcW w:type="dxa" w:w="2268"/>
          </w:tcPr>
          <w:p>
            <w:pPr>
              <w:jc w:val="left"/>
            </w:pPr>
            <w:r>
              <w:rPr>
                <w:rFonts w:ascii="Times New Roman" w:hAnsi="Times New Roman" w:eastAsia="宋体" w:hint="eastAsia"/>
                <w:b w:val="0"/>
                <w:sz w:val="14"/>
                <w:lang w:eastAsia="zh-CN" w:val="zh-CN" w:bidi="ar-SA"/>
              </w:rPr>
              <w:t>选择数控机床、工业机器人、FDM装备或集成单元，准确说明机械—感知—驱动—控制—信息架构及工作过程。</w:t>
            </w:r>
          </w:p>
        </w:tc>
        <w:tc>
          <w:tcPr>
            <w:tcW w:type="dxa" w:w="2268"/>
          </w:tcPr>
          <w:p>
            <w:pPr>
              <w:jc w:val="center"/>
            </w:pPr>
            <w:r>
              <w:rPr>
                <w:rFonts w:ascii="Times New Roman" w:hAnsi="Times New Roman" w:eastAsia="宋体" w:hint="eastAsia"/>
                <w:b w:val="0"/>
                <w:sz w:val="14"/>
                <w:lang w:eastAsia="zh-CN" w:val="zh-CN" w:bidi="ar-SA"/>
              </w:rPr>
              <w:t>目标 1.1—1.5，2.1—2.5</w:t>
            </w:r>
          </w:p>
        </w:tc>
      </w:tr>
      <w:tr>
        <w:trPr>
          <w:cantSplit/>
        </w:trPr>
        <w:tc>
          <w:tcPr>
            <w:tcW w:type="dxa" w:w="2268"/>
          </w:tcPr>
          <w:p>
            <w:pPr>
              <w:jc w:val="left"/>
            </w:pPr>
            <w:r>
              <w:rPr>
                <w:rFonts w:ascii="Times New Roman" w:hAnsi="Times New Roman" w:eastAsia="宋体" w:hint="eastAsia"/>
                <w:b w:val="0"/>
                <w:sz w:val="14"/>
                <w:lang w:eastAsia="zh-CN" w:val="zh-CN" w:bidi="ar-SA"/>
              </w:rPr>
              <w:t>集成与安全设计</w:t>
            </w:r>
          </w:p>
        </w:tc>
        <w:tc>
          <w:tcPr>
            <w:tcW w:type="dxa" w:w="2268"/>
          </w:tcPr>
          <w:p>
            <w:pPr>
              <w:jc w:val="center"/>
            </w:pPr>
            <w:r>
              <w:rPr>
                <w:rFonts w:ascii="Times New Roman" w:hAnsi="Times New Roman" w:eastAsia="宋体" w:hint="eastAsia"/>
                <w:b w:val="0"/>
                <w:sz w:val="14"/>
                <w:lang w:eastAsia="zh-CN" w:val="zh-CN" w:bidi="ar-SA"/>
              </w:rPr>
              <w:t>20%</w:t>
            </w:r>
          </w:p>
        </w:tc>
        <w:tc>
          <w:tcPr>
            <w:tcW w:type="dxa" w:w="2268"/>
          </w:tcPr>
          <w:p>
            <w:pPr>
              <w:jc w:val="left"/>
            </w:pPr>
            <w:r>
              <w:rPr>
                <w:rFonts w:ascii="Times New Roman" w:hAnsi="Times New Roman" w:eastAsia="宋体" w:hint="eastAsia"/>
                <w:b w:val="0"/>
                <w:sz w:val="14"/>
                <w:lang w:eastAsia="zh-CN" w:val="zh-CN" w:bidi="ar-SA"/>
              </w:rPr>
              <w:t>给出接口、通信、任务协调、安全互锁或异常流程，方案逻辑完整。</w:t>
            </w:r>
          </w:p>
        </w:tc>
        <w:tc>
          <w:tcPr>
            <w:tcW w:type="dxa" w:w="2268"/>
          </w:tcPr>
          <w:p>
            <w:pPr>
              <w:jc w:val="center"/>
            </w:pPr>
            <w:r>
              <w:rPr>
                <w:rFonts w:ascii="Times New Roman" w:hAnsi="Times New Roman" w:eastAsia="宋体" w:hint="eastAsia"/>
                <w:b w:val="0"/>
                <w:sz w:val="14"/>
                <w:lang w:eastAsia="zh-CN" w:val="zh-CN" w:bidi="ar-SA"/>
              </w:rPr>
              <w:t>目标 2.3，2.5，3.2，3.4</w:t>
            </w:r>
          </w:p>
        </w:tc>
      </w:tr>
      <w:tr>
        <w:trPr>
          <w:cantSplit/>
        </w:trPr>
        <w:tc>
          <w:tcPr>
            <w:tcW w:type="dxa" w:w="2268"/>
          </w:tcPr>
          <w:p>
            <w:pPr>
              <w:jc w:val="left"/>
            </w:pPr>
            <w:r>
              <w:rPr>
                <w:rFonts w:ascii="Times New Roman" w:hAnsi="Times New Roman" w:eastAsia="宋体" w:hint="eastAsia"/>
                <w:b w:val="0"/>
                <w:sz w:val="14"/>
                <w:lang w:eastAsia="zh-CN" w:val="zh-CN" w:bidi="ar-SA"/>
              </w:rPr>
              <w:t>状态监测与诊断方案</w:t>
            </w:r>
          </w:p>
        </w:tc>
        <w:tc>
          <w:tcPr>
            <w:tcW w:type="dxa" w:w="2268"/>
          </w:tcPr>
          <w:p>
            <w:pPr>
              <w:jc w:val="center"/>
            </w:pPr>
            <w:r>
              <w:rPr>
                <w:rFonts w:ascii="Times New Roman" w:hAnsi="Times New Roman" w:eastAsia="宋体" w:hint="eastAsia"/>
                <w:b w:val="0"/>
                <w:sz w:val="14"/>
                <w:lang w:eastAsia="zh-CN" w:val="zh-CN" w:bidi="ar-SA"/>
              </w:rPr>
              <w:t>25%</w:t>
            </w:r>
          </w:p>
        </w:tc>
        <w:tc>
          <w:tcPr>
            <w:tcW w:type="dxa" w:w="2268"/>
          </w:tcPr>
          <w:p>
            <w:pPr>
              <w:jc w:val="left"/>
            </w:pPr>
            <w:r>
              <w:rPr>
                <w:rFonts w:ascii="Times New Roman" w:hAnsi="Times New Roman" w:eastAsia="宋体" w:hint="eastAsia"/>
                <w:b w:val="0"/>
                <w:sz w:val="14"/>
                <w:lang w:eastAsia="zh-CN" w:val="zh-CN" w:bidi="ar-SA"/>
              </w:rPr>
              <w:t>选择可观测信号，设计采集、特征和诊断流程，可使用PCA/聚类/kNN/SVM等简单方法并说明适用边界。</w:t>
            </w:r>
          </w:p>
        </w:tc>
        <w:tc>
          <w:tcPr>
            <w:tcW w:type="dxa" w:w="2268"/>
          </w:tcPr>
          <w:p>
            <w:pPr>
              <w:jc w:val="center"/>
            </w:pPr>
            <w:r>
              <w:rPr>
                <w:rFonts w:ascii="Times New Roman" w:hAnsi="Times New Roman" w:eastAsia="宋体" w:hint="eastAsia"/>
                <w:b w:val="0"/>
                <w:sz w:val="14"/>
                <w:lang w:eastAsia="zh-CN" w:val="zh-CN" w:bidi="ar-SA"/>
              </w:rPr>
              <w:t>目标 1.6，2.6，3.3</w:t>
            </w:r>
          </w:p>
        </w:tc>
      </w:tr>
      <w:tr>
        <w:trPr>
          <w:cantSplit/>
        </w:trPr>
        <w:tc>
          <w:tcPr>
            <w:tcW w:type="dxa" w:w="2268"/>
          </w:tcPr>
          <w:p>
            <w:pPr>
              <w:jc w:val="left"/>
            </w:pPr>
            <w:r>
              <w:rPr>
                <w:rFonts w:ascii="Times New Roman" w:hAnsi="Times New Roman" w:eastAsia="宋体" w:hint="eastAsia"/>
                <w:b w:val="0"/>
                <w:sz w:val="14"/>
                <w:lang w:eastAsia="zh-CN" w:val="zh-CN" w:bidi="ar-SA"/>
              </w:rPr>
              <w:t>工程分析与改进</w:t>
            </w:r>
          </w:p>
        </w:tc>
        <w:tc>
          <w:tcPr>
            <w:tcW w:type="dxa" w:w="2268"/>
          </w:tcPr>
          <w:p>
            <w:pPr>
              <w:jc w:val="center"/>
            </w:pPr>
            <w:r>
              <w:rPr>
                <w:rFonts w:ascii="Times New Roman" w:hAnsi="Times New Roman" w:eastAsia="宋体" w:hint="eastAsia"/>
                <w:b w:val="0"/>
                <w:sz w:val="14"/>
                <w:lang w:eastAsia="zh-CN" w:val="zh-CN" w:bidi="ar-SA"/>
              </w:rPr>
              <w:t>15%</w:t>
            </w:r>
          </w:p>
        </w:tc>
        <w:tc>
          <w:tcPr>
            <w:tcW w:type="dxa" w:w="2268"/>
          </w:tcPr>
          <w:p>
            <w:pPr>
              <w:jc w:val="left"/>
            </w:pPr>
            <w:r>
              <w:rPr>
                <w:rFonts w:ascii="Times New Roman" w:hAnsi="Times New Roman" w:eastAsia="宋体" w:hint="eastAsia"/>
                <w:b w:val="0"/>
                <w:sz w:val="14"/>
                <w:lang w:eastAsia="zh-CN" w:val="zh-CN" w:bidi="ar-SA"/>
              </w:rPr>
              <w:t>从质量、可靠性、维护、能耗或材料利用率角度提出合理改进建议并说明依据。</w:t>
            </w:r>
          </w:p>
        </w:tc>
        <w:tc>
          <w:tcPr>
            <w:tcW w:type="dxa" w:w="2268"/>
          </w:tcPr>
          <w:p>
            <w:pPr>
              <w:jc w:val="center"/>
            </w:pPr>
            <w:r>
              <w:rPr>
                <w:rFonts w:ascii="Times New Roman" w:hAnsi="Times New Roman" w:eastAsia="宋体" w:hint="eastAsia"/>
                <w:b w:val="0"/>
                <w:sz w:val="14"/>
                <w:lang w:eastAsia="zh-CN" w:val="zh-CN" w:bidi="ar-SA"/>
              </w:rPr>
              <w:t>目标 3.2，3.5，3.6</w:t>
            </w:r>
          </w:p>
        </w:tc>
      </w:tr>
      <w:tr>
        <w:trPr>
          <w:cantSplit/>
        </w:trPr>
        <w:tc>
          <w:tcPr>
            <w:tcW w:type="dxa" w:w="2268"/>
          </w:tcPr>
          <w:p>
            <w:pPr>
              <w:jc w:val="left"/>
            </w:pPr>
            <w:r>
              <w:rPr>
                <w:rFonts w:ascii="Times New Roman" w:hAnsi="Times New Roman" w:eastAsia="宋体" w:hint="eastAsia"/>
                <w:b w:val="0"/>
                <w:sz w:val="14"/>
                <w:lang w:eastAsia="zh-CN" w:val="zh-CN" w:bidi="ar-SA"/>
              </w:rPr>
              <w:t>文档与图表规范</w:t>
            </w:r>
          </w:p>
        </w:tc>
        <w:tc>
          <w:tcPr>
            <w:tcW w:type="dxa" w:w="2268"/>
          </w:tcPr>
          <w:p>
            <w:pPr>
              <w:jc w:val="center"/>
            </w:pPr>
            <w:r>
              <w:rPr>
                <w:rFonts w:ascii="Times New Roman" w:hAnsi="Times New Roman" w:eastAsia="宋体" w:hint="eastAsia"/>
                <w:b w:val="0"/>
                <w:sz w:val="14"/>
                <w:lang w:eastAsia="zh-CN" w:val="zh-CN" w:bidi="ar-SA"/>
              </w:rPr>
              <w:t>5%</w:t>
            </w:r>
          </w:p>
        </w:tc>
        <w:tc>
          <w:tcPr>
            <w:tcW w:type="dxa" w:w="2268"/>
          </w:tcPr>
          <w:p>
            <w:pPr>
              <w:jc w:val="left"/>
            </w:pPr>
            <w:r>
              <w:rPr>
                <w:rFonts w:ascii="Times New Roman" w:hAnsi="Times New Roman" w:eastAsia="宋体" w:hint="eastAsia"/>
                <w:b w:val="0"/>
                <w:sz w:val="14"/>
                <w:lang w:eastAsia="zh-CN" w:val="zh-CN" w:bidi="ar-SA"/>
              </w:rPr>
              <w:t>系统图、接口表、诊断图表、参数、引用和版本记录规范，可复核。</w:t>
            </w:r>
          </w:p>
        </w:tc>
        <w:tc>
          <w:tcPr>
            <w:tcW w:type="dxa" w:w="2268"/>
          </w:tcPr>
          <w:p>
            <w:pPr>
              <w:jc w:val="center"/>
            </w:pPr>
            <w:r>
              <w:rPr>
                <w:rFonts w:ascii="Times New Roman" w:hAnsi="Times New Roman" w:eastAsia="宋体" w:hint="eastAsia"/>
                <w:b w:val="0"/>
                <w:sz w:val="14"/>
                <w:lang w:eastAsia="zh-CN" w:val="zh-CN" w:bidi="ar-SA"/>
              </w:rPr>
              <w:t>目标 3.4，3.6</w:t>
            </w:r>
          </w:p>
        </w:tc>
      </w:tr>
      <w:tr>
        <w:trPr>
          <w:cantSplit/>
        </w:trPr>
        <w:tc>
          <w:tcPr>
            <w:tcW w:type="dxa" w:w="2268"/>
          </w:tcPr>
          <w:p>
            <w:pPr>
              <w:jc w:val="left"/>
            </w:pPr>
            <w:r>
              <w:rPr>
                <w:rFonts w:ascii="Times New Roman" w:hAnsi="Times New Roman" w:eastAsia="宋体" w:hint="eastAsia"/>
                <w:b w:val="0"/>
                <w:sz w:val="14"/>
                <w:lang w:eastAsia="zh-CN" w:val="zh-CN" w:bidi="ar-SA"/>
              </w:rPr>
              <w:t>个人答辩/核验</w:t>
            </w:r>
          </w:p>
        </w:tc>
        <w:tc>
          <w:tcPr>
            <w:tcW w:type="dxa" w:w="2268"/>
          </w:tcPr>
          <w:p>
            <w:pPr>
              <w:jc w:val="center"/>
            </w:pPr>
            <w:r>
              <w:rPr>
                <w:rFonts w:ascii="Times New Roman" w:hAnsi="Times New Roman" w:eastAsia="宋体" w:hint="eastAsia"/>
                <w:b w:val="0"/>
                <w:sz w:val="14"/>
                <w:lang w:eastAsia="zh-CN" w:val="zh-CN" w:bidi="ar-SA"/>
              </w:rPr>
              <w:t>10%</w:t>
            </w:r>
          </w:p>
        </w:tc>
        <w:tc>
          <w:tcPr>
            <w:tcW w:type="dxa" w:w="2268"/>
          </w:tcPr>
          <w:p>
            <w:pPr>
              <w:jc w:val="left"/>
            </w:pPr>
            <w:r>
              <w:rPr>
                <w:rFonts w:ascii="Times New Roman" w:hAnsi="Times New Roman" w:eastAsia="宋体" w:hint="eastAsia"/>
                <w:b w:val="0"/>
                <w:sz w:val="14"/>
                <w:lang w:eastAsia="zh-CN" w:val="zh-CN" w:bidi="ar-SA"/>
              </w:rPr>
              <w:t>独立解释本人负责内容及关键技术选择，回答装备原理、接口、安全、诊断结果和适用边界问题。</w:t>
            </w:r>
          </w:p>
        </w:tc>
        <w:tc>
          <w:tcPr>
            <w:tcW w:type="dxa" w:w="2268"/>
          </w:tcPr>
          <w:p>
            <w:pPr>
              <w:jc w:val="center"/>
            </w:pPr>
            <w:r>
              <w:rPr>
                <w:rFonts w:ascii="Times New Roman" w:hAnsi="Times New Roman" w:eastAsia="宋体" w:hint="eastAsia"/>
                <w:b w:val="0"/>
                <w:sz w:val="14"/>
                <w:lang w:eastAsia="zh-CN" w:val="zh-CN" w:bidi="ar-SA"/>
              </w:rPr>
              <w:t>目标 1.1—1.6，2.1—2.6，3.1—3.6</w:t>
            </w:r>
          </w:p>
        </w:tc>
      </w:tr>
      <w:tr>
        <w:trPr>
          <w:cantSplit/>
        </w:trPr>
        <w:tc>
          <w:tcPr>
            <w:tcW w:type="dxa" w:w="2268"/>
          </w:tcPr>
          <w:p>
            <w:pPr>
              <w:jc w:val="left"/>
            </w:pPr>
            <w:r>
              <w:rPr>
                <w:rFonts w:ascii="Times New Roman" w:hAnsi="Times New Roman" w:eastAsia="宋体" w:hint="eastAsia"/>
                <w:b/>
                <w:sz w:val="14"/>
                <w:lang w:eastAsia="zh-CN" w:val="zh-CN" w:bidi="ar-SA"/>
              </w:rPr>
              <w:t>合计</w:t>
            </w:r>
          </w:p>
        </w:tc>
        <w:tc>
          <w:tcPr>
            <w:tcW w:type="dxa" w:w="2268"/>
          </w:tcPr>
          <w:p>
            <w:pPr>
              <w:jc w:val="center"/>
            </w:pPr>
            <w:r>
              <w:rPr>
                <w:rFonts w:ascii="Times New Roman" w:hAnsi="Times New Roman" w:eastAsia="宋体" w:hint="eastAsia"/>
                <w:b/>
                <w:sz w:val="14"/>
                <w:lang w:eastAsia="zh-CN" w:val="zh-CN" w:bidi="ar-SA"/>
              </w:rPr>
              <w:t>100%</w:t>
            </w:r>
          </w:p>
        </w:tc>
        <w:tc>
          <w:tcPr>
            <w:tcW w:type="dxa" w:w="2268"/>
          </w:tcPr>
          <w:p>
            <w:pPr>
              <w:jc w:val="left"/>
            </w:pPr>
            <w:r>
              <w:rPr>
                <w:rFonts w:ascii="Times New Roman" w:hAnsi="Times New Roman" w:eastAsia="宋体" w:hint="eastAsia"/>
                <w:b/>
                <w:sz w:val="14"/>
                <w:lang w:eastAsia="zh-CN" w:val="zh-CN" w:bidi="ar-SA"/>
              </w:rPr>
            </w:r>
          </w:p>
        </w:tc>
        <w:tc>
          <w:tcPr>
            <w:tcW w:type="dxa" w:w="2268"/>
          </w:tcPr>
          <w:p>
            <w:pPr>
              <w:jc w:val="center"/>
            </w:pPr>
            <w:r>
              <w:rPr>
                <w:rFonts w:ascii="Times New Roman" w:hAnsi="Times New Roman" w:eastAsia="宋体" w:hint="eastAsia"/>
                <w:b/>
                <w:sz w:val="14"/>
                <w:lang w:eastAsia="zh-CN" w:val="zh-CN" w:bidi="ar-SA"/>
              </w:rPr>
            </w:r>
          </w:p>
        </w:tc>
      </w:tr>
    </w:tbl>
    <w:p>
      <w:pPr>
        <w:keepNext/>
        <w:spacing w:before="0" w:after="0" w:line="240" w:lineRule="auto"/>
        <w:jc w:val="left"/>
      </w:pPr>
      <w:r>
        <w:rPr>
          <w:rFonts w:ascii="Times New Roman" w:hAnsi="Times New Roman" w:eastAsia="宋体" w:hint="eastAsia"/>
          <w:b/>
          <w:sz w:val="28"/>
          <w:lang w:eastAsia="zh-CN" w:val="zh-CN" w:bidi="ar-SA"/>
        </w:rPr>
        <w:t>五、参考书目及学习资料</w:t>
      </w:r>
    </w:p>
    <w:p>
      <w:pPr>
        <w:keepNext/>
        <w:spacing w:before="0" w:after="0" w:line="240" w:lineRule="auto"/>
        <w:jc w:val="left"/>
      </w:pPr>
      <w:r>
        <w:rPr>
          <w:rFonts w:ascii="Times New Roman" w:hAnsi="Times New Roman" w:eastAsia="宋体" w:hint="eastAsia"/>
          <w:b w:val="0"/>
          <w:sz w:val="21"/>
          <w:lang w:eastAsia="zh-CN" w:val="zh-CN" w:bidi="ar-SA"/>
        </w:rPr>
        <w:t>（一）选用教材</w:t>
      </w:r>
    </w:p>
    <w:p>
      <w:pPr>
        <w:keepNext w:val="0"/>
        <w:spacing w:before="0" w:after="0" w:line="240" w:lineRule="auto"/>
        <w:jc w:val="left"/>
      </w:pPr>
      <w:r>
        <w:rPr>
          <w:rFonts w:ascii="Times New Roman" w:hAnsi="Times New Roman" w:eastAsia="宋体" w:hint="eastAsia"/>
          <w:b w:val="0"/>
          <w:sz w:val="21"/>
          <w:lang w:eastAsia="zh-CN" w:val="zh-CN" w:bidi="ar-SA"/>
        </w:rPr>
        <w:t>吴玉厚, 陈关龙, 张珂, 赵德宏, 巩亚东, 刘春时. 智能制造装备基础[M]. 北京：清华大学出版社，2022. ISBN 9787302621638</w:t>
      </w:r>
    </w:p>
    <w:p>
      <w:pPr>
        <w:keepNext/>
        <w:spacing w:before="0" w:after="0" w:line="240" w:lineRule="auto"/>
        <w:jc w:val="left"/>
      </w:pPr>
      <w:r>
        <w:rPr>
          <w:rFonts w:ascii="Times New Roman" w:hAnsi="Times New Roman" w:eastAsia="宋体" w:hint="eastAsia"/>
          <w:b w:val="0"/>
          <w:sz w:val="21"/>
          <w:lang w:eastAsia="zh-CN" w:val="zh-CN" w:bidi="ar-SA"/>
        </w:rPr>
        <w:t>（二）学习资料</w:t>
      </w:r>
    </w:p>
    <w:p>
      <w:pPr>
        <w:keepNext w:val="0"/>
        <w:spacing w:before="0" w:after="0" w:line="240" w:lineRule="auto"/>
        <w:jc w:val="left"/>
      </w:pPr>
      <w:r>
        <w:rPr>
          <w:rFonts w:ascii="Times New Roman" w:hAnsi="Times New Roman" w:eastAsia="宋体" w:hint="eastAsia"/>
          <w:b w:val="0"/>
          <w:sz w:val="20"/>
          <w:lang w:eastAsia="zh-CN" w:val="zh-CN" w:bidi="ar-SA"/>
        </w:rPr>
        <w:t>1. 卢继平, 孟凡武. 智能加工装备设计[M]. 北京：机械工业出版社，2025. ISBN 9787111776741。</w:t>
      </w:r>
    </w:p>
    <w:p>
      <w:pPr>
        <w:keepNext w:val="0"/>
        <w:spacing w:before="0" w:after="0" w:line="240" w:lineRule="auto"/>
        <w:jc w:val="left"/>
      </w:pPr>
      <w:r>
        <w:rPr>
          <w:rFonts w:ascii="Times New Roman" w:hAnsi="Times New Roman" w:eastAsia="宋体" w:hint="eastAsia"/>
          <w:b w:val="0"/>
          <w:sz w:val="20"/>
          <w:lang w:eastAsia="zh-CN" w:val="zh-CN" w:bidi="ar-SA"/>
        </w:rPr>
        <w:t>2. 葛英飞. 智能制造技术基础（第2版）[M]. 北京：机械工业出版社，2025. ISBN 9787111780175。</w:t>
      </w:r>
    </w:p>
    <w:p>
      <w:pPr>
        <w:keepNext w:val="0"/>
        <w:spacing w:before="0" w:after="0" w:line="240" w:lineRule="auto"/>
        <w:jc w:val="left"/>
      </w:pPr>
      <w:r>
        <w:rPr>
          <w:rFonts w:ascii="Times New Roman" w:hAnsi="Times New Roman" w:eastAsia="宋体" w:hint="eastAsia"/>
          <w:b w:val="0"/>
          <w:sz w:val="20"/>
          <w:lang w:eastAsia="zh-CN" w:val="zh-CN" w:bidi="ar-SA"/>
        </w:rPr>
        <w:t>3. 周兰, 武峰, 吕洋. 智能制造装备故障诊断与技术改造[M]. 北京：机械工业出版社，2023. ISBN 9787111729334。</w:t>
      </w:r>
    </w:p>
    <w:p>
      <w:pPr>
        <w:keepNext w:val="0"/>
        <w:spacing w:before="0" w:after="0" w:line="240" w:lineRule="auto"/>
        <w:jc w:val="center"/>
      </w:pPr>
      <w:r>
        <w:rPr>
          <w:rFonts w:ascii="Times New Roman" w:hAnsi="Times New Roman" w:eastAsia="宋体" w:hint="eastAsia"/>
          <w:b w:val="0"/>
          <w:sz w:val="20"/>
          <w:lang w:eastAsia="zh-CN" w:val="zh-CN" w:bidi="ar-SA"/>
        </w:rPr>
        <w:t>4. 张键, 汤赫男. 机械故障诊断技术（第3版）[M]. 北京：机械工业出版社，2024. ISBN 9787111756989。</w:t>
      </w:r>
    </w:p>
    <w:p>
      <w:r>
        <w:rPr>
          <w:rFonts w:ascii="Times New Roman" w:hAnsi="Times New Roman" w:eastAsia="宋体" w:hint="eastAsia"/>
          <w:b w:val="0"/>
          <w:sz w:val="20"/>
          <w:lang w:eastAsia="zh-CN" w:val="zh-CN" w:bidi="ar-SA"/>
        </w:rPr>
        <w:t xml:space="preserve">制定人：　　　　　　　　审定人：　　　　　　　　批准人：　　　　　　　　</w:t>
      </w:r>
    </w:p>
    <w:p>
      <w:r>
        <w:rPr>
          <w:rFonts w:ascii="Times New Roman" w:hAnsi="Times New Roman" w:eastAsia="宋体" w:hint="eastAsia"/>
          <w:b w:val="0"/>
          <w:sz w:val="19"/>
          <w:lang w:eastAsia="zh-CN" w:val="zh-CN" w:bidi="ar-SA"/>
        </w:rPr>
        <w:t>2026年9月</w:t>
      </w:r>
    </w:p>
    <w:sectPr w:rsidR="00FC693F" w:rsidRPr="0006063C" w:rsidSect="00034616">
      <w:footerReference w:type="default" r:id="rId9"/>
      <w:pgSz w:w="11906" w:h="16838"/>
      <w:pgMar w:top="1417" w:right="1417" w:bottom="1417" w:left="141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b w:val="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智能制造装备课程教学大纲</dc:title>
  <dc:subject/>
  <dc:creator/>
  <cp:keywords/>
  <dc:description/>
  <cp:lastModifiedBy/>
  <cp:revision>1</cp:revision>
  <dcterms:created xsi:type="dcterms:W3CDTF">2013-12-23T23:15:00Z</dcterms:created>
  <dcterms:modified xsi:type="dcterms:W3CDTF">2013-12-23T23:15:00Z</dcterms:modified>
  <cp:category/>
</cp:coreProperties>
</file>