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3" w:lineRule="auto" w:before="0" w:after="160"/>
        <w:jc w:val="center"/>
      </w:pPr>
      <w:r>
        <w:rPr>
          <w:rFonts w:ascii="Times New Roman" w:hAnsi="Times New Roman" w:eastAsia="黑体" w:cs="Times New Roman"/>
          <w:b/>
          <w:sz w:val="32"/>
        </w:rPr>
        <w:t>《机械故障诊断及维护》课程教学大纲</w:t>
      </w:r>
    </w:p>
    <w:p>
      <w:pPr>
        <w:keepNext/>
        <w:spacing w:line="283" w:lineRule="auto" w:before="100" w:after="60"/>
      </w:pPr>
      <w:r>
        <w:rPr>
          <w:rFonts w:ascii="Times New Roman" w:hAnsi="Times New Roman" w:eastAsia="黑体" w:cs="Times New Roman"/>
          <w:b/>
          <w:sz w:val="28"/>
        </w:rPr>
        <w:t>一、课程基本信息</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1"/>
        <w:gridCol w:w="1634"/>
        <w:gridCol w:w="1215"/>
        <w:gridCol w:w="1104"/>
        <w:gridCol w:w="477"/>
        <w:gridCol w:w="627"/>
        <w:gridCol w:w="1033"/>
        <w:gridCol w:w="1033"/>
      </w:tblGrid>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8"/>
              </w:rPr>
              <w:t>课程名称（中英文）</w:t>
            </w:r>
          </w:p>
        </w:tc>
        <w:tc>
          <w:tcPr>
            <w:tcW w:type="dxa" w:w="7123"/>
            <w:gridSpan w:val="7"/>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val="0"/>
                <w:sz w:val="19"/>
              </w:rPr>
              <w:t>机械故障诊断及维护  Mechanical Fault Diagnosis and Maintenance</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8"/>
              </w:rPr>
              <w:t>课程代码</w:t>
            </w:r>
          </w:p>
        </w:tc>
        <w:tc>
          <w:tcPr>
            <w:tcW w:type="dxa" w:w="2849"/>
            <w:gridSpan w:val="2"/>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val="0"/>
                <w:sz w:val="18"/>
              </w:rPr>
              <w:t>25JD32106</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8"/>
              </w:rPr>
              <w:t>课程类别</w:t>
            </w:r>
          </w:p>
        </w:tc>
        <w:tc>
          <w:tcPr>
            <w:tcW w:type="dxa" w:w="3170"/>
            <w:gridSpan w:val="4"/>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val="0"/>
                <w:sz w:val="18"/>
              </w:rPr>
              <w:t>专业类</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8"/>
              </w:rPr>
              <w:t>课程性质</w:t>
            </w:r>
          </w:p>
        </w:tc>
        <w:tc>
          <w:tcPr>
            <w:tcW w:type="dxa" w:w="2849"/>
            <w:gridSpan w:val="2"/>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val="0"/>
                <w:sz w:val="18"/>
              </w:rPr>
              <w:t>选修课</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8"/>
              </w:rPr>
              <w:t>授课语言</w:t>
            </w:r>
          </w:p>
        </w:tc>
        <w:tc>
          <w:tcPr>
            <w:tcW w:type="dxa" w:w="3170"/>
            <w:gridSpan w:val="4"/>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val="0"/>
                <w:sz w:val="18"/>
              </w:rPr>
              <w:t>中文</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8"/>
              </w:rPr>
              <w:t>授课学期</w:t>
            </w:r>
          </w:p>
        </w:tc>
        <w:tc>
          <w:tcPr>
            <w:tcW w:type="dxa" w:w="2849"/>
            <w:gridSpan w:val="2"/>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val="0"/>
                <w:sz w:val="18"/>
              </w:rPr>
              <w:t>第7学期</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8"/>
              </w:rPr>
              <w:t>学分</w:t>
            </w:r>
          </w:p>
        </w:tc>
        <w:tc>
          <w:tcPr>
            <w:tcW w:type="dxa" w:w="3170"/>
            <w:gridSpan w:val="4"/>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val="0"/>
                <w:sz w:val="18"/>
              </w:rPr>
              <w:t>2</w:t>
            </w:r>
          </w:p>
        </w:tc>
      </w:tr>
      <w:tr>
        <w:trPr>
          <w:cantSplit/>
        </w:trPr>
        <w:tc>
          <w:tcPr>
            <w:tcW w:type="dxa" w:w="3565"/>
            <w:gridSpan w:val="2"/>
            <w:vMerge w:val="restart"/>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8"/>
              </w:rPr>
              <w:t>课程学时及分配</w:t>
            </w:r>
          </w:p>
        </w:tc>
        <w:tc>
          <w:tcPr>
            <w:tcW w:type="dxa" w:w="1215"/>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总学时</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理论</w:t>
            </w:r>
          </w:p>
        </w:tc>
        <w:tc>
          <w:tcPr>
            <w:tcW w:type="dxa" w:w="477"/>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实践</w:t>
            </w:r>
          </w:p>
        </w:tc>
        <w:tc>
          <w:tcPr>
            <w:tcW w:type="dxa" w:w="627"/>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实验</w:t>
            </w:r>
          </w:p>
        </w:tc>
        <w:tc>
          <w:tcPr>
            <w:tcW w:type="dxa" w:w="1033"/>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上机</w:t>
            </w:r>
          </w:p>
        </w:tc>
        <w:tc>
          <w:tcPr>
            <w:tcW w:type="dxa" w:w="1033"/>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项目式</w:t>
            </w:r>
          </w:p>
        </w:tc>
      </w:tr>
      <w:tr>
        <w:trPr>
          <w:cantSplit/>
        </w:trPr>
        <w:tc>
          <w:tcPr>
            <w:tcW w:type="dxa" w:w="3565"/>
            <w:gridSpan w:val="2"/>
            <w:vMerge/>
            <w:tcMar>
              <w:top w:w="80" w:type="dxa"/>
              <w:start w:w="70" w:type="dxa"/>
              <w:bottom w:w="80" w:type="dxa"/>
              <w:end w:w="70" w:type="dxa"/>
            </w:tcMar>
          </w:tcPr>
          <w:p/>
        </w:tc>
        <w:tc>
          <w:tcPr>
            <w:tcW w:type="dxa" w:w="1215"/>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val="0"/>
                <w:sz w:val="18"/>
              </w:rPr>
              <w:t>32</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val="0"/>
                <w:sz w:val="18"/>
              </w:rPr>
              <w:t>32</w:t>
            </w:r>
          </w:p>
        </w:tc>
        <w:tc>
          <w:tcPr>
            <w:tcW w:type="dxa" w:w="477"/>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val="0"/>
                <w:sz w:val="18"/>
              </w:rPr>
              <w:t>0</w:t>
            </w:r>
          </w:p>
        </w:tc>
        <w:tc>
          <w:tcPr>
            <w:tcW w:type="dxa" w:w="627"/>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val="0"/>
                <w:sz w:val="18"/>
              </w:rPr>
              <w:t>0</w:t>
            </w:r>
          </w:p>
        </w:tc>
        <w:tc>
          <w:tcPr>
            <w:tcW w:type="dxa" w:w="1033"/>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val="0"/>
                <w:sz w:val="18"/>
              </w:rPr>
              <w:t>0</w:t>
            </w:r>
          </w:p>
        </w:tc>
        <w:tc>
          <w:tcPr>
            <w:tcW w:type="dxa" w:w="1033"/>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val="0"/>
                <w:sz w:val="18"/>
              </w:rPr>
              <w:t>0</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8"/>
              </w:rPr>
              <w:t>适用专业</w:t>
            </w:r>
          </w:p>
        </w:tc>
        <w:tc>
          <w:tcPr>
            <w:tcW w:type="dxa" w:w="7123"/>
            <w:gridSpan w:val="7"/>
            <w:tcMar>
              <w:top w:w="80" w:type="dxa"/>
              <w:start w:w="70" w:type="dxa"/>
              <w:bottom w:w="80" w:type="dxa"/>
              <w:end w:w="70" w:type="dxa"/>
            </w:tcMar>
            <w:vAlign w:val="center"/>
          </w:tcPr>
          <w:p>
            <w:pPr>
              <w:spacing w:line="269" w:lineRule="auto" w:before="0" w:after="0"/>
              <w:jc w:val="left"/>
            </w:pPr>
            <w:r/>
            <w:r>
              <w:rPr>
                <w:rFonts w:ascii="Times New Roman" w:hAnsi="Times New Roman" w:eastAsia="宋体" w:cs="Times New Roman"/>
                <w:b w:val="0"/>
                <w:sz w:val="18"/>
              </w:rPr>
              <w:t>智能制造工程</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8"/>
              </w:rPr>
              <w:t>授课学院</w:t>
            </w:r>
          </w:p>
        </w:tc>
        <w:tc>
          <w:tcPr>
            <w:tcW w:type="dxa" w:w="7123"/>
            <w:gridSpan w:val="7"/>
            <w:tcMar>
              <w:top w:w="80" w:type="dxa"/>
              <w:start w:w="70" w:type="dxa"/>
              <w:bottom w:w="80" w:type="dxa"/>
              <w:end w:w="70" w:type="dxa"/>
            </w:tcMar>
            <w:vAlign w:val="center"/>
          </w:tcPr>
          <w:p>
            <w:pPr>
              <w:spacing w:line="269" w:lineRule="auto" w:before="0" w:after="0"/>
              <w:jc w:val="left"/>
            </w:pPr>
            <w:r/>
            <w:r>
              <w:rPr>
                <w:rFonts w:ascii="Times New Roman" w:hAnsi="Times New Roman" w:eastAsia="宋体" w:cs="Times New Roman"/>
                <w:b w:val="0"/>
                <w:sz w:val="18"/>
              </w:rPr>
              <w:t>机械与动力工程学院</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8"/>
              </w:rPr>
              <w:t>先修课程</w:t>
            </w:r>
          </w:p>
        </w:tc>
        <w:tc>
          <w:tcPr>
            <w:tcW w:type="dxa" w:w="7123"/>
            <w:gridSpan w:val="7"/>
            <w:tcMar>
              <w:top w:w="80" w:type="dxa"/>
              <w:start w:w="70" w:type="dxa"/>
              <w:bottom w:w="80" w:type="dxa"/>
              <w:end w:w="70" w:type="dxa"/>
            </w:tcMar>
            <w:vAlign w:val="center"/>
          </w:tcPr>
          <w:p>
            <w:pPr>
              <w:spacing w:line="269" w:lineRule="auto" w:before="0" w:after="0"/>
              <w:jc w:val="left"/>
            </w:pPr>
            <w:r/>
            <w:r>
              <w:rPr>
                <w:rFonts w:ascii="Times New Roman" w:hAnsi="Times New Roman" w:eastAsia="宋体" w:cs="Times New Roman"/>
                <w:b w:val="0"/>
                <w:sz w:val="18"/>
              </w:rPr>
              <w:t>智能测试技术、机械设计基础、机械控制工程、工程建模与科学计算可视化基础（Python）</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8"/>
              </w:rPr>
              <w:t>后续课程</w:t>
            </w:r>
          </w:p>
        </w:tc>
        <w:tc>
          <w:tcPr>
            <w:tcW w:type="dxa" w:w="7123"/>
            <w:gridSpan w:val="7"/>
            <w:tcMar>
              <w:top w:w="80" w:type="dxa"/>
              <w:start w:w="70" w:type="dxa"/>
              <w:bottom w:w="80" w:type="dxa"/>
              <w:end w:w="70" w:type="dxa"/>
            </w:tcMar>
            <w:vAlign w:val="center"/>
          </w:tcPr>
          <w:p>
            <w:pPr>
              <w:spacing w:line="269" w:lineRule="auto" w:before="0" w:after="0"/>
              <w:jc w:val="left"/>
            </w:pPr>
            <w:r/>
            <w:r>
              <w:rPr>
                <w:rFonts w:ascii="Times New Roman" w:hAnsi="Times New Roman" w:eastAsia="宋体" w:cs="Times New Roman"/>
                <w:b w:val="0"/>
                <w:sz w:val="18"/>
              </w:rPr>
              <w:t>毕业设计（论文）</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8"/>
              </w:rPr>
              <w:t>课程简介</w:t>
            </w:r>
          </w:p>
        </w:tc>
        <w:tc>
          <w:tcPr>
            <w:tcW w:type="dxa" w:w="7123"/>
            <w:gridSpan w:val="7"/>
            <w:tcMar>
              <w:top w:w="80" w:type="dxa"/>
              <w:start w:w="70" w:type="dxa"/>
              <w:bottom w:w="80" w:type="dxa"/>
              <w:end w:w="70" w:type="dxa"/>
            </w:tcMar>
          </w:tcPr>
          <w:p>
            <w:pPr>
              <w:spacing w:line="278" w:lineRule="auto" w:before="0" w:after="40"/>
            </w:pPr>
            <w:r/>
            <w:r>
              <w:rPr>
                <w:rFonts w:ascii="Times New Roman" w:hAnsi="Times New Roman" w:eastAsia="宋体" w:cs="Times New Roman"/>
                <w:b/>
                <w:sz w:val="18"/>
              </w:rPr>
              <w:t>课程基本定位</w:t>
              <w:br/>
            </w:r>
            <w:r>
              <w:rPr>
                <w:rFonts w:ascii="Times New Roman" w:hAnsi="Times New Roman" w:eastAsia="宋体" w:cs="Times New Roman"/>
                <w:b w:val="0"/>
                <w:sz w:val="18"/>
              </w:rPr>
              <w:t>本课程是智能制造工程专业的专业选修课，面向智能装备、数控机床、旋转机械和自动化生产线的状态监测、故障诊断与维护决策。课程以“故障机理—状态感知—信号处理—特征提取—故障识别—趋势评估—维护决策”为主线，重点学习振动信号及其测取、时域/频域分析、滚动轴承、齿轮箱、转子和电动机等典型部件的故障特征，以及基于状态的维护与预测性维护基本方法。课程不把拆装维修技能作为主线，而强调从测量数据和机理证据出发识别故障、判断严重程度、制定维护方案，并与前序《智能测试技术》《机械控制工程》和Python数据处理能力形成衔接。</w:t>
            </w:r>
          </w:p>
          <w:p>
            <w:pPr>
              <w:spacing w:line="278" w:lineRule="auto" w:before="0" w:after="40"/>
            </w:pPr>
            <w:r>
              <w:rPr>
                <w:rFonts w:ascii="Times New Roman" w:hAnsi="Times New Roman" w:eastAsia="宋体" w:cs="Times New Roman"/>
                <w:b/>
                <w:sz w:val="18"/>
              </w:rPr>
              <w:t>核心学习结果</w:t>
              <w:br/>
            </w:r>
            <w:r>
              <w:rPr>
                <w:rFonts w:ascii="Times New Roman" w:hAnsi="Times New Roman" w:eastAsia="宋体" w:cs="Times New Roman"/>
                <w:b w:val="0"/>
                <w:sz w:val="18"/>
              </w:rPr>
              <w:t>学生能够解释机械故障、劣化、失效和维护策略之间的关系；能够依据采样、传感器布置、转速和工况条件判断振动测量数据的有效性；能够使用波形、统计量、频谱、包络谱和趋势曲线识别典型故障特征；能够分析不平衡、不对中、松动、碰摩、滚动轴承、齿轮和电动机等常见故障；能够理解多源状态监测、特征工程、机器学习/异常检测在智能诊断中的作用及局限；能够形成包含监测点、特征、阈值、诊断依据、风险等级、维护措施和验证方法的设备故障诊断与维护方案。</w:t>
            </w:r>
          </w:p>
          <w:p>
            <w:pPr>
              <w:spacing w:line="278" w:lineRule="auto" w:before="0" w:after="40"/>
            </w:pPr>
            <w:r>
              <w:rPr>
                <w:rFonts w:ascii="Times New Roman" w:hAnsi="Times New Roman" w:eastAsia="宋体" w:cs="Times New Roman"/>
                <w:b/>
                <w:sz w:val="18"/>
              </w:rPr>
              <w:t>主要教学方法</w:t>
              <w:br/>
            </w:r>
            <w:r>
              <w:rPr>
                <w:rFonts w:ascii="Times New Roman" w:hAnsi="Times New Roman" w:eastAsia="宋体" w:cs="Times New Roman"/>
                <w:b w:val="0"/>
                <w:sz w:val="18"/>
              </w:rPr>
              <w:t>采用机理讲授、振动波形与频谱解析、公开或教师提供数据的Python演示、典型故障案例研讨、故障树推演和维护方案评审相结合的方式。培养方案未设置实验、上机或项目式学时，因此传感采集、FFT、包络分析、趋势分析和机器学习分类等内容作为课堂演示、课内数据分析或课后作业，不单列实践学时。案例优先选取轴承、齿轮箱、转子、电动机、数控机床和智能制造生产线；涉及设备维护时强调停机、锁定挂牌、能量隔离、设备说明书和安全规范，诊断结论须由数据、机理或可复核资料支撑。</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8"/>
              </w:rPr>
              <w:t>大纲更新时间</w:t>
            </w:r>
          </w:p>
        </w:tc>
        <w:tc>
          <w:tcPr>
            <w:tcW w:type="dxa" w:w="7123"/>
            <w:gridSpan w:val="7"/>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val="0"/>
                <w:sz w:val="18"/>
              </w:rPr>
              <w:t>2026年9月</w:t>
            </w:r>
          </w:p>
        </w:tc>
      </w:tr>
    </w:tbl>
    <w:p>
      <w:pPr>
        <w:keepNext/>
        <w:spacing w:line="283" w:lineRule="auto" w:before="100" w:after="60"/>
      </w:pPr>
      <w:r>
        <w:rPr>
          <w:rFonts w:ascii="Times New Roman" w:hAnsi="Times New Roman" w:eastAsia="黑体" w:cs="Times New Roman"/>
          <w:b/>
          <w:sz w:val="28"/>
        </w:rPr>
        <w:t>二、课程目标</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50"/>
        <w:gridCol w:w="4650"/>
        <w:gridCol w:w="3354"/>
      </w:tblGrid>
      <w:tr>
        <w:trPr>
          <w:tblHeader w:val="true"/>
          <w:cantSplit/>
        </w:trPr>
        <w:tc>
          <w:tcPr>
            <w:tcW w:type="dxa" w:w="105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课程总目标</w:t>
            </w:r>
          </w:p>
        </w:tc>
        <w:tc>
          <w:tcPr>
            <w:tcW w:type="dxa" w:w="465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课程子目标（参考学校定位、培养目标、毕业要求）</w:t>
            </w:r>
          </w:p>
        </w:tc>
        <w:tc>
          <w:tcPr>
            <w:tcW w:type="dxa" w:w="3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达成方法</w:t>
            </w:r>
          </w:p>
        </w:tc>
      </w:tr>
      <w:tr>
        <w:tc>
          <w:tcPr>
            <w:tcW w:type="dxa" w:w="10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1.知识</w:t>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1.1</w:t>
            </w:r>
            <w:r>
              <w:rPr>
                <w:rFonts w:ascii="Times New Roman" w:hAnsi="Times New Roman" w:eastAsia="宋体" w:cs="Times New Roman"/>
                <w:b w:val="0"/>
                <w:sz w:val="17"/>
              </w:rPr>
              <w:t xml:space="preserve"> 理解机械故障诊断流程、典型失效机理和维护策略。</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讲授、故障模式案例、浴盆曲线分析、维护策略比较；通过课堂分析、作业或诊断方案说明检验。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1.2</w:t>
            </w:r>
            <w:r>
              <w:rPr>
                <w:rFonts w:ascii="Times New Roman" w:hAnsi="Times New Roman" w:eastAsia="宋体" w:cs="Times New Roman"/>
                <w:b w:val="0"/>
                <w:sz w:val="17"/>
              </w:rPr>
              <w:t xml:space="preserve"> 掌握机械振动与状态数据采集的基本原理和关键参数。</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讲授、测点布置图、采样演示、波形比较、参数推演；通过课堂分析、作业或诊断方案说明检验。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1.3</w:t>
            </w:r>
            <w:r>
              <w:rPr>
                <w:rFonts w:ascii="Times New Roman" w:hAnsi="Times New Roman" w:eastAsia="宋体" w:cs="Times New Roman"/>
                <w:b w:val="0"/>
                <w:sz w:val="17"/>
              </w:rPr>
              <w:t xml:space="preserve"> 掌握机械状态信号的时域、频域和包络分析方法。</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公式与图示讲授、Python数据演示、频谱判读、特征对比；通过课堂分析、作业或诊断方案说明检验。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1.4</w:t>
            </w:r>
            <w:r>
              <w:rPr>
                <w:rFonts w:ascii="Times New Roman" w:hAnsi="Times New Roman" w:eastAsia="宋体" w:cs="Times New Roman"/>
                <w:b w:val="0"/>
                <w:sz w:val="17"/>
              </w:rPr>
              <w:t xml:space="preserve"> 掌握典型旋转机械和关键零部件的故障机理与特征。</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讲授、故障频率计算、频谱/包络谱案例、故障树推演；通过课堂分析、作业或诊断方案说明检验。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1.5</w:t>
            </w:r>
            <w:r>
              <w:rPr>
                <w:rFonts w:ascii="Times New Roman" w:hAnsi="Times New Roman" w:eastAsia="宋体" w:cs="Times New Roman"/>
                <w:b w:val="0"/>
                <w:sz w:val="17"/>
              </w:rPr>
              <w:t xml:space="preserve"> 理解多源状态监测和数据驱动智能诊断的基本流程与局限。</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讲授、Python分类/异常检测演示、混淆矩阵案例、模型局限讨论；通过课堂分析、作业或诊断方案说明检验。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1.6</w:t>
            </w:r>
            <w:r>
              <w:rPr>
                <w:rFonts w:ascii="Times New Roman" w:hAnsi="Times New Roman" w:eastAsia="宋体" w:cs="Times New Roman"/>
                <w:b w:val="0"/>
                <w:sz w:val="17"/>
              </w:rPr>
              <w:t xml:space="preserve"> 掌握状态趋势、维护决策和维修后验证的基本方法。</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讲授、趋势判定、维护决策矩阵、案例评审、技术报告；通过课堂分析、作业或诊断方案说明检验。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2.能力</w:t>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2.1</w:t>
            </w:r>
            <w:r>
              <w:rPr>
                <w:rFonts w:ascii="Times New Roman" w:hAnsi="Times New Roman" w:eastAsia="宋体" w:cs="Times New Roman"/>
                <w:b w:val="0"/>
                <w:sz w:val="17"/>
              </w:rPr>
              <w:t xml:space="preserve"> 能够根据故障现象、设备功能和风险选择基本监测与维护思路。</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讲授、故障模式案例、浴盆曲线分析、维护策略比较；通过课堂分析、作业或诊断方案说明检验。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2.2</w:t>
            </w:r>
            <w:r>
              <w:rPr>
                <w:rFonts w:ascii="Times New Roman" w:hAnsi="Times New Roman" w:eastAsia="宋体" w:cs="Times New Roman"/>
                <w:b w:val="0"/>
                <w:sz w:val="17"/>
              </w:rPr>
              <w:t xml:space="preserve"> 能够依据设备结构、转速和故障频段选择测点、传感量和采样参数。</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讲授、测点布置图、采样演示、波形比较、参数推演；通过课堂分析、作业或诊断方案说明检验。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2.3</w:t>
            </w:r>
            <w:r>
              <w:rPr>
                <w:rFonts w:ascii="Times New Roman" w:hAnsi="Times New Roman" w:eastAsia="宋体" w:cs="Times New Roman"/>
                <w:b w:val="0"/>
                <w:sz w:val="17"/>
              </w:rPr>
              <w:t xml:space="preserve"> 能够从波形、频谱、包络谱和趋势中提取与故障相关的特征并解释物理意义。</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公式与图示讲授、Python数据演示、频谱判读、特征对比；通过课堂分析、作业或诊断方案说明检验。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2.4</w:t>
            </w:r>
            <w:r>
              <w:rPr>
                <w:rFonts w:ascii="Times New Roman" w:hAnsi="Times New Roman" w:eastAsia="宋体" w:cs="Times New Roman"/>
                <w:b w:val="0"/>
                <w:sz w:val="17"/>
              </w:rPr>
              <w:t xml:space="preserve"> 能够结合转速、结构参数、频谱和包络谱完成典型故障的证据链分析。</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讲授、故障频率计算、频谱/包络谱案例、故障树推演；通过课堂分析、作业或诊断方案说明检验。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2.5</w:t>
            </w:r>
            <w:r>
              <w:rPr>
                <w:rFonts w:ascii="Times New Roman" w:hAnsi="Times New Roman" w:eastAsia="宋体" w:cs="Times New Roman"/>
                <w:b w:val="0"/>
                <w:sz w:val="17"/>
              </w:rPr>
              <w:t xml:space="preserve"> 能够从任务、数据量、标签质量和可解释性出发选择合适的智能诊断思路。</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讲授、Python分类/异常检测演示、混淆矩阵案例、模型局限讨论；通过课堂分析、作业或诊断方案说明检验。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2.6</w:t>
            </w:r>
            <w:r>
              <w:rPr>
                <w:rFonts w:ascii="Times New Roman" w:hAnsi="Times New Roman" w:eastAsia="宋体" w:cs="Times New Roman"/>
                <w:b w:val="0"/>
                <w:sz w:val="17"/>
              </w:rPr>
              <w:t xml:space="preserve"> 能够根据故障证据、风险、趋势和生产约束形成维护措施与验证清单。</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讲授、趋势判定、维护决策矩阵、案例评审、技术报告；通过课堂分析、作业或诊断方案说明检验。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3.素质</w:t>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3.1</w:t>
            </w:r>
            <w:r>
              <w:rPr>
                <w:rFonts w:ascii="Times New Roman" w:hAnsi="Times New Roman" w:eastAsia="宋体" w:cs="Times New Roman"/>
                <w:b w:val="0"/>
                <w:sz w:val="17"/>
              </w:rPr>
              <w:t xml:space="preserve"> 形成安全优先、风险分级和维护记录可追溯意识。</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讲授、故障模式案例、浴盆曲线分析、维护策略比较；通过课堂分析、作业或诊断方案说明检验。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3.2</w:t>
            </w:r>
            <w:r>
              <w:rPr>
                <w:rFonts w:ascii="Times New Roman" w:hAnsi="Times New Roman" w:eastAsia="宋体" w:cs="Times New Roman"/>
                <w:b w:val="0"/>
                <w:sz w:val="17"/>
              </w:rPr>
              <w:t xml:space="preserve"> 形成测量条件透明、原始数据可信和参数完整记录的习惯。</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讲授、测点布置图、采样演示、波形比较、参数推演；通过课堂分析、作业或诊断方案说明检验。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3.3</w:t>
            </w:r>
            <w:r>
              <w:rPr>
                <w:rFonts w:ascii="Times New Roman" w:hAnsi="Times New Roman" w:eastAsia="宋体" w:cs="Times New Roman"/>
                <w:b w:val="0"/>
                <w:sz w:val="17"/>
              </w:rPr>
              <w:t xml:space="preserve"> 形成不依赖单一指标、重视基线与多证据交叉验证的诊断意识。</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公式与图示讲授、Python数据演示、频谱判读、特征对比；通过课堂分析、作业或诊断方案说明检验。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3.4</w:t>
            </w:r>
            <w:r>
              <w:rPr>
                <w:rFonts w:ascii="Times New Roman" w:hAnsi="Times New Roman" w:eastAsia="宋体" w:cs="Times New Roman"/>
                <w:b w:val="0"/>
                <w:sz w:val="17"/>
              </w:rPr>
              <w:t xml:space="preserve"> 形成机理优先、工况关联和结论分级表达意识。</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讲授、故障频率计算、频谱/包络谱案例、故障树推演；通过课堂分析、作业或诊断方案说明检验。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3.5</w:t>
            </w:r>
            <w:r>
              <w:rPr>
                <w:rFonts w:ascii="Times New Roman" w:hAnsi="Times New Roman" w:eastAsia="宋体" w:cs="Times New Roman"/>
                <w:b w:val="0"/>
                <w:sz w:val="17"/>
              </w:rPr>
              <w:t xml:space="preserve"> 形成数据边界、模型验证、可解释性和人工复核意识。</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讲授、Python分类/异常检测演示、混淆矩阵案例、模型局限讨论；通过课堂分析、作业或诊断方案说明检验。</w:t>
            </w:r>
          </w:p>
        </w:tc>
      </w:tr>
      <w:tr>
        <w:tc>
          <w:tcPr>
            <w:tcW w:type="dxa" w:w="1050"/>
            <w:vAlign w:val="center"/>
            <w:tcMar>
              <w:top w:w="80" w:type="dxa"/>
              <w:start w:w="70" w:type="dxa"/>
              <w:bottom w:w="80" w:type="dxa"/>
              <w:end w:w="70" w:type="dxa"/>
            </w:tcMar>
          </w:tcPr>
          <w:p>
            <w:pPr>
              <w:spacing w:line="269" w:lineRule="auto" w:before="0" w:after="0"/>
              <w:jc w:val="left"/>
            </w:pPr>
            <w:r/>
          </w:p>
        </w:tc>
        <w:tc>
          <w:tcPr>
            <w:tcW w:type="dxa" w:w="465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3.6</w:t>
            </w:r>
            <w:r>
              <w:rPr>
                <w:rFonts w:ascii="Times New Roman" w:hAnsi="Times New Roman" w:eastAsia="宋体" w:cs="Times New Roman"/>
                <w:b w:val="0"/>
                <w:sz w:val="17"/>
              </w:rPr>
              <w:t xml:space="preserve"> 形成全寿命周期、资源节约、可持续维护和持续学习意识。</w:t>
            </w:r>
          </w:p>
        </w:tc>
        <w:tc>
          <w:tcPr>
            <w:tcW w:type="dxa" w:w="3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讲授、趋势判定、维护决策矩阵、案例评审、技术报告；通过课堂分析、作业或诊断方案说明检验。</w:t>
            </w:r>
          </w:p>
        </w:tc>
      </w:tr>
    </w:tbl>
    <w:p>
      <w:pPr>
        <w:keepNext/>
        <w:spacing w:line="283" w:lineRule="auto" w:before="100" w:after="60"/>
      </w:pPr>
      <w:r>
        <w:rPr>
          <w:rFonts w:ascii="Times New Roman" w:hAnsi="Times New Roman" w:eastAsia="黑体" w:cs="Times New Roman"/>
          <w:b/>
          <w:sz w:val="28"/>
        </w:rPr>
        <w:t>三、理论教学环节及基本要求</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1900"/>
        <w:gridCol w:w="600"/>
        <w:gridCol w:w="4000"/>
        <w:gridCol w:w="1254"/>
      </w:tblGrid>
      <w:tr>
        <w:trPr>
          <w:tblHeader w:val="true"/>
          <w:cantSplit/>
        </w:trPr>
        <w:tc>
          <w:tcPr>
            <w:tcW w:type="dxa" w:w="13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单元标题</w:t>
            </w:r>
          </w:p>
        </w:tc>
        <w:tc>
          <w:tcPr>
            <w:tcW w:type="dxa" w:w="1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教学内容</w:t>
            </w:r>
          </w:p>
        </w:tc>
        <w:tc>
          <w:tcPr>
            <w:tcW w:type="dxa" w:w="6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学时</w:t>
            </w:r>
          </w:p>
        </w:tc>
        <w:tc>
          <w:tcPr>
            <w:tcW w:type="dxa" w:w="40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课程要求</w:t>
            </w:r>
          </w:p>
        </w:tc>
        <w:tc>
          <w:tcPr>
            <w:tcW w:type="dxa" w:w="12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课程目标</w:t>
            </w:r>
          </w:p>
        </w:tc>
      </w:tr>
      <w:tr>
        <w:tc>
          <w:tcPr>
            <w:tcW w:type="dxa" w:w="13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第1单元 故障诊断基础、失效机理与维护策略</w:t>
            </w:r>
          </w:p>
        </w:tc>
        <w:tc>
          <w:tcPr>
            <w:tcW w:type="dxa" w:w="19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机械设备故障、劣化、失效与故障模式；故障率与浴盆曲线概念；磨损、疲劳、润滑不良、松动和过载等失效机理；状态监测与故障诊断流程；事后维修、预防性维护、基于状态维护和预测性维护；设备关键度、风险和维护经济性基本概念。</w:t>
            </w:r>
          </w:p>
        </w:tc>
        <w:tc>
          <w:tcPr>
            <w:tcW w:type="dxa" w:w="6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4</w:t>
            </w:r>
          </w:p>
        </w:tc>
        <w:tc>
          <w:tcPr>
            <w:tcW w:type="dxa" w:w="40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思政融入点：</w:t>
            </w:r>
            <w:r>
              <w:rPr>
                <w:rFonts w:ascii="Times New Roman" w:hAnsi="Times New Roman" w:eastAsia="宋体" w:cs="Times New Roman"/>
                <w:b w:val="0"/>
                <w:sz w:val="17"/>
              </w:rPr>
              <w:t>通过重大设备事故、非计划停机和不规范维修案例强调设备全寿命周期安全责任、质量意识和工程伦理。</w:t>
            </w:r>
          </w:p>
          <w:p>
            <w:pPr>
              <w:spacing w:line="269" w:lineRule="auto" w:before="0" w:after="0"/>
              <w:jc w:val="left"/>
            </w:pPr>
            <w:r>
              <w:rPr>
                <w:rFonts w:ascii="Times New Roman" w:hAnsi="Times New Roman" w:eastAsia="宋体" w:cs="Times New Roman"/>
                <w:b/>
                <w:sz w:val="17"/>
              </w:rPr>
              <w:t>预期学习成果：</w:t>
            </w:r>
          </w:p>
          <w:p>
            <w:pPr>
              <w:spacing w:line="269" w:lineRule="auto" w:before="0" w:after="0"/>
              <w:jc w:val="left"/>
            </w:pPr>
            <w:r>
              <w:rPr>
                <w:rFonts w:ascii="Times New Roman" w:hAnsi="Times New Roman" w:eastAsia="宋体" w:cs="Times New Roman"/>
                <w:b w:val="0"/>
                <w:sz w:val="17"/>
              </w:rPr>
              <w:t>知识层面：理解机械故障诊断流程、典型失效机理和维护策略。</w:t>
            </w:r>
          </w:p>
          <w:p>
            <w:pPr>
              <w:spacing w:line="269" w:lineRule="auto" w:before="0" w:after="0"/>
              <w:jc w:val="left"/>
            </w:pPr>
            <w:r>
              <w:rPr>
                <w:rFonts w:ascii="Times New Roman" w:hAnsi="Times New Roman" w:eastAsia="宋体" w:cs="Times New Roman"/>
                <w:b w:val="0"/>
                <w:sz w:val="17"/>
              </w:rPr>
              <w:t>能力层面：能够根据故障现象、设备功能和风险选择基本监测与维护思路。</w:t>
            </w:r>
          </w:p>
          <w:p>
            <w:pPr>
              <w:spacing w:line="269" w:lineRule="auto" w:before="0" w:after="0"/>
              <w:jc w:val="left"/>
            </w:pPr>
            <w:r>
              <w:rPr>
                <w:rFonts w:ascii="Times New Roman" w:hAnsi="Times New Roman" w:eastAsia="宋体" w:cs="Times New Roman"/>
                <w:b w:val="0"/>
                <w:sz w:val="17"/>
              </w:rPr>
              <w:t>素养层面：形成安全优先、风险分级和维护记录可追溯意识。</w:t>
            </w:r>
          </w:p>
          <w:p>
            <w:pPr>
              <w:spacing w:line="269" w:lineRule="auto" w:before="0" w:after="0"/>
              <w:jc w:val="left"/>
            </w:pPr>
            <w:r>
              <w:rPr>
                <w:rFonts w:ascii="Times New Roman" w:hAnsi="Times New Roman" w:eastAsia="宋体" w:cs="Times New Roman"/>
                <w:b/>
                <w:sz w:val="17"/>
              </w:rPr>
              <w:t>教学方式：</w:t>
            </w:r>
            <w:r>
              <w:rPr>
                <w:rFonts w:ascii="Times New Roman" w:hAnsi="Times New Roman" w:eastAsia="宋体" w:cs="Times New Roman"/>
                <w:b w:val="0"/>
                <w:sz w:val="17"/>
              </w:rPr>
              <w:t>讲授、故障模式案例、浴盆曲线分析、维护策略比较</w:t>
            </w:r>
          </w:p>
        </w:tc>
        <w:tc>
          <w:tcPr>
            <w:tcW w:type="dxa" w:w="12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1.1，2.1，3.1</w:t>
            </w:r>
          </w:p>
        </w:tc>
      </w:tr>
      <w:tr>
        <w:tc>
          <w:tcPr>
            <w:tcW w:type="dxa" w:w="13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第2单元 机械振动、传感器与状态数据采集</w:t>
            </w:r>
          </w:p>
        </w:tc>
        <w:tc>
          <w:tcPr>
            <w:tcW w:type="dxa" w:w="19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机械振动基本参数；简谐振动、周期振动与随机振动；位移、速度、加速度及其适用范围；加速度传感器、速度传感器、位移传感器和转速/键相信号；测点与方向选择；采样频率、采样长度、混叠、窗函数、泄漏、分辨率和信噪比；工况、转速、负载和测量链对诊断数据的影响。</w:t>
            </w:r>
          </w:p>
        </w:tc>
        <w:tc>
          <w:tcPr>
            <w:tcW w:type="dxa" w:w="6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6</w:t>
            </w:r>
          </w:p>
        </w:tc>
        <w:tc>
          <w:tcPr>
            <w:tcW w:type="dxa" w:w="40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思政融入点：</w:t>
            </w:r>
            <w:r>
              <w:rPr>
                <w:rFonts w:ascii="Times New Roman" w:hAnsi="Times New Roman" w:eastAsia="宋体" w:cs="Times New Roman"/>
                <w:b w:val="0"/>
                <w:sz w:val="17"/>
              </w:rPr>
              <w:t>以错误测点、采样不足和传感器安装不规范导致的误诊案例强调计量规范、数据真实性和工程责任。</w:t>
            </w:r>
          </w:p>
          <w:p>
            <w:pPr>
              <w:spacing w:line="269" w:lineRule="auto" w:before="0" w:after="0"/>
              <w:jc w:val="left"/>
            </w:pPr>
            <w:r>
              <w:rPr>
                <w:rFonts w:ascii="Times New Roman" w:hAnsi="Times New Roman" w:eastAsia="宋体" w:cs="Times New Roman"/>
                <w:b/>
                <w:sz w:val="17"/>
              </w:rPr>
              <w:t>预期学习成果：</w:t>
            </w:r>
          </w:p>
          <w:p>
            <w:pPr>
              <w:spacing w:line="269" w:lineRule="auto" w:before="0" w:after="0"/>
              <w:jc w:val="left"/>
            </w:pPr>
            <w:r>
              <w:rPr>
                <w:rFonts w:ascii="Times New Roman" w:hAnsi="Times New Roman" w:eastAsia="宋体" w:cs="Times New Roman"/>
                <w:b w:val="0"/>
                <w:sz w:val="17"/>
              </w:rPr>
              <w:t>知识层面：掌握机械振动与状态数据采集的基本原理和关键参数。</w:t>
            </w:r>
          </w:p>
          <w:p>
            <w:pPr>
              <w:spacing w:line="269" w:lineRule="auto" w:before="0" w:after="0"/>
              <w:jc w:val="left"/>
            </w:pPr>
            <w:r>
              <w:rPr>
                <w:rFonts w:ascii="Times New Roman" w:hAnsi="Times New Roman" w:eastAsia="宋体" w:cs="Times New Roman"/>
                <w:b w:val="0"/>
                <w:sz w:val="17"/>
              </w:rPr>
              <w:t>能力层面：能够依据设备结构、转速和故障频段选择测点、传感量和采样参数。</w:t>
            </w:r>
          </w:p>
          <w:p>
            <w:pPr>
              <w:spacing w:line="269" w:lineRule="auto" w:before="0" w:after="0"/>
              <w:jc w:val="left"/>
            </w:pPr>
            <w:r>
              <w:rPr>
                <w:rFonts w:ascii="Times New Roman" w:hAnsi="Times New Roman" w:eastAsia="宋体" w:cs="Times New Roman"/>
                <w:b w:val="0"/>
                <w:sz w:val="17"/>
              </w:rPr>
              <w:t>素养层面：形成测量条件透明、原始数据可信和参数完整记录的习惯。</w:t>
            </w:r>
          </w:p>
          <w:p>
            <w:pPr>
              <w:spacing w:line="269" w:lineRule="auto" w:before="0" w:after="0"/>
              <w:jc w:val="left"/>
            </w:pPr>
            <w:r>
              <w:rPr>
                <w:rFonts w:ascii="Times New Roman" w:hAnsi="Times New Roman" w:eastAsia="宋体" w:cs="Times New Roman"/>
                <w:b/>
                <w:sz w:val="17"/>
              </w:rPr>
              <w:t>教学方式：</w:t>
            </w:r>
            <w:r>
              <w:rPr>
                <w:rFonts w:ascii="Times New Roman" w:hAnsi="Times New Roman" w:eastAsia="宋体" w:cs="Times New Roman"/>
                <w:b w:val="0"/>
                <w:sz w:val="17"/>
              </w:rPr>
              <w:t>讲授、测点布置图、采样演示、波形比较、参数推演</w:t>
            </w:r>
          </w:p>
        </w:tc>
        <w:tc>
          <w:tcPr>
            <w:tcW w:type="dxa" w:w="12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1.2，2.2，3.2</w:t>
            </w:r>
          </w:p>
        </w:tc>
      </w:tr>
      <w:tr>
        <w:tc>
          <w:tcPr>
            <w:tcW w:type="dxa" w:w="13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第3单元 时域、频域与包络分析及特征提取</w:t>
            </w:r>
          </w:p>
        </w:tc>
        <w:tc>
          <w:tcPr>
            <w:tcW w:type="dxa" w:w="19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时域波形与均值、均方根、峰值、峰峰值、峭度、波形指标、峰值指标等统计特征；傅里叶变换与频谱；阶次与转频、倍频、边频带；功率谱与趋势；滤波、频带能量、包络解调和包络谱；时频分析概念；特征选择、基线、阈值与趋势判定；Python/NumPy/SciPy演示典型信号分析流程。</w:t>
            </w:r>
          </w:p>
        </w:tc>
        <w:tc>
          <w:tcPr>
            <w:tcW w:type="dxa" w:w="6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6</w:t>
            </w:r>
          </w:p>
        </w:tc>
        <w:tc>
          <w:tcPr>
            <w:tcW w:type="dxa" w:w="40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思政融入点：</w:t>
            </w:r>
            <w:r>
              <w:rPr>
                <w:rFonts w:ascii="Times New Roman" w:hAnsi="Times New Roman" w:eastAsia="宋体" w:cs="Times New Roman"/>
                <w:b w:val="0"/>
                <w:sz w:val="17"/>
              </w:rPr>
              <w:t>通过“只看一个峰值”导致误判的案例强调科学求证、交叉验证和不夸大算法结论。</w:t>
            </w:r>
          </w:p>
          <w:p>
            <w:pPr>
              <w:spacing w:line="269" w:lineRule="auto" w:before="0" w:after="0"/>
              <w:jc w:val="left"/>
            </w:pPr>
            <w:r>
              <w:rPr>
                <w:rFonts w:ascii="Times New Roman" w:hAnsi="Times New Roman" w:eastAsia="宋体" w:cs="Times New Roman"/>
                <w:b/>
                <w:sz w:val="17"/>
              </w:rPr>
              <w:t>预期学习成果：</w:t>
            </w:r>
          </w:p>
          <w:p>
            <w:pPr>
              <w:spacing w:line="269" w:lineRule="auto" w:before="0" w:after="0"/>
              <w:jc w:val="left"/>
            </w:pPr>
            <w:r>
              <w:rPr>
                <w:rFonts w:ascii="Times New Roman" w:hAnsi="Times New Roman" w:eastAsia="宋体" w:cs="Times New Roman"/>
                <w:b w:val="0"/>
                <w:sz w:val="17"/>
              </w:rPr>
              <w:t>知识层面：掌握机械状态信号的时域、频域和包络分析方法。</w:t>
            </w:r>
          </w:p>
          <w:p>
            <w:pPr>
              <w:spacing w:line="269" w:lineRule="auto" w:before="0" w:after="0"/>
              <w:jc w:val="left"/>
            </w:pPr>
            <w:r>
              <w:rPr>
                <w:rFonts w:ascii="Times New Roman" w:hAnsi="Times New Roman" w:eastAsia="宋体" w:cs="Times New Roman"/>
                <w:b w:val="0"/>
                <w:sz w:val="17"/>
              </w:rPr>
              <w:t>能力层面：能够从波形、频谱、包络谱和趋势中提取与故障相关的特征并解释物理意义。</w:t>
            </w:r>
          </w:p>
          <w:p>
            <w:pPr>
              <w:spacing w:line="269" w:lineRule="auto" w:before="0" w:after="0"/>
              <w:jc w:val="left"/>
            </w:pPr>
            <w:r>
              <w:rPr>
                <w:rFonts w:ascii="Times New Roman" w:hAnsi="Times New Roman" w:eastAsia="宋体" w:cs="Times New Roman"/>
                <w:b w:val="0"/>
                <w:sz w:val="17"/>
              </w:rPr>
              <w:t>素养层面：形成不依赖单一指标、重视基线与多证据交叉验证的诊断意识。</w:t>
            </w:r>
          </w:p>
          <w:p>
            <w:pPr>
              <w:spacing w:line="269" w:lineRule="auto" w:before="0" w:after="0"/>
              <w:jc w:val="left"/>
            </w:pPr>
            <w:r>
              <w:rPr>
                <w:rFonts w:ascii="Times New Roman" w:hAnsi="Times New Roman" w:eastAsia="宋体" w:cs="Times New Roman"/>
                <w:b/>
                <w:sz w:val="17"/>
              </w:rPr>
              <w:t>教学方式：</w:t>
            </w:r>
            <w:r>
              <w:rPr>
                <w:rFonts w:ascii="Times New Roman" w:hAnsi="Times New Roman" w:eastAsia="宋体" w:cs="Times New Roman"/>
                <w:b w:val="0"/>
                <w:sz w:val="17"/>
              </w:rPr>
              <w:t>公式与图示讲授、Python数据演示、频谱判读、特征对比</w:t>
            </w:r>
          </w:p>
        </w:tc>
        <w:tc>
          <w:tcPr>
            <w:tcW w:type="dxa" w:w="12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1.3，2.3，3.3</w:t>
            </w:r>
          </w:p>
        </w:tc>
      </w:tr>
      <w:tr>
        <w:tc>
          <w:tcPr>
            <w:tcW w:type="dxa" w:w="13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第4单元 旋转机械、滚动轴承、齿轮箱与电动机故障诊断</w:t>
            </w:r>
          </w:p>
        </w:tc>
        <w:tc>
          <w:tcPr>
            <w:tcW w:type="dxa" w:w="19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转子不平衡、不对中、机械松动、碰摩、油膜涡动等典型振动特征；滚动轴承内圈、外圈、滚动体和保持架故障特征频率及包络诊断；齿轮啮合频率、边频带、齿面损伤与齿轮箱故障；电动机机械/电磁故障概念；多故障耦合、变转速和工况变化对特征的影响；典型设备案例诊断流程。</w:t>
            </w:r>
          </w:p>
        </w:tc>
        <w:tc>
          <w:tcPr>
            <w:tcW w:type="dxa" w:w="6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8</w:t>
            </w:r>
          </w:p>
        </w:tc>
        <w:tc>
          <w:tcPr>
            <w:tcW w:type="dxa" w:w="40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思政融入点：</w:t>
            </w:r>
            <w:r>
              <w:rPr>
                <w:rFonts w:ascii="Times New Roman" w:hAnsi="Times New Roman" w:eastAsia="宋体" w:cs="Times New Roman"/>
                <w:b w:val="0"/>
                <w:sz w:val="17"/>
              </w:rPr>
              <w:t>通过轴承、齿轮和主轴误诊案例强调诊断结论对生产安全、备件决策和维护成本的影响，培养审慎判断责任。</w:t>
            </w:r>
          </w:p>
          <w:p>
            <w:pPr>
              <w:spacing w:line="269" w:lineRule="auto" w:before="0" w:after="0"/>
              <w:jc w:val="left"/>
            </w:pPr>
            <w:r>
              <w:rPr>
                <w:rFonts w:ascii="Times New Roman" w:hAnsi="Times New Roman" w:eastAsia="宋体" w:cs="Times New Roman"/>
                <w:b/>
                <w:sz w:val="17"/>
              </w:rPr>
              <w:t>预期学习成果：</w:t>
            </w:r>
          </w:p>
          <w:p>
            <w:pPr>
              <w:spacing w:line="269" w:lineRule="auto" w:before="0" w:after="0"/>
              <w:jc w:val="left"/>
            </w:pPr>
            <w:r>
              <w:rPr>
                <w:rFonts w:ascii="Times New Roman" w:hAnsi="Times New Roman" w:eastAsia="宋体" w:cs="Times New Roman"/>
                <w:b w:val="0"/>
                <w:sz w:val="17"/>
              </w:rPr>
              <w:t>知识层面：掌握典型旋转机械和关键零部件的故障机理与特征。</w:t>
            </w:r>
          </w:p>
          <w:p>
            <w:pPr>
              <w:spacing w:line="269" w:lineRule="auto" w:before="0" w:after="0"/>
              <w:jc w:val="left"/>
            </w:pPr>
            <w:r>
              <w:rPr>
                <w:rFonts w:ascii="Times New Roman" w:hAnsi="Times New Roman" w:eastAsia="宋体" w:cs="Times New Roman"/>
                <w:b w:val="0"/>
                <w:sz w:val="17"/>
              </w:rPr>
              <w:t>能力层面：能够结合转速、结构参数、频谱和包络谱完成典型故障的证据链分析。</w:t>
            </w:r>
          </w:p>
          <w:p>
            <w:pPr>
              <w:spacing w:line="269" w:lineRule="auto" w:before="0" w:after="0"/>
              <w:jc w:val="left"/>
            </w:pPr>
            <w:r>
              <w:rPr>
                <w:rFonts w:ascii="Times New Roman" w:hAnsi="Times New Roman" w:eastAsia="宋体" w:cs="Times New Roman"/>
                <w:b w:val="0"/>
                <w:sz w:val="17"/>
              </w:rPr>
              <w:t>素养层面：形成机理优先、工况关联和结论分级表达意识。</w:t>
            </w:r>
          </w:p>
          <w:p>
            <w:pPr>
              <w:spacing w:line="269" w:lineRule="auto" w:before="0" w:after="0"/>
              <w:jc w:val="left"/>
            </w:pPr>
            <w:r>
              <w:rPr>
                <w:rFonts w:ascii="Times New Roman" w:hAnsi="Times New Roman" w:eastAsia="宋体" w:cs="Times New Roman"/>
                <w:b/>
                <w:sz w:val="17"/>
              </w:rPr>
              <w:t>教学方式：</w:t>
            </w:r>
            <w:r>
              <w:rPr>
                <w:rFonts w:ascii="Times New Roman" w:hAnsi="Times New Roman" w:eastAsia="宋体" w:cs="Times New Roman"/>
                <w:b w:val="0"/>
                <w:sz w:val="17"/>
              </w:rPr>
              <w:t>讲授、故障频率计算、频谱/包络谱案例、故障树推演</w:t>
            </w:r>
          </w:p>
        </w:tc>
        <w:tc>
          <w:tcPr>
            <w:tcW w:type="dxa" w:w="12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1.4，2.4，3.4</w:t>
            </w:r>
          </w:p>
        </w:tc>
      </w:tr>
      <w:tr>
        <w:tc>
          <w:tcPr>
            <w:tcW w:type="dxa" w:w="13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第5单元 多源监测、智能故障诊断与状态评估</w:t>
            </w:r>
          </w:p>
        </w:tc>
        <w:tc>
          <w:tcPr>
            <w:tcW w:type="dxa" w:w="19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振动、温度、声学、电流、油液和运行参数的多源状态监测；数据清洗、标准化、特征工程与降维概念；监督分类、异常检测、聚类和神经网络在故障诊断中的基本作用；训练集/测试集、过拟合、数据泄漏、类别不平衡和模型可解释性；传统机理诊断与数据驱动方法融合；健康指标与状态分级。</w:t>
            </w:r>
          </w:p>
        </w:tc>
        <w:tc>
          <w:tcPr>
            <w:tcW w:type="dxa" w:w="6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4</w:t>
            </w:r>
          </w:p>
        </w:tc>
        <w:tc>
          <w:tcPr>
            <w:tcW w:type="dxa" w:w="40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思政融入点：</w:t>
            </w:r>
            <w:r>
              <w:rPr>
                <w:rFonts w:ascii="Times New Roman" w:hAnsi="Times New Roman" w:eastAsia="宋体" w:cs="Times New Roman"/>
                <w:b w:val="0"/>
                <w:sz w:val="17"/>
              </w:rPr>
              <w:t>通过训练数据偏差和模型误报漏报案例强调人工智能结果必须经过工程验证，不能替代安全责任主体。</w:t>
            </w:r>
          </w:p>
          <w:p>
            <w:pPr>
              <w:spacing w:line="269" w:lineRule="auto" w:before="0" w:after="0"/>
              <w:jc w:val="left"/>
            </w:pPr>
            <w:r>
              <w:rPr>
                <w:rFonts w:ascii="Times New Roman" w:hAnsi="Times New Roman" w:eastAsia="宋体" w:cs="Times New Roman"/>
                <w:b/>
                <w:sz w:val="17"/>
              </w:rPr>
              <w:t>预期学习成果：</w:t>
            </w:r>
          </w:p>
          <w:p>
            <w:pPr>
              <w:spacing w:line="269" w:lineRule="auto" w:before="0" w:after="0"/>
              <w:jc w:val="left"/>
            </w:pPr>
            <w:r>
              <w:rPr>
                <w:rFonts w:ascii="Times New Roman" w:hAnsi="Times New Roman" w:eastAsia="宋体" w:cs="Times New Roman"/>
                <w:b w:val="0"/>
                <w:sz w:val="17"/>
              </w:rPr>
              <w:t>知识层面：理解多源状态监测和数据驱动智能诊断的基本流程与局限。</w:t>
            </w:r>
          </w:p>
          <w:p>
            <w:pPr>
              <w:spacing w:line="269" w:lineRule="auto" w:before="0" w:after="0"/>
              <w:jc w:val="left"/>
            </w:pPr>
            <w:r>
              <w:rPr>
                <w:rFonts w:ascii="Times New Roman" w:hAnsi="Times New Roman" w:eastAsia="宋体" w:cs="Times New Roman"/>
                <w:b w:val="0"/>
                <w:sz w:val="17"/>
              </w:rPr>
              <w:t>能力层面：能够从任务、数据量、标签质量和可解释性出发选择合适的智能诊断思路。</w:t>
            </w:r>
          </w:p>
          <w:p>
            <w:pPr>
              <w:spacing w:line="269" w:lineRule="auto" w:before="0" w:after="0"/>
              <w:jc w:val="left"/>
            </w:pPr>
            <w:r>
              <w:rPr>
                <w:rFonts w:ascii="Times New Roman" w:hAnsi="Times New Roman" w:eastAsia="宋体" w:cs="Times New Roman"/>
                <w:b w:val="0"/>
                <w:sz w:val="17"/>
              </w:rPr>
              <w:t>素养层面：形成数据边界、模型验证、可解释性和人工复核意识。</w:t>
            </w:r>
          </w:p>
          <w:p>
            <w:pPr>
              <w:spacing w:line="269" w:lineRule="auto" w:before="0" w:after="0"/>
              <w:jc w:val="left"/>
            </w:pPr>
            <w:r>
              <w:rPr>
                <w:rFonts w:ascii="Times New Roman" w:hAnsi="Times New Roman" w:eastAsia="宋体" w:cs="Times New Roman"/>
                <w:b/>
                <w:sz w:val="17"/>
              </w:rPr>
              <w:t>教学方式：</w:t>
            </w:r>
            <w:r>
              <w:rPr>
                <w:rFonts w:ascii="Times New Roman" w:hAnsi="Times New Roman" w:eastAsia="宋体" w:cs="Times New Roman"/>
                <w:b w:val="0"/>
                <w:sz w:val="17"/>
              </w:rPr>
              <w:t>讲授、Python分类/异常检测演示、混淆矩阵案例、模型局限讨论</w:t>
            </w:r>
          </w:p>
        </w:tc>
        <w:tc>
          <w:tcPr>
            <w:tcW w:type="dxa" w:w="12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1.5，2.5，3.5</w:t>
            </w:r>
          </w:p>
        </w:tc>
      </w:tr>
      <w:tr>
        <w:tc>
          <w:tcPr>
            <w:tcW w:type="dxa" w:w="13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第6单元 趋势预测、维护决策与设备全寿命管理</w:t>
            </w:r>
          </w:p>
        </w:tc>
        <w:tc>
          <w:tcPr>
            <w:tcW w:type="dxa" w:w="19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状态趋势、报警阈值与健康分级；劣化趋势与剩余寿命概念；点检、润滑、校准、平衡、对中、更换和计划检修；故障严重度、停机窗口、备件和维护优先级；维修后验证与复测；维护记录、知识库和闭环复盘；数控机床和智能制造生产线的状态监测与维护案例。</w:t>
            </w:r>
          </w:p>
        </w:tc>
        <w:tc>
          <w:tcPr>
            <w:tcW w:type="dxa" w:w="6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4</w:t>
            </w:r>
          </w:p>
        </w:tc>
        <w:tc>
          <w:tcPr>
            <w:tcW w:type="dxa" w:w="40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sz w:val="17"/>
              </w:rPr>
              <w:t>思政融入点：</w:t>
            </w:r>
            <w:r>
              <w:rPr>
                <w:rFonts w:ascii="Times New Roman" w:hAnsi="Times New Roman" w:eastAsia="宋体" w:cs="Times New Roman"/>
                <w:b w:val="0"/>
                <w:sz w:val="17"/>
              </w:rPr>
              <w:t>通过过度维修、带病运行和无验证复机案例讨论安全生产、资源节约、维护经济性和可持续发展。</w:t>
            </w:r>
          </w:p>
          <w:p>
            <w:pPr>
              <w:spacing w:line="269" w:lineRule="auto" w:before="0" w:after="0"/>
              <w:jc w:val="left"/>
            </w:pPr>
            <w:r>
              <w:rPr>
                <w:rFonts w:ascii="Times New Roman" w:hAnsi="Times New Roman" w:eastAsia="宋体" w:cs="Times New Roman"/>
                <w:b/>
                <w:sz w:val="17"/>
              </w:rPr>
              <w:t>预期学习成果：</w:t>
            </w:r>
          </w:p>
          <w:p>
            <w:pPr>
              <w:spacing w:line="269" w:lineRule="auto" w:before="0" w:after="0"/>
              <w:jc w:val="left"/>
            </w:pPr>
            <w:r>
              <w:rPr>
                <w:rFonts w:ascii="Times New Roman" w:hAnsi="Times New Roman" w:eastAsia="宋体" w:cs="Times New Roman"/>
                <w:b w:val="0"/>
                <w:sz w:val="17"/>
              </w:rPr>
              <w:t>知识层面：掌握状态趋势、维护决策和维修后验证的基本方法。</w:t>
            </w:r>
          </w:p>
          <w:p>
            <w:pPr>
              <w:spacing w:line="269" w:lineRule="auto" w:before="0" w:after="0"/>
              <w:jc w:val="left"/>
            </w:pPr>
            <w:r>
              <w:rPr>
                <w:rFonts w:ascii="Times New Roman" w:hAnsi="Times New Roman" w:eastAsia="宋体" w:cs="Times New Roman"/>
                <w:b w:val="0"/>
                <w:sz w:val="17"/>
              </w:rPr>
              <w:t>能力层面：能够根据故障证据、风险、趋势和生产约束形成维护措施与验证清单。</w:t>
            </w:r>
          </w:p>
          <w:p>
            <w:pPr>
              <w:spacing w:line="269" w:lineRule="auto" w:before="0" w:after="0"/>
              <w:jc w:val="left"/>
            </w:pPr>
            <w:r>
              <w:rPr>
                <w:rFonts w:ascii="Times New Roman" w:hAnsi="Times New Roman" w:eastAsia="宋体" w:cs="Times New Roman"/>
                <w:b w:val="0"/>
                <w:sz w:val="17"/>
              </w:rPr>
              <w:t>素养层面：形成全寿命周期、资源节约、可持续维护和持续学习意识。</w:t>
            </w:r>
          </w:p>
          <w:p>
            <w:pPr>
              <w:spacing w:line="269" w:lineRule="auto" w:before="0" w:after="0"/>
              <w:jc w:val="left"/>
            </w:pPr>
            <w:r>
              <w:rPr>
                <w:rFonts w:ascii="Times New Roman" w:hAnsi="Times New Roman" w:eastAsia="宋体" w:cs="Times New Roman"/>
                <w:b/>
                <w:sz w:val="17"/>
              </w:rPr>
              <w:t>教学方式：</w:t>
            </w:r>
            <w:r>
              <w:rPr>
                <w:rFonts w:ascii="Times New Roman" w:hAnsi="Times New Roman" w:eastAsia="宋体" w:cs="Times New Roman"/>
                <w:b w:val="0"/>
                <w:sz w:val="17"/>
              </w:rPr>
              <w:t>讲授、趋势判定、维护决策矩阵、案例评审、技术报告</w:t>
            </w:r>
          </w:p>
        </w:tc>
        <w:tc>
          <w:tcPr>
            <w:tcW w:type="dxa" w:w="12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1.6，2.6，3.6</w:t>
            </w:r>
          </w:p>
        </w:tc>
      </w:tr>
    </w:tbl>
    <w:p>
      <w:pPr>
        <w:keepNext/>
        <w:spacing w:line="283" w:lineRule="auto" w:before="60" w:after="20"/>
      </w:pPr>
      <w:r>
        <w:rPr>
          <w:rFonts w:ascii="Times New Roman" w:hAnsi="Times New Roman" w:eastAsia="宋体" w:cs="Times New Roman"/>
          <w:b/>
          <w:sz w:val="21"/>
        </w:rPr>
        <w:t>理论总学时：32学时。</w:t>
      </w:r>
    </w:p>
    <w:p>
      <w:pPr>
        <w:keepNext/>
        <w:spacing w:line="283" w:lineRule="auto" w:before="100" w:after="60"/>
      </w:pPr>
      <w:r>
        <w:rPr>
          <w:rFonts w:ascii="Times New Roman" w:hAnsi="Times New Roman" w:eastAsia="黑体" w:cs="Times New Roman"/>
          <w:b/>
          <w:sz w:val="28"/>
        </w:rPr>
        <w:t>四、课程评价</w:t>
      </w:r>
    </w:p>
    <w:p>
      <w:pPr>
        <w:keepNext/>
        <w:spacing w:line="283" w:lineRule="auto" w:before="80" w:after="40"/>
      </w:pPr>
      <w:r>
        <w:rPr>
          <w:rFonts w:ascii="Times New Roman" w:hAnsi="Times New Roman" w:eastAsia="宋体" w:cs="Times New Roman"/>
          <w:b/>
          <w:sz w:val="24"/>
        </w:rPr>
        <w:t>（一）考核内容、考核方式与课程目标对应关系</w:t>
      </w:r>
    </w:p>
    <w:p>
      <w:pPr>
        <w:spacing w:line="283" w:lineRule="auto" w:before="0" w:after="20"/>
        <w:ind w:firstLine="420"/>
        <w:jc w:val="left"/>
      </w:pPr>
      <w:r>
        <w:rPr>
          <w:rFonts w:ascii="Times New Roman" w:hAnsi="Times New Roman" w:eastAsia="宋体" w:cs="Times New Roman"/>
          <w:b w:val="0"/>
          <w:sz w:val="21"/>
        </w:rPr>
        <w:t>本课程采用考查。最终成绩100%=平时成绩20%＋课程作业20%＋期末考核60%。平时成绩重点评价课堂参与、学习过程、规范记录、安全责任和学术诚信；课程作业承接原有信号与故障分析作业以及Python信号分析、公开数据诊断、故障案例等阶段性学习证据；期末考核沿用课程原有综合考查性质，采用诊断与维护综合方案报告（或等效综合成果）与现场答辩/个人核验相结合的形式，不新增笔试或机考。下表各考核列百分比为该项考核内部的教学内容分配，各列分别合计100%。</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93"/>
        <w:gridCol w:w="1293"/>
        <w:gridCol w:w="1293"/>
        <w:gridCol w:w="1293"/>
        <w:gridCol w:w="1293"/>
        <w:gridCol w:w="1293"/>
        <w:gridCol w:w="1296"/>
      </w:tblGrid>
      <w:tr>
        <w:trPr>
          <w:tblHeader w:val="true"/>
          <w:cantSplit/>
        </w:trPr>
        <w:tc>
          <w:tcPr>
            <w:tcW w:type="dxa" w:w="1293"/>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考核内容</w:t>
            </w:r>
          </w:p>
        </w:tc>
        <w:tc>
          <w:tcPr>
            <w:tcW w:type="dxa" w:w="1293"/>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总学时</w:t>
            </w:r>
          </w:p>
        </w:tc>
        <w:tc>
          <w:tcPr>
            <w:tcW w:type="dxa" w:w="1293"/>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理论学时</w:t>
            </w:r>
          </w:p>
        </w:tc>
        <w:tc>
          <w:tcPr>
            <w:tcW w:type="dxa" w:w="1293"/>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平时成绩（20%）</w:t>
            </w:r>
          </w:p>
        </w:tc>
        <w:tc>
          <w:tcPr>
            <w:tcW w:type="dxa" w:w="1293"/>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课程作业（20%）</w:t>
            </w:r>
          </w:p>
        </w:tc>
        <w:tc>
          <w:tcPr>
            <w:tcW w:type="dxa" w:w="1293"/>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期末考核（60%）</w:t>
            </w:r>
          </w:p>
        </w:tc>
        <w:tc>
          <w:tcPr>
            <w:tcW w:type="dxa" w:w="1296"/>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课程目标</w:t>
            </w:r>
          </w:p>
        </w:tc>
      </w:tr>
      <w:tr>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故障诊断基础、失效机理与维护策略</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4</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4</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15%</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11%</w:t>
            </w:r>
          </w:p>
        </w:tc>
        <w:tc>
          <w:tcPr>
            <w:tcW w:type="dxa" w:w="1296"/>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1.1，2.1，3.1</w:t>
            </w:r>
          </w:p>
        </w:tc>
      </w:tr>
      <w:tr>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机械振动、传感器与状态数据采集</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6</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6</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15%</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15%</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15%</w:t>
            </w:r>
          </w:p>
        </w:tc>
        <w:tc>
          <w:tcPr>
            <w:tcW w:type="dxa" w:w="1296"/>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1.2，2.2，3.2</w:t>
            </w:r>
          </w:p>
        </w:tc>
      </w:tr>
      <w:tr>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时域、频域与包络分析及特征提取</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6</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6</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15%</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20%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19%</w:t>
            </w:r>
          </w:p>
        </w:tc>
        <w:tc>
          <w:tcPr>
            <w:tcW w:type="dxa" w:w="1296"/>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1.3，2.3，3.3</w:t>
            </w:r>
          </w:p>
        </w:tc>
      </w:tr>
      <w:tr>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旋转机械、滚动轴承、齿轮箱与电动机故障诊断</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8</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8</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25%</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30%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25%</w:t>
            </w:r>
          </w:p>
        </w:tc>
        <w:tc>
          <w:tcPr>
            <w:tcW w:type="dxa" w:w="1296"/>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1.4，2.4，3.4</w:t>
            </w:r>
          </w:p>
        </w:tc>
      </w:tr>
      <w:tr>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多源监测、智能故障诊断与状态评估</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4</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4</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15%</w:t>
            </w:r>
          </w:p>
        </w:tc>
        <w:tc>
          <w:tcPr>
            <w:tcW w:type="dxa" w:w="1296"/>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1.5，2.5，3.5</w:t>
            </w:r>
          </w:p>
        </w:tc>
      </w:tr>
      <w:tr>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趋势预测、维护决策与设备全寿命管理</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4</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4</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20%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15%</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15%</w:t>
            </w:r>
          </w:p>
        </w:tc>
        <w:tc>
          <w:tcPr>
            <w:tcW w:type="dxa" w:w="1296"/>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1.6，2.6，3.6</w:t>
            </w:r>
          </w:p>
        </w:tc>
      </w:tr>
      <w:tr>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合计</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32</w:t>
            </w:r>
          </w:p>
        </w:tc>
        <w:tc>
          <w:tcPr>
            <w:tcW w:type="dxa" w:w="1293"/>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32</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100%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100%</w:t>
            </w:r>
          </w:p>
        </w:tc>
        <w:tc>
          <w:tcPr>
            <w:tcW w:type="dxa" w:w="1293"/>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100%</w:t>
            </w:r>
          </w:p>
        </w:tc>
        <w:tc>
          <w:tcPr>
            <w:tcW w:type="dxa" w:w="1296"/>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全部课程目标</w:t>
            </w:r>
          </w:p>
        </w:tc>
      </w:tr>
    </w:tbl>
    <w:p>
      <w:pPr>
        <w:keepNext/>
        <w:spacing w:line="283" w:lineRule="auto" w:before="80" w:after="40"/>
      </w:pPr>
      <w:r>
        <w:rPr>
          <w:rFonts w:ascii="Times New Roman" w:hAnsi="Times New Roman" w:eastAsia="宋体" w:cs="Times New Roman"/>
          <w:b/>
          <w:sz w:val="24"/>
        </w:rPr>
        <w:t>（二）考核方式与评分标准</w:t>
      </w:r>
    </w:p>
    <w:p>
      <w:pPr>
        <w:keepNext/>
        <w:spacing w:line="283" w:lineRule="auto" w:before="60" w:after="20"/>
      </w:pPr>
      <w:r>
        <w:rPr>
          <w:rFonts w:ascii="Times New Roman" w:hAnsi="Times New Roman" w:eastAsia="宋体" w:cs="Times New Roman"/>
          <w:b/>
          <w:sz w:val="21"/>
        </w:rPr>
        <w:t>1.考核方式</w:t>
      </w:r>
    </w:p>
    <w:p>
      <w:pPr>
        <w:spacing w:line="283" w:lineRule="auto" w:before="0" w:after="20"/>
        <w:ind w:firstLine="420"/>
        <w:jc w:val="left"/>
      </w:pPr>
      <w:r>
        <w:rPr>
          <w:rFonts w:ascii="Times New Roman" w:hAnsi="Times New Roman" w:eastAsia="宋体" w:cs="Times New Roman"/>
          <w:b w:val="0"/>
          <w:sz w:val="21"/>
        </w:rPr>
        <w:t>考查。</w:t>
      </w:r>
    </w:p>
    <w:p>
      <w:pPr>
        <w:keepNext/>
        <w:spacing w:line="283" w:lineRule="auto" w:before="60" w:after="20"/>
      </w:pPr>
      <w:r>
        <w:rPr>
          <w:rFonts w:ascii="Times New Roman" w:hAnsi="Times New Roman" w:eastAsia="宋体" w:cs="Times New Roman"/>
          <w:b/>
          <w:sz w:val="21"/>
        </w:rPr>
        <w:t>2.评分说明</w:t>
      </w:r>
    </w:p>
    <w:p>
      <w:pPr>
        <w:spacing w:line="283" w:lineRule="auto" w:before="0" w:after="20"/>
        <w:ind w:firstLine="420"/>
        <w:jc w:val="left"/>
      </w:pPr>
      <w:r>
        <w:rPr>
          <w:rFonts w:ascii="Times New Roman" w:hAnsi="Times New Roman" w:eastAsia="宋体" w:cs="Times New Roman"/>
          <w:b w:val="0"/>
          <w:sz w:val="21"/>
        </w:rPr>
        <w:t>各项按百分制评分。总评成绩=平时成绩×20%＋课程作业×20%＋期末考核×60%。培养方案未设置实验、上机和项目式学时，Python信号分析、公开数据诊断和故障案例仍作为课堂演示、课内分析或课后学习证据，不另计实践学时。课程作业主要评价故障基础、采样与信号分析、典型故障判读、智能诊断和维护验证等阶段性任务；期末考核采用诊断与维护综合方案报告（或等效综合成果）与现场答辩/个人核验相结合的形式，综合评价设备与风险定义、监测方案、信号证据、故障结论、智能诊断边界、维护与复机验证，以及学生独立解释、修正诊断和说明资料依据与个人贡献的能力。涉及真实设备的维护方案必须明确停机、能量隔离、人员安全、复机检查和维修后复测要求。</w:t>
      </w:r>
    </w:p>
    <w:p>
      <w:pPr>
        <w:spacing w:line="283" w:lineRule="auto" w:before="0" w:after="20"/>
        <w:ind w:firstLine="420"/>
        <w:jc w:val="left"/>
      </w:pPr>
      <w:r>
        <w:rPr>
          <w:rFonts w:ascii="Times New Roman" w:hAnsi="Times New Roman" w:eastAsia="宋体" w:cs="Times New Roman"/>
          <w:b w:val="0"/>
          <w:sz w:val="21"/>
        </w:rPr>
        <w:t>各评分指标按共用档级判定：优秀90—100分，机理正确、数据证据充分、诊断链完整并能独立解释；良好80—89分，主要判断正确、证据完整，少量非关键缺陷；中等70—79分，完成基本分析与维护方案，边界或论证不够充分；及格60—69分，在指导下完成基本要求，但特征解释、验证或文档较弱；不及格0—59分，核心诊断错误、无有效证据、维护建议存在明显风险或无法解释本人提交内容。</w:t>
      </w:r>
    </w:p>
    <w:p>
      <w:pPr>
        <w:keepNext/>
        <w:spacing w:line="283" w:lineRule="auto" w:before="60" w:after="20"/>
      </w:pPr>
      <w:r>
        <w:rPr>
          <w:rFonts w:ascii="Times New Roman" w:hAnsi="Times New Roman" w:eastAsia="宋体" w:cs="Times New Roman"/>
          <w:b/>
          <w:sz w:val="21"/>
        </w:rPr>
        <w:t>3.评分标准分项说明</w:t>
      </w:r>
    </w:p>
    <w:p>
      <w:pPr>
        <w:keepNext/>
        <w:spacing w:line="283" w:lineRule="auto" w:before="60" w:after="20"/>
      </w:pPr>
      <w:r>
        <w:rPr>
          <w:rFonts w:ascii="Times New Roman" w:hAnsi="Times New Roman" w:eastAsia="宋体" w:cs="Times New Roman"/>
          <w:b/>
          <w:sz w:val="21"/>
        </w:rPr>
        <w:t>（1）平时成绩评分标准</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评分指标</w:t>
            </w:r>
          </w:p>
        </w:tc>
        <w:tc>
          <w:tcPr>
            <w:tcW w:type="dxa" w:w="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指标权重</w:t>
            </w:r>
          </w:p>
        </w:tc>
        <w:tc>
          <w:tcPr>
            <w:tcW w:type="dxa" w:w="51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评分要求</w:t>
            </w:r>
          </w:p>
        </w:tc>
        <w:tc>
          <w:tcPr>
            <w:tcW w:type="dxa" w:w="1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课程目标</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课堂参与与故障机理分析</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40%</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能够准确使用故障诊断术语，参与波形、频谱、故障机理和维护策略分析，并说明判断依据。</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全部课程目标</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过程记录与数据规范</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35%</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课堂记录、参数、频率计算、图表和资料来源完整，数据与诊断过程可追溯。</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全部课程目标</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安全、协作与学习责任</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25%</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遵守设备与数据安全边界，主动说明不确定项，能查阅教材、设备手册或技术资料。</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全部课程目标</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合计</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100%</w:t>
            </w:r>
          </w:p>
        </w:tc>
        <w:tc>
          <w:tcPr>
            <w:tcW w:type="dxa" w:w="5100"/>
            <w:vAlign w:val="center"/>
            <w:tcMar>
              <w:top w:w="80" w:type="dxa"/>
              <w:start w:w="70" w:type="dxa"/>
              <w:bottom w:w="80" w:type="dxa"/>
              <w:end w:w="70" w:type="dxa"/>
            </w:tcMar>
          </w:tcPr>
          <w:p>
            <w:pPr>
              <w:spacing w:line="269" w:lineRule="auto" w:before="0" w:after="0"/>
              <w:jc w:val="left"/>
            </w:pPr>
            <w:r/>
          </w:p>
        </w:tc>
        <w:tc>
          <w:tcPr>
            <w:tcW w:type="dxa" w:w="1354"/>
            <w:vAlign w:val="center"/>
            <w:tcMar>
              <w:top w:w="80" w:type="dxa"/>
              <w:start w:w="70" w:type="dxa"/>
              <w:bottom w:w="80" w:type="dxa"/>
              <w:end w:w="70" w:type="dxa"/>
            </w:tcMar>
          </w:tcPr>
          <w:p>
            <w:pPr>
              <w:spacing w:line="269" w:lineRule="auto" w:before="0" w:after="0"/>
              <w:jc w:val="left"/>
            </w:pPr>
            <w:r/>
          </w:p>
        </w:tc>
      </w:tr>
    </w:tbl>
    <w:p>
      <w:pPr>
        <w:keepNext/>
        <w:spacing w:line="283" w:lineRule="auto" w:before="60" w:after="20"/>
      </w:pPr>
      <w:r>
        <w:rPr>
          <w:rFonts w:ascii="Times New Roman" w:hAnsi="Times New Roman" w:eastAsia="宋体" w:cs="Times New Roman"/>
          <w:b/>
          <w:sz w:val="21"/>
        </w:rPr>
        <w:t>（2）课程作业评分标准</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考核内容</w:t>
            </w:r>
          </w:p>
        </w:tc>
        <w:tc>
          <w:tcPr>
            <w:tcW w:type="dxa" w:w="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成绩占比</w:t>
            </w:r>
          </w:p>
        </w:tc>
        <w:tc>
          <w:tcPr>
            <w:tcW w:type="dxa" w:w="51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评分要求</w:t>
            </w:r>
          </w:p>
        </w:tc>
        <w:tc>
          <w:tcPr>
            <w:tcW w:type="dxa" w:w="1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课程目标</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故障基础与维护策略</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10%</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根据故障模式、风险和设备任务选择状态监测与维护策略。</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1.1，2.1，3.1</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振动测量与采样分析</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15%</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判断测点、传感量、采样频率、采样长度和工况记录是否合理。</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1.2，2.2，3.2</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时域/频域/包络分析</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20%</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完成典型波形、频谱、包络谱和统计特征的解释与计算。</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1.3，2.3，3.3</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典型机械故障判读</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30%</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结合转速、结构参数和谱特征分析转子、轴承、齿轮或电动机故障。</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1.4，2.4，3.4</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智能诊断分析</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10%</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识别数据划分、特征、模型评价或异常检测中的常见问题。</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1.5，2.5，3.5</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维护与验证</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15%</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根据状态与风险提出维护措施、复测方法和闭环记录要求。</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1.6，2.6，3.6</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合计</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100%</w:t>
            </w:r>
          </w:p>
        </w:tc>
        <w:tc>
          <w:tcPr>
            <w:tcW w:type="dxa" w:w="5100"/>
            <w:vAlign w:val="center"/>
            <w:tcMar>
              <w:top w:w="80" w:type="dxa"/>
              <w:start w:w="70" w:type="dxa"/>
              <w:bottom w:w="80" w:type="dxa"/>
              <w:end w:w="70" w:type="dxa"/>
            </w:tcMar>
          </w:tcPr>
          <w:p>
            <w:pPr>
              <w:spacing w:line="269" w:lineRule="auto" w:before="0" w:after="0"/>
              <w:jc w:val="left"/>
            </w:pPr>
            <w:r/>
          </w:p>
        </w:tc>
        <w:tc>
          <w:tcPr>
            <w:tcW w:type="dxa" w:w="1354"/>
            <w:vAlign w:val="center"/>
            <w:tcMar>
              <w:top w:w="80" w:type="dxa"/>
              <w:start w:w="70" w:type="dxa"/>
              <w:bottom w:w="80" w:type="dxa"/>
              <w:end w:w="70" w:type="dxa"/>
            </w:tcMar>
          </w:tcPr>
          <w:p>
            <w:pPr>
              <w:spacing w:line="269" w:lineRule="auto" w:before="0" w:after="0"/>
              <w:jc w:val="left"/>
            </w:pPr>
            <w:r/>
          </w:p>
        </w:tc>
      </w:tr>
    </w:tbl>
    <w:p>
      <w:pPr>
        <w:keepNext/>
        <w:spacing w:line="283" w:lineRule="auto" w:before="60" w:after="20"/>
      </w:pPr>
      <w:r>
        <w:rPr>
          <w:rFonts w:ascii="Times New Roman" w:hAnsi="Times New Roman" w:eastAsia="宋体" w:cs="Times New Roman"/>
          <w:b/>
          <w:sz w:val="21"/>
        </w:rPr>
        <w:t>（3）期末考核评分标准</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考核内容</w:t>
            </w:r>
          </w:p>
        </w:tc>
        <w:tc>
          <w:tcPr>
            <w:tcW w:type="dxa" w:w="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成绩占比</w:t>
            </w:r>
          </w:p>
        </w:tc>
        <w:tc>
          <w:tcPr>
            <w:tcW w:type="dxa" w:w="51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评分要求</w:t>
            </w:r>
          </w:p>
        </w:tc>
        <w:tc>
          <w:tcPr>
            <w:tcW w:type="dxa" w:w="1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cs="Times New Roman"/>
                <w:b/>
                <w:sz w:val="17"/>
              </w:rPr>
              <w:t>课程目标</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设备、故障与风险定义</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8%</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明确设备对象、功能、关键部件、工况、故障模式和安全/生产风险。</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1.1，2.1，3.1</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监测方案与数据质量</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12%</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测点、传感器、采样参数、转速/负载和数据记录方案合理。</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1.2，2.2，3.2</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信号分析与特征证据</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16%</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时域、频域、包络或趋势分析方法与故障特征匹配，图表和参数可复核。</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1.3，2.3，3.3</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故障诊断结论</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20%</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诊断结论与机理、结构参数和数据特征一致，说明可能故障类型和不确定性。</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1.4，2.4，3.4</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智能诊断与状态评估</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12%</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数据驱动方法使用边界合理，评价指标、数据划分和人工复核说明清楚。</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1.5，2.5，3.5</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维护措施与复机验证</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12%</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维护优先级、措施、停机条件、复测和验证清单完整，并考虑资源与安全。</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目标 1.6，2.6，3.6</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故障机理与信号解释</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7%</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现场能够独立解释综合成果中的故障机理、特征频率、波形/频谱和工况条件。</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全部课程目标</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诊断修正与维护决策</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9%</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针对新增数据、工况变化或误诊情形修正诊断结论，并给出维护与验证步骤。</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全部课程目标</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资料依据与个人贡献</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4%</w:t>
            </w:r>
          </w:p>
        </w:tc>
        <w:tc>
          <w:tcPr>
            <w:tcW w:type="dxa" w:w="51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能够说明教材、设备手册或数据依据，明确方案边界、本人完成内容以及外部代码/AI辅助的核验情况。</w:t>
            </w:r>
          </w:p>
        </w:tc>
        <w:tc>
          <w:tcPr>
            <w:tcW w:type="dxa" w:w="1354"/>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全部课程目标</w:t>
            </w:r>
          </w:p>
        </w:tc>
      </w:tr>
      <w:tr>
        <w:tc>
          <w:tcPr>
            <w:tcW w:type="dxa" w:w="1700"/>
            <w:vAlign w:val="center"/>
            <w:tcMar>
              <w:top w:w="80" w:type="dxa"/>
              <w:start w:w="70" w:type="dxa"/>
              <w:bottom w:w="80" w:type="dxa"/>
              <w:end w:w="70" w:type="dxa"/>
            </w:tcMar>
          </w:tcPr>
          <w:p>
            <w:pPr>
              <w:spacing w:line="269" w:lineRule="auto" w:before="0" w:after="0"/>
              <w:jc w:val="left"/>
            </w:pPr>
            <w:r/>
            <w:r>
              <w:rPr>
                <w:rFonts w:ascii="Times New Roman" w:hAnsi="Times New Roman" w:eastAsia="宋体" w:cs="Times New Roman"/>
                <w:b w:val="0"/>
                <w:sz w:val="17"/>
              </w:rPr>
              <w:t>合计</w:t>
            </w:r>
          </w:p>
        </w:tc>
        <w:tc>
          <w:tcPr>
            <w:tcW w:type="dxa" w:w="900"/>
            <w:vAlign w:val="center"/>
            <w:tcMar>
              <w:top w:w="80" w:type="dxa"/>
              <w:start w:w="70" w:type="dxa"/>
              <w:bottom w:w="80" w:type="dxa"/>
              <w:end w:w="70" w:type="dxa"/>
            </w:tcMar>
          </w:tcPr>
          <w:p>
            <w:pPr>
              <w:spacing w:line="269" w:lineRule="auto" w:before="0" w:after="0"/>
              <w:jc w:val="center"/>
            </w:pPr>
            <w:r/>
            <w:r>
              <w:rPr>
                <w:rFonts w:ascii="Times New Roman" w:hAnsi="Times New Roman" w:eastAsia="宋体" w:cs="Times New Roman"/>
                <w:b w:val="0"/>
                <w:sz w:val="17"/>
              </w:rPr>
              <w:t>100%</w:t>
            </w:r>
          </w:p>
        </w:tc>
        <w:tc>
          <w:tcPr>
            <w:tcW w:type="dxa" w:w="5100"/>
            <w:vAlign w:val="center"/>
            <w:tcMar>
              <w:top w:w="80" w:type="dxa"/>
              <w:start w:w="70" w:type="dxa"/>
              <w:bottom w:w="80" w:type="dxa"/>
              <w:end w:w="70" w:type="dxa"/>
            </w:tcMar>
          </w:tcPr>
          <w:p>
            <w:pPr>
              <w:spacing w:line="269" w:lineRule="auto" w:before="0" w:after="0"/>
              <w:jc w:val="left"/>
            </w:pPr>
            <w:r/>
          </w:p>
        </w:tc>
        <w:tc>
          <w:tcPr>
            <w:tcW w:type="dxa" w:w="1354"/>
            <w:vAlign w:val="center"/>
            <w:tcMar>
              <w:top w:w="80" w:type="dxa"/>
              <w:start w:w="70" w:type="dxa"/>
              <w:bottom w:w="80" w:type="dxa"/>
              <w:end w:w="70" w:type="dxa"/>
            </w:tcMar>
          </w:tcPr>
          <w:p>
            <w:pPr>
              <w:spacing w:line="269" w:lineRule="auto" w:before="0" w:after="0"/>
              <w:jc w:val="left"/>
            </w:pPr>
            <w:r/>
          </w:p>
        </w:tc>
      </w:tr>
    </w:tbl>
    <w:p>
      <w:pPr>
        <w:keepNext/>
        <w:spacing w:line="283" w:lineRule="auto" w:before="100" w:after="60"/>
      </w:pPr>
      <w:r>
        <w:rPr>
          <w:rFonts w:ascii="Times New Roman" w:hAnsi="Times New Roman" w:eastAsia="黑体" w:cs="Times New Roman"/>
          <w:b/>
          <w:sz w:val="28"/>
        </w:rPr>
        <w:t>五、参考书目及学习资料</w:t>
      </w:r>
    </w:p>
    <w:p>
      <w:pPr>
        <w:keepNext/>
        <w:spacing w:line="283" w:lineRule="auto" w:before="80" w:after="40"/>
      </w:pPr>
      <w:r>
        <w:rPr>
          <w:rFonts w:ascii="Times New Roman" w:hAnsi="Times New Roman" w:eastAsia="宋体" w:cs="Times New Roman"/>
          <w:b/>
          <w:sz w:val="24"/>
        </w:rPr>
        <w:t>（一）选用教材</w:t>
      </w:r>
    </w:p>
    <w:p>
      <w:pPr>
        <w:spacing w:line="283" w:lineRule="auto" w:before="0" w:after="20"/>
        <w:ind w:firstLine="420"/>
        <w:jc w:val="left"/>
      </w:pPr>
      <w:r>
        <w:rPr>
          <w:rFonts w:ascii="Times New Roman" w:hAnsi="Times New Roman" w:eastAsia="宋体" w:cs="Times New Roman"/>
          <w:b w:val="0"/>
          <w:sz w:val="21"/>
        </w:rPr>
        <w:t>张键, 汤赫男. 机械故障诊断技术（第3版）[M]. 北京：机械工业出版社，2024. ISBN 9787111756989</w:t>
      </w:r>
    </w:p>
    <w:p>
      <w:pPr>
        <w:keepNext/>
        <w:spacing w:line="283" w:lineRule="auto" w:before="80" w:after="40"/>
      </w:pPr>
      <w:r>
        <w:rPr>
          <w:rFonts w:ascii="Times New Roman" w:hAnsi="Times New Roman" w:eastAsia="宋体" w:cs="Times New Roman"/>
          <w:b/>
          <w:sz w:val="24"/>
        </w:rPr>
        <w:t>（二）学习资料</w:t>
      </w:r>
    </w:p>
    <w:p>
      <w:pPr>
        <w:spacing w:line="283" w:lineRule="auto" w:before="0" w:after="20"/>
        <w:jc w:val="left"/>
      </w:pPr>
      <w:r>
        <w:rPr>
          <w:rFonts w:ascii="Times New Roman" w:hAnsi="Times New Roman" w:eastAsia="宋体" w:cs="Times New Roman"/>
          <w:b w:val="0"/>
          <w:sz w:val="21"/>
        </w:rPr>
        <w:t>[1] 汪永华, 贾芸. 机电设备故障诊断与维修（第3版）[M]. 北京：机械工业出版社，2024. ISBN 9787111764601</w:t>
      </w:r>
    </w:p>
    <w:p>
      <w:pPr>
        <w:spacing w:line="283" w:lineRule="auto" w:before="0" w:after="20"/>
        <w:jc w:val="left"/>
      </w:pPr>
      <w:r>
        <w:rPr>
          <w:rFonts w:ascii="Times New Roman" w:hAnsi="Times New Roman" w:eastAsia="宋体" w:cs="Times New Roman"/>
          <w:b w:val="0"/>
          <w:sz w:val="21"/>
        </w:rPr>
        <w:t>[2] 赵亚英, 张志军. 机电设备故障诊断与维修[M]. 北京：机械工业出版社，2023. ISBN 9787111719014</w:t>
      </w:r>
    </w:p>
    <w:p>
      <w:pPr>
        <w:spacing w:line="283" w:lineRule="auto" w:before="0" w:after="20"/>
        <w:jc w:val="left"/>
      </w:pPr>
      <w:r>
        <w:rPr>
          <w:rFonts w:ascii="Times New Roman" w:hAnsi="Times New Roman" w:eastAsia="宋体" w:cs="Times New Roman"/>
          <w:b w:val="0"/>
          <w:sz w:val="21"/>
        </w:rPr>
        <w:t>[3] 石秀敏. 数控机床故障诊断与维修（第2版）[M]. 北京：机械工业出版社，2024. ISBN 9787111763826</w:t>
      </w:r>
    </w:p>
    <w:p>
      <w:pPr>
        <w:spacing w:line="283" w:lineRule="auto" w:before="0" w:after="20"/>
        <w:ind w:firstLine="420"/>
        <w:jc w:val="left"/>
      </w:pPr>
      <w:r>
        <w:rPr>
          <w:rFonts w:ascii="Times New Roman" w:hAnsi="Times New Roman" w:eastAsia="宋体" w:cs="Times New Roman"/>
          <w:b w:val="0"/>
          <w:sz w:val="21"/>
        </w:rPr>
        <w:t>制定人：________________　审定人：________________　批准人：________________</w:t>
      </w:r>
    </w:p>
    <w:p>
      <w:pPr>
        <w:spacing w:line="283" w:lineRule="auto" w:before="0" w:after="20"/>
        <w:ind w:firstLine="420"/>
        <w:jc w:val="left"/>
      </w:pPr>
      <w:r>
        <w:rPr>
          <w:rFonts w:ascii="Times New Roman" w:hAnsi="Times New Roman" w:eastAsia="宋体" w:cs="Times New Roman"/>
          <w:b w:val="0"/>
          <w:sz w:val="21"/>
        </w:rPr>
        <w:t>日期：________________</w:t>
      </w:r>
    </w:p>
    <w:sectPr w:rsidR="00FC693F" w:rsidRPr="0006063C" w:rsidSect="00034616">
      <w:footerReference w:type="default" r:id="rId9"/>
      <w:pgSz w:w="11906" w:h="16838"/>
      <w:pgMar w:top="1417" w:right="1417" w:bottom="1417" w:left="141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《机械故障诊断及维护》课程教学大纲</dc:title>
  <dc:subject/>
  <dc:creator/>
  <cp:keywords/>
  <dc:description/>
  <cp:lastModifiedBy/>
  <cp:revision>1</cp:revision>
  <dcterms:created xsi:type="dcterms:W3CDTF">2013-12-23T23:15:00Z</dcterms:created>
  <dcterms:modified xsi:type="dcterms:W3CDTF">2013-12-23T23:15:00Z</dcterms:modified>
  <cp:category/>
</cp:coreProperties>
</file>