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3" w:lineRule="auto" w:before="0" w:after="160"/>
        <w:jc w:val="center"/>
      </w:pPr>
      <w:r>
        <w:rPr>
          <w:rFonts w:ascii="Times New Roman" w:hAnsi="Times New Roman" w:eastAsia="黑体"/>
          <w:b/>
          <w:sz w:val="32"/>
        </w:rPr>
        <w:t>《物联网技术基础》课程教学大纲</w:t>
      </w:r>
    </w:p>
    <w:p>
      <w:pPr>
        <w:keepNext/>
        <w:spacing w:line="283" w:lineRule="auto" w:before="100" w:after="60"/>
      </w:pPr>
      <w:r>
        <w:rPr>
          <w:rFonts w:ascii="Times New Roman" w:hAnsi="Times New Roman" w:eastAsia="黑体"/>
          <w:b/>
          <w:sz w:val="28"/>
        </w:rPr>
        <w:t>一、课程基本信息</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1"/>
        <w:gridCol w:w="1634"/>
        <w:gridCol w:w="1215"/>
        <w:gridCol w:w="1104"/>
        <w:gridCol w:w="477"/>
        <w:gridCol w:w="627"/>
        <w:gridCol w:w="1033"/>
        <w:gridCol w:w="1033"/>
      </w:tblGrid>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课程名称（中英文）</w:t>
            </w:r>
          </w:p>
        </w:tc>
        <w:tc>
          <w:tcPr>
            <w:tcW w:type="dxa" w:w="7123"/>
            <w:gridSpan w:val="7"/>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9"/>
              </w:rPr>
              <w:t>物联网技术基础  Fundamentals of Internet of Things Technology</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课程代码</w:t>
            </w:r>
          </w:p>
        </w:tc>
        <w:tc>
          <w:tcPr>
            <w:tcW w:type="dxa" w:w="2849"/>
            <w:gridSpan w:val="2"/>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8"/>
              </w:rPr>
              <w:t>25JD32414</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课程类别</w:t>
            </w:r>
          </w:p>
        </w:tc>
        <w:tc>
          <w:tcPr>
            <w:tcW w:type="dxa" w:w="3170"/>
            <w:gridSpan w:val="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8"/>
              </w:rPr>
              <w:t>专业类</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课程性质</w:t>
            </w:r>
          </w:p>
        </w:tc>
        <w:tc>
          <w:tcPr>
            <w:tcW w:type="dxa" w:w="2849"/>
            <w:gridSpan w:val="2"/>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8"/>
              </w:rPr>
              <w:t>选修课</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授课语言</w:t>
            </w:r>
          </w:p>
        </w:tc>
        <w:tc>
          <w:tcPr>
            <w:tcW w:type="dxa" w:w="3170"/>
            <w:gridSpan w:val="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8"/>
              </w:rPr>
              <w:t>中文</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授课学期</w:t>
            </w:r>
          </w:p>
        </w:tc>
        <w:tc>
          <w:tcPr>
            <w:tcW w:type="dxa" w:w="2849"/>
            <w:gridSpan w:val="2"/>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8"/>
              </w:rPr>
              <w:t>第5学期</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学分</w:t>
            </w:r>
          </w:p>
        </w:tc>
        <w:tc>
          <w:tcPr>
            <w:tcW w:type="dxa" w:w="3170"/>
            <w:gridSpan w:val="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8"/>
              </w:rPr>
              <w:t>2</w:t>
            </w:r>
          </w:p>
        </w:tc>
      </w:tr>
      <w:tr>
        <w:trPr>
          <w:cantSplit/>
        </w:trPr>
        <w:tc>
          <w:tcPr>
            <w:tcW w:type="dxa" w:w="3565"/>
            <w:gridSpan w:val="2"/>
            <w:vMerge w:val="restart"/>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课程学时及分配</w:t>
            </w:r>
          </w:p>
        </w:tc>
        <w:tc>
          <w:tcPr>
            <w:tcW w:type="dxa" w:w="1215"/>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总学时</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理论</w:t>
            </w:r>
          </w:p>
        </w:tc>
        <w:tc>
          <w:tcPr>
            <w:tcW w:type="dxa" w:w="477"/>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实践</w:t>
            </w:r>
          </w:p>
        </w:tc>
        <w:tc>
          <w:tcPr>
            <w:tcW w:type="dxa" w:w="627"/>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实验</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上机</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项目式</w:t>
            </w:r>
          </w:p>
        </w:tc>
      </w:tr>
      <w:tr>
        <w:trPr>
          <w:cantSplit/>
        </w:trPr>
        <w:tc>
          <w:tcPr>
            <w:tcW w:type="dxa" w:w="3565"/>
            <w:gridSpan w:val="2"/>
            <w:vMerge/>
            <w:tcMar>
              <w:top w:w="80" w:type="dxa"/>
              <w:start w:w="70" w:type="dxa"/>
              <w:bottom w:w="80" w:type="dxa"/>
              <w:end w:w="70" w:type="dxa"/>
            </w:tcMar>
          </w:tcPr>
          <w:p/>
        </w:tc>
        <w:tc>
          <w:tcPr>
            <w:tcW w:type="dxa" w:w="1215"/>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8"/>
              </w:rPr>
              <w:t>32</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8"/>
              </w:rPr>
              <w:t>32</w:t>
            </w:r>
          </w:p>
        </w:tc>
        <w:tc>
          <w:tcPr>
            <w:tcW w:type="dxa" w:w="477"/>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8"/>
              </w:rPr>
              <w:t>0</w:t>
            </w:r>
          </w:p>
        </w:tc>
        <w:tc>
          <w:tcPr>
            <w:tcW w:type="dxa" w:w="627"/>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8"/>
              </w:rPr>
              <w:t>0</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8"/>
              </w:rPr>
              <w:t>0</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8"/>
              </w:rPr>
              <w:t>0</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适用专业</w:t>
            </w:r>
          </w:p>
        </w:tc>
        <w:tc>
          <w:tcPr>
            <w:tcW w:type="dxa" w:w="7123"/>
            <w:gridSpan w:val="7"/>
            <w:tcMar>
              <w:top w:w="80" w:type="dxa"/>
              <w:start w:w="70" w:type="dxa"/>
              <w:bottom w:w="80" w:type="dxa"/>
              <w:end w:w="70" w:type="dxa"/>
            </w:tcMar>
            <w:vAlign w:val="center"/>
          </w:tcPr>
          <w:p>
            <w:pPr>
              <w:spacing w:line="269" w:lineRule="auto" w:before="0" w:after="0"/>
              <w:jc w:val="left"/>
            </w:pPr>
            <w:r/>
            <w:r>
              <w:rPr>
                <w:rFonts w:ascii="Times New Roman" w:hAnsi="Times New Roman" w:eastAsia="宋体"/>
                <w:b w:val="0"/>
                <w:sz w:val="18"/>
              </w:rPr>
              <w:t>智能制造工程</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授课学院</w:t>
            </w:r>
          </w:p>
        </w:tc>
        <w:tc>
          <w:tcPr>
            <w:tcW w:type="dxa" w:w="7123"/>
            <w:gridSpan w:val="7"/>
            <w:tcMar>
              <w:top w:w="80" w:type="dxa"/>
              <w:start w:w="70" w:type="dxa"/>
              <w:bottom w:w="80" w:type="dxa"/>
              <w:end w:w="70" w:type="dxa"/>
            </w:tcMar>
            <w:vAlign w:val="center"/>
          </w:tcPr>
          <w:p>
            <w:pPr>
              <w:spacing w:line="269" w:lineRule="auto" w:before="0" w:after="0"/>
              <w:jc w:val="left"/>
            </w:pPr>
            <w:r/>
            <w:r>
              <w:rPr>
                <w:rFonts w:ascii="Times New Roman" w:hAnsi="Times New Roman" w:eastAsia="宋体"/>
                <w:b w:val="0"/>
                <w:sz w:val="18"/>
              </w:rPr>
              <w:t>机械与动力工程学院</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先修课程</w:t>
            </w:r>
          </w:p>
        </w:tc>
        <w:tc>
          <w:tcPr>
            <w:tcW w:type="dxa" w:w="7123"/>
            <w:gridSpan w:val="7"/>
            <w:tcMar>
              <w:top w:w="80" w:type="dxa"/>
              <w:start w:w="70" w:type="dxa"/>
              <w:bottom w:w="80" w:type="dxa"/>
              <w:end w:w="70" w:type="dxa"/>
            </w:tcMar>
            <w:vAlign w:val="center"/>
          </w:tcPr>
          <w:p>
            <w:pPr>
              <w:spacing w:line="269" w:lineRule="auto" w:before="0" w:after="0"/>
              <w:jc w:val="left"/>
            </w:pPr>
            <w:r/>
            <w:r>
              <w:rPr>
                <w:rFonts w:ascii="Times New Roman" w:hAnsi="Times New Roman" w:eastAsia="宋体"/>
                <w:b w:val="0"/>
                <w:sz w:val="18"/>
              </w:rPr>
              <w:t>电工电子技术（A）、程序设计基础（C&amp;C++）Ⅱ、工程建模与科学计算可视化基础（Python）、微机原理及接口技术</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后续课程</w:t>
            </w:r>
          </w:p>
        </w:tc>
        <w:tc>
          <w:tcPr>
            <w:tcW w:type="dxa" w:w="7123"/>
            <w:gridSpan w:val="7"/>
            <w:tcMar>
              <w:top w:w="80" w:type="dxa"/>
              <w:start w:w="70" w:type="dxa"/>
              <w:bottom w:w="80" w:type="dxa"/>
              <w:end w:w="70" w:type="dxa"/>
            </w:tcMar>
            <w:vAlign w:val="center"/>
          </w:tcPr>
          <w:p>
            <w:pPr>
              <w:spacing w:line="269" w:lineRule="auto" w:before="0" w:after="0"/>
              <w:jc w:val="left"/>
            </w:pPr>
            <w:r/>
            <w:r>
              <w:rPr>
                <w:rFonts w:ascii="Times New Roman" w:hAnsi="Times New Roman" w:eastAsia="宋体"/>
                <w:b w:val="0"/>
                <w:sz w:val="18"/>
              </w:rPr>
              <w:t>工业网络技术及应用、智能制造装备、智能生产计划管理（MES/ERP）、毕业设计（论文）</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课程简介</w:t>
            </w:r>
          </w:p>
        </w:tc>
        <w:tc>
          <w:tcPr>
            <w:tcW w:type="dxa" w:w="7123"/>
            <w:gridSpan w:val="7"/>
            <w:tcMar>
              <w:top w:w="80" w:type="dxa"/>
              <w:start w:w="70" w:type="dxa"/>
              <w:bottom w:w="80" w:type="dxa"/>
              <w:end w:w="70" w:type="dxa"/>
            </w:tcMar>
            <w:vAlign w:val="center"/>
          </w:tcPr>
          <w:p>
            <w:pPr>
              <w:spacing w:line="278" w:lineRule="auto" w:before="0" w:after="40"/>
            </w:pPr>
            <w:r/>
            <w:r>
              <w:rPr>
                <w:rFonts w:ascii="Times New Roman" w:hAnsi="Times New Roman" w:eastAsia="宋体"/>
                <w:b/>
                <w:sz w:val="18"/>
              </w:rPr>
              <w:t>课程基本定位</w:t>
              <w:br/>
            </w:r>
            <w:r>
              <w:rPr>
                <w:rFonts w:ascii="Times New Roman" w:hAnsi="Times New Roman" w:eastAsia="宋体"/>
                <w:b w:val="0"/>
                <w:sz w:val="18"/>
              </w:rPr>
              <w:t>本课程是智能制造工程专业的专业选修课，位于第五学期专业选修课程组，面向智能装备、生产现场与工业数据互联需求，系统讲授物联网的体系结构、感知与识别、无线与有线连接、网络与应用协议、边缘/云平台、工业物联网集成及安全。课程以“设备感知—可靠连接—数据传输—边缘处理—平台服务—制造应用—安全治理”为主线，重点解释传感器、RFID、无线传感器网络、IPv6/6LoWPAN、Wi-Fi、蓝牙、Zigbee/Thread、LoRaWAN、NB-IoT/蜂窝物联、MQTT、CoAP、HTTP、工业网关、OPC UA、边缘计算与云平台之间的角色与边界，使学生建立面向智能制造场景的端—边—网—云系统观。</w:t>
            </w:r>
          </w:p>
          <w:p>
            <w:pPr>
              <w:spacing w:line="278" w:lineRule="auto" w:before="0" w:after="40"/>
            </w:pPr>
            <w:r>
              <w:rPr>
                <w:rFonts w:ascii="Times New Roman" w:hAnsi="Times New Roman" w:eastAsia="宋体"/>
                <w:b/>
                <w:sz w:val="18"/>
              </w:rPr>
              <w:t>核心学习结果</w:t>
              <w:br/>
            </w:r>
            <w:r>
              <w:rPr>
                <w:rFonts w:ascii="Times New Roman" w:hAnsi="Times New Roman" w:eastAsia="宋体"/>
                <w:b w:val="0"/>
                <w:sz w:val="18"/>
              </w:rPr>
              <w:t>通过本课程的学习，学生能够说明物联网三层/四层及端—边—云架构，识别智能制造物联网系统中的设备、标识、传感、通信、平台、应用和安全模块；能够根据采样频率、数据量、覆盖范围、功耗、时延、可靠性和成本比较典型连接技术；能够分析MQTT、CoAP、HTTP及工业互操作协议的消息与数据流，建立设备模型、主题/资源、数据点和事件规则；能够设计面向设备状态监测、能耗管理、仓储物流或质量追溯的物联网方案，完成架构图、协议选择、数据流、接口、边缘/云分工和安全风险说明；能够依据数据与技术资料评价方案的适用性、限制和改进方向。</w:t>
            </w:r>
          </w:p>
          <w:p>
            <w:pPr>
              <w:spacing w:line="278" w:lineRule="auto" w:before="0" w:after="40"/>
            </w:pPr>
            <w:r>
              <w:rPr>
                <w:rFonts w:ascii="Times New Roman" w:hAnsi="Times New Roman" w:eastAsia="宋体"/>
                <w:b/>
                <w:sz w:val="18"/>
              </w:rPr>
              <w:t>主要教学方法</w:t>
              <w:br/>
            </w:r>
            <w:r>
              <w:rPr>
                <w:rFonts w:ascii="Times New Roman" w:hAnsi="Times New Roman" w:eastAsia="宋体"/>
                <w:b w:val="0"/>
                <w:sz w:val="18"/>
              </w:rPr>
              <w:t>课程采用“体系讲授—协议图解—报文/数据演示—制造案例—方案评审”的教学方式。由于培养方案规定本课程32学时均为理论学时，不另设实验或上机章节；课堂中使用传感器数据样例、Wireshark报文、MQTT客户端/代理、Node-RED或等价平台、Python设备模拟器及工业网关案例进行教师演示和短时分析，不把工具操作替代为独立实践学时。学生通过单元案例作业和期末综合考查形成可评审的物联网系统方案，所有技术选择必须说明指标、证据、安全边界和适用条件。</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大纲更新时间</w:t>
            </w:r>
          </w:p>
        </w:tc>
        <w:tc>
          <w:tcPr>
            <w:tcW w:type="dxa" w:w="7123"/>
            <w:gridSpan w:val="7"/>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val="0"/>
                <w:sz w:val="18"/>
              </w:rPr>
              <w:t>2026年9月</w:t>
            </w:r>
          </w:p>
        </w:tc>
      </w:tr>
    </w:tbl>
    <w:p>
      <w:pPr>
        <w:keepNext/>
        <w:spacing w:line="283" w:lineRule="auto" w:before="100" w:after="60"/>
      </w:pPr>
      <w:r>
        <w:rPr>
          <w:rFonts w:ascii="Times New Roman" w:hAnsi="Times New Roman" w:eastAsia="黑体"/>
          <w:b/>
          <w:sz w:val="28"/>
        </w:rPr>
        <w:t>二、课程目标</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50"/>
        <w:gridCol w:w="4650"/>
        <w:gridCol w:w="3354"/>
      </w:tblGrid>
      <w:tr>
        <w:trPr>
          <w:tblHeader w:val="true"/>
          <w:cantSplit/>
        </w:trPr>
        <w:tc>
          <w:tcPr>
            <w:tcW w:type="dxa" w:w="105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课程总目标</w:t>
            </w:r>
          </w:p>
        </w:tc>
        <w:tc>
          <w:tcPr>
            <w:tcW w:type="dxa" w:w="465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课程子目标（参考学校定位、培养目标、毕业要求）</w:t>
            </w:r>
          </w:p>
        </w:tc>
        <w:tc>
          <w:tcPr>
            <w:tcW w:type="dxa" w:w="3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达成方法</w:t>
            </w:r>
          </w:p>
        </w:tc>
      </w:tr>
      <w:tr>
        <w:trPr>
          <w:cantSplit/>
        </w:trPr>
        <w:tc>
          <w:tcPr>
            <w:tcW w:type="dxa" w:w="10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1.知识</w:t>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1.1</w:t>
            </w:r>
            <w:r>
              <w:rPr>
                <w:rFonts w:ascii="Times New Roman" w:hAnsi="Times New Roman" w:eastAsia="宋体"/>
                <w:b w:val="0"/>
                <w:sz w:val="17"/>
              </w:rPr>
              <w:t xml:space="preserve"> 理解物联网的概念、发展、体系结构和标准化对象，掌握感知层、网络层、平台/处理层、应用层以及端—边—云协同的基本职责，理解物联网与互联网、工业互联网、信息物理系统的联系和区别。</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通过智能制造设备联网全景图和典型系统数据流，建立从物理对象到数字服务的整体框架，并对不同架构表述进行比较。</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1.2</w:t>
            </w:r>
            <w:r>
              <w:rPr>
                <w:rFonts w:ascii="Times New Roman" w:hAnsi="Times New Roman" w:eastAsia="宋体"/>
                <w:b w:val="0"/>
                <w:sz w:val="17"/>
              </w:rPr>
              <w:t xml:space="preserve"> 掌握常见传感器、执行器、RFID/EPC、二维码、定位与无线传感器网络的基本原理，理解采样、量程、精度、分辨率、校准、功耗和数据质量等关键概念。</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结合温度、振动、电流、位置和身份识别案例，从被测对象、传感链、数据字段和误差来源分析感知方案。</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1.3</w:t>
            </w:r>
            <w:r>
              <w:rPr>
                <w:rFonts w:ascii="Times New Roman" w:hAnsi="Times New Roman" w:eastAsia="宋体"/>
                <w:b w:val="0"/>
                <w:sz w:val="17"/>
              </w:rPr>
              <w:t xml:space="preserve"> 掌握物联网连接与组网基础，理解TCP/IP、IPv6/6LoWPAN、Wi-Fi、蓝牙、Zigbee/Thread、LoRaWAN、NB-IoT/蜂窝物联等技术的基本特点和典型适用场景。</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以距离、速率、功耗、时延、可靠性、拓扑和成本为维度建立连接技术比较矩阵，分析制造现场的覆盖和干扰约束。</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1.4</w:t>
            </w:r>
            <w:r>
              <w:rPr>
                <w:rFonts w:ascii="Times New Roman" w:hAnsi="Times New Roman" w:eastAsia="宋体"/>
                <w:b w:val="0"/>
                <w:sz w:val="17"/>
              </w:rPr>
              <w:t xml:space="preserve"> 掌握MQTT、CoAP、HTTP等应用层协议的消息模型、主题/资源、服务质量和请求响应特点，理解设备模型、数据点、事件、规则引擎、边缘计算、云平台和数据存储的基本作用。</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通过报文、主题树、资源路径和端—边—云数据流程图讲解消息流，比较不同协议和平台架构对可靠性与扩展性的影响。</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1.5</w:t>
            </w:r>
            <w:r>
              <w:rPr>
                <w:rFonts w:ascii="Times New Roman" w:hAnsi="Times New Roman" w:eastAsia="宋体"/>
                <w:b w:val="0"/>
                <w:sz w:val="17"/>
              </w:rPr>
              <w:t xml:space="preserve"> 理解工业物联网与智能制造集成中的网关、协议转换、OPC UA、Modbus TCP、设备管理、时序数据、数字孪生和制造系统接口，掌握互操作、时钟/语义一致性和故障隔离的基本思想。</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以机床、机器人、能耗表计和仓储物流设备为对象，分析现场数据如何经过网关进入边缘/平台并服务于监测、追溯和维护。</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1.6</w:t>
            </w:r>
            <w:r>
              <w:rPr>
                <w:rFonts w:ascii="Times New Roman" w:hAnsi="Times New Roman" w:eastAsia="宋体"/>
                <w:b w:val="0"/>
                <w:sz w:val="17"/>
              </w:rPr>
              <w:t xml:space="preserve"> 掌握物联网安全的基本目标和分层风险，理解身份认证、访问控制、加密、密钥、固件更新、数据隐私、网络分区和安全运维等基础措施，了解物联网方案评价与技术演进。</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通过弱口令、伪造设备、明文传输、越权访问和不安全升级等案例，建立威胁—资产—控制措施—剩余风险分析链。</w:t>
            </w:r>
          </w:p>
        </w:tc>
      </w:tr>
      <w:tr>
        <w:trPr>
          <w:cantSplit/>
        </w:trPr>
        <w:tc>
          <w:tcPr>
            <w:tcW w:type="dxa" w:w="10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2.能力</w:t>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2.1</w:t>
            </w:r>
            <w:r>
              <w:rPr>
                <w:rFonts w:ascii="Times New Roman" w:hAnsi="Times New Roman" w:eastAsia="宋体"/>
                <w:b w:val="0"/>
                <w:sz w:val="17"/>
              </w:rPr>
              <w:t xml:space="preserve"> 能够从智能制造应用需求中识别对象、数据、事件、控制动作、网络和平台角色，绘制物联网系统架构图、数据流图和主要接口关系。</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通过设备状态监测和质量追溯案例完成需求—对象—数据—服务映射，并使用结构化图表进行评审。</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2.2</w:t>
            </w:r>
            <w:r>
              <w:rPr>
                <w:rFonts w:ascii="Times New Roman" w:hAnsi="Times New Roman" w:eastAsia="宋体"/>
                <w:b w:val="0"/>
                <w:sz w:val="17"/>
              </w:rPr>
              <w:t xml:space="preserve"> 能够依据测量对象和工程指标选择传感、识别或定位方式，设计基本采集链和数据字段，分析误差、采样、校准与数据质量问题。</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设置多种传感方案比较任务，要求从量程、精度、安装、功耗、维护和成本等方面形成选择依据。</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2.3</w:t>
            </w:r>
            <w:r>
              <w:rPr>
                <w:rFonts w:ascii="Times New Roman" w:hAnsi="Times New Roman" w:eastAsia="宋体"/>
                <w:b w:val="0"/>
                <w:sz w:val="17"/>
              </w:rPr>
              <w:t xml:space="preserve"> 能够根据覆盖、速率、功耗、时延、可靠性、节点数量和现场环境选择连接与组网技术，说明拓扑、地址、网关和故障场景。</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通过无线/有线混合制造现场案例建立技术选型表，分析干扰、链路中断、网络拥塞和漫游等边界。</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2.4</w:t>
            </w:r>
            <w:r>
              <w:rPr>
                <w:rFonts w:ascii="Times New Roman" w:hAnsi="Times New Roman" w:eastAsia="宋体"/>
                <w:b w:val="0"/>
                <w:sz w:val="17"/>
              </w:rPr>
              <w:t xml:space="preserve"> 能够设计MQTT主题、CoAP资源或HTTP接口，建立设备模型、数据点、事件与命令，分析消息方向、QoS、缓存、离线重连和端—边—云处理分工。</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使用协议时序图、主题树、JSON样例和教师演示数据完成接口设计，检查命名、单位、时间戳和异常处理。</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2.5</w:t>
            </w:r>
            <w:r>
              <w:rPr>
                <w:rFonts w:ascii="Times New Roman" w:hAnsi="Times New Roman" w:eastAsia="宋体"/>
                <w:b w:val="0"/>
                <w:sz w:val="17"/>
              </w:rPr>
              <w:t xml:space="preserve"> 能够针对典型智能制造场景设计工业网关与平台集成方案，说明现场协议、协议转换、OPC UA/平台接口、数据存储、规则、告警和可视化之间的关系。</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以设备综合效率、能耗监测、仓储物流或预测维护为题完成端到端方案，进行接口和故障传播评审。</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2.6</w:t>
            </w:r>
            <w:r>
              <w:rPr>
                <w:rFonts w:ascii="Times New Roman" w:hAnsi="Times New Roman" w:eastAsia="宋体"/>
                <w:b w:val="0"/>
                <w:sz w:val="17"/>
              </w:rPr>
              <w:t xml:space="preserve"> 能够识别物联网系统中的主要资产、威胁和薄弱环节，提出身份、访问、通信、设备、数据和运维安全措施，并综合评价方案的可行性、限制和改进方向。</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在综合考查中提交安全清单、分层控制措施和风险说明，通过个人问答核验技术选择与责任边界。</w:t>
            </w:r>
          </w:p>
        </w:tc>
      </w:tr>
      <w:tr>
        <w:trPr>
          <w:cantSplit/>
        </w:trPr>
        <w:tc>
          <w:tcPr>
            <w:tcW w:type="dxa" w:w="10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3.素质</w:t>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3.1</w:t>
            </w:r>
            <w:r>
              <w:rPr>
                <w:rFonts w:ascii="Times New Roman" w:hAnsi="Times New Roman" w:eastAsia="宋体"/>
                <w:b w:val="0"/>
                <w:sz w:val="17"/>
              </w:rPr>
              <w:t xml:space="preserve"> 形成从物理对象、数据、网络、平台到业务闭环理解物联网系统的整体工程观，重视需求、接口和边界的一致性。</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通过端—边—网—云架构复盘和跨模块接口评审，训练系统化表达与协同意识。</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3.2</w:t>
            </w:r>
            <w:r>
              <w:rPr>
                <w:rFonts w:ascii="Times New Roman" w:hAnsi="Times New Roman" w:eastAsia="宋体"/>
                <w:b w:val="0"/>
                <w:sz w:val="17"/>
              </w:rPr>
              <w:t xml:space="preserve"> 形成尊重测量数据和校准证据的科学态度，理解传感误差、丢包、时间戳和数据清洗对工程结论的影响。</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在感知与数据案例中区分原始测量、传输数据、平台结果和业务结论，要求说明误差来源和复核方法。</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3.3</w:t>
            </w:r>
            <w:r>
              <w:rPr>
                <w:rFonts w:ascii="Times New Roman" w:hAnsi="Times New Roman" w:eastAsia="宋体"/>
                <w:b w:val="0"/>
                <w:sz w:val="17"/>
              </w:rPr>
              <w:t xml:space="preserve"> 形成依据场景指标选择连接技术和协议的理性意识，避免以热点、带宽或单一参数替代综合工程权衡。</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使用统一评价维度开展方案对比，要求说明成本、功耗、可靠性和维护性的取舍。</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3.4</w:t>
            </w:r>
            <w:r>
              <w:rPr>
                <w:rFonts w:ascii="Times New Roman" w:hAnsi="Times New Roman" w:eastAsia="宋体"/>
                <w:b w:val="0"/>
                <w:sz w:val="17"/>
              </w:rPr>
              <w:t xml:space="preserve"> 形成接口命名、数据单位、时间、版本和文档规范意识，能够使用架构图、主题表、数据字典和时序图进行技术沟通。</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单元作业与综合考查采用标准化模板，图表、字段、协议和版本必须可追溯。</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3.5</w:t>
            </w:r>
            <w:r>
              <w:rPr>
                <w:rFonts w:ascii="Times New Roman" w:hAnsi="Times New Roman" w:eastAsia="宋体"/>
                <w:b w:val="0"/>
                <w:sz w:val="17"/>
              </w:rPr>
              <w:t xml:space="preserve"> 树立设备、网络、数据与人员安全责任意识，理解物联网连接扩大攻击面和隐私风险，能够遵守最小权限、分区隔离和安全更新等基本规范。</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通过安全事件案例和威胁建模，把安全控制和人工处置写入系统方案而非作为附加说明。</w:t>
            </w:r>
          </w:p>
        </w:tc>
      </w:tr>
      <w:tr>
        <w:trPr>
          <w:cantSplit/>
        </w:trP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3.6</w:t>
            </w:r>
            <w:r>
              <w:rPr>
                <w:rFonts w:ascii="Times New Roman" w:hAnsi="Times New Roman" w:eastAsia="宋体"/>
                <w:b w:val="0"/>
                <w:sz w:val="17"/>
              </w:rPr>
              <w:t xml:space="preserve"> 形成自主检索、持续学习和技术迁移意识，能够阅读协议、标准和平台资料，判断技术版本、适用条件与局限，对工具或智能助手给出的结论承担验证责任。</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安排技术资料阅读和版本比较任务，要求引用来源、说明变更并通过事实与推理复核结论。</w:t>
            </w:r>
          </w:p>
        </w:tc>
      </w:tr>
    </w:tbl>
    <w:p>
      <w:pPr>
        <w:keepNext/>
        <w:spacing w:line="283" w:lineRule="auto" w:before="100" w:after="60"/>
      </w:pPr>
      <w:r>
        <w:rPr>
          <w:rFonts w:ascii="Times New Roman" w:hAnsi="Times New Roman" w:eastAsia="黑体"/>
          <w:b/>
          <w:sz w:val="28"/>
        </w:rPr>
        <w:t>三、理论教学环节及基本要求</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900"/>
        <w:gridCol w:w="600"/>
        <w:gridCol w:w="4000"/>
        <w:gridCol w:w="1254"/>
      </w:tblGrid>
      <w:tr>
        <w:trPr>
          <w:tblHeader w:val="true"/>
          <w:cantSplit/>
        </w:trPr>
        <w:tc>
          <w:tcPr>
            <w:tcW w:type="dxa" w:w="13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单元标题</w:t>
            </w:r>
          </w:p>
        </w:tc>
        <w:tc>
          <w:tcPr>
            <w:tcW w:type="dxa" w:w="1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教学内容</w:t>
            </w:r>
          </w:p>
        </w:tc>
        <w:tc>
          <w:tcPr>
            <w:tcW w:type="dxa" w:w="6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学时</w:t>
            </w:r>
          </w:p>
        </w:tc>
        <w:tc>
          <w:tcPr>
            <w:tcW w:type="dxa" w:w="40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课程要求</w:t>
            </w:r>
          </w:p>
        </w:tc>
        <w:tc>
          <w:tcPr>
            <w:tcW w:type="dxa" w:w="12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rPr>
          <w:cantSplit/>
        </w:trPr>
        <w:tc>
          <w:tcPr>
            <w:tcW w:type="dxa" w:w="13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第一单元 物联网概念、体系结构与标准化</w:t>
            </w:r>
          </w:p>
        </w:tc>
        <w:tc>
          <w:tcPr>
            <w:tcW w:type="dxa" w:w="19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物联网起源与发展；物理对象、数字身份与服务；三层/四层体系；端—边—云；物联网、互联网、工业互联网和CPS关系；关键指标；标准化对象；智能制造物联网案例全景</w:t>
            </w:r>
          </w:p>
        </w:tc>
        <w:tc>
          <w:tcPr>
            <w:tcW w:type="dxa" w:w="6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4</w:t>
            </w:r>
          </w:p>
        </w:tc>
        <w:tc>
          <w:tcPr>
            <w:tcW w:type="dxa" w:w="40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思政融入点：</w:t>
            </w:r>
            <w:r>
              <w:rPr>
                <w:rFonts w:ascii="Times New Roman" w:hAnsi="Times New Roman" w:eastAsia="宋体"/>
                <w:b w:val="0"/>
                <w:sz w:val="17"/>
              </w:rPr>
              <w:t>结合我国物联网产业、工业数字化和标准建设，培养核心技术学习、标准意识和服务制造强国的责任感。</w:t>
            </w:r>
          </w:p>
          <w:p>
            <w:pPr>
              <w:spacing w:line="269" w:lineRule="auto" w:before="0" w:after="0"/>
              <w:jc w:val="left"/>
            </w:pPr>
            <w:r>
              <w:rPr>
                <w:rFonts w:ascii="Times New Roman" w:hAnsi="Times New Roman" w:eastAsia="宋体"/>
                <w:b/>
                <w:sz w:val="17"/>
              </w:rPr>
              <w:t>预期学习成果：</w:t>
            </w:r>
            <w:r>
              <w:rPr>
                <w:rFonts w:ascii="Times New Roman" w:hAnsi="Times New Roman" w:eastAsia="宋体"/>
                <w:b w:val="0"/>
                <w:sz w:val="17"/>
              </w:rPr>
              <w:t>知识层面：理解物联网概念、体系和技术边界。</w:t>
            </w:r>
          </w:p>
          <w:p>
            <w:pPr>
              <w:spacing w:line="269" w:lineRule="auto" w:before="0" w:after="0"/>
              <w:jc w:val="left"/>
            </w:pPr>
            <w:r>
              <w:rPr>
                <w:rFonts w:ascii="Times New Roman" w:hAnsi="Times New Roman" w:eastAsia="宋体"/>
                <w:b w:val="0"/>
                <w:sz w:val="17"/>
              </w:rPr>
              <w:t>能力层面：能够识别端、边、网、云和应用角色并绘制数据流。</w:t>
            </w:r>
          </w:p>
          <w:p>
            <w:pPr>
              <w:spacing w:line="269" w:lineRule="auto" w:before="0" w:after="0"/>
              <w:jc w:val="left"/>
            </w:pPr>
            <w:r>
              <w:rPr>
                <w:rFonts w:ascii="Times New Roman" w:hAnsi="Times New Roman" w:eastAsia="宋体"/>
                <w:b w:val="0"/>
                <w:sz w:val="17"/>
              </w:rPr>
              <w:t>素养层面：形成系统工程和标准化意识。</w:t>
            </w:r>
          </w:p>
          <w:p>
            <w:pPr>
              <w:spacing w:line="269" w:lineRule="auto" w:before="0" w:after="0"/>
              <w:jc w:val="left"/>
            </w:pPr>
            <w:r>
              <w:rPr>
                <w:rFonts w:ascii="Times New Roman" w:hAnsi="Times New Roman" w:eastAsia="宋体"/>
                <w:b/>
                <w:sz w:val="17"/>
              </w:rPr>
              <w:t>教学方式：</w:t>
            </w:r>
            <w:r>
              <w:rPr>
                <w:rFonts w:ascii="Times New Roman" w:hAnsi="Times New Roman" w:eastAsia="宋体"/>
                <w:b w:val="0"/>
                <w:sz w:val="17"/>
              </w:rPr>
              <w:t>讲授、架构图解、制造案例、概念对比、课堂讨论</w:t>
            </w:r>
          </w:p>
        </w:tc>
        <w:tc>
          <w:tcPr>
            <w:tcW w:type="dxa" w:w="12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1.1，2.1，3.1</w:t>
            </w:r>
          </w:p>
        </w:tc>
      </w:tr>
      <w:tr>
        <w:trPr>
          <w:cantSplit/>
        </w:trPr>
        <w:tc>
          <w:tcPr>
            <w:tcW w:type="dxa" w:w="13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第二单元 感知、识别与设备数据</w:t>
            </w:r>
          </w:p>
        </w:tc>
        <w:tc>
          <w:tcPr>
            <w:tcW w:type="dxa" w:w="19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传感器与执行器；采样、量程、精度、分辨率和校准；温度、振动、电流、位置等制造数据；RFID/EPC、二维码和定位；无线传感器网络节点与拓扑；时间戳、单位、缺失、异常和数据质量</w:t>
            </w:r>
          </w:p>
        </w:tc>
        <w:tc>
          <w:tcPr>
            <w:tcW w:type="dxa" w:w="6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6</w:t>
            </w:r>
          </w:p>
        </w:tc>
        <w:tc>
          <w:tcPr>
            <w:tcW w:type="dxa" w:w="40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思政融入点：</w:t>
            </w:r>
            <w:r>
              <w:rPr>
                <w:rFonts w:ascii="Times New Roman" w:hAnsi="Times New Roman" w:eastAsia="宋体"/>
                <w:b w:val="0"/>
                <w:sz w:val="17"/>
              </w:rPr>
              <w:t>通过数据失真和设备误判案例强调测量诚信、质量责任和“数据必须有来源、单位和校准依据”的工程底线。</w:t>
            </w:r>
          </w:p>
          <w:p>
            <w:pPr>
              <w:spacing w:line="269" w:lineRule="auto" w:before="0" w:after="0"/>
              <w:jc w:val="left"/>
            </w:pPr>
            <w:r>
              <w:rPr>
                <w:rFonts w:ascii="Times New Roman" w:hAnsi="Times New Roman" w:eastAsia="宋体"/>
                <w:b/>
                <w:sz w:val="17"/>
              </w:rPr>
              <w:t>预期学习成果：</w:t>
            </w:r>
            <w:r>
              <w:rPr>
                <w:rFonts w:ascii="Times New Roman" w:hAnsi="Times New Roman" w:eastAsia="宋体"/>
                <w:b w:val="0"/>
                <w:sz w:val="17"/>
              </w:rPr>
              <w:t>知识层面：掌握感知、标识与数据质量基础。</w:t>
            </w:r>
          </w:p>
          <w:p>
            <w:pPr>
              <w:spacing w:line="269" w:lineRule="auto" w:before="0" w:after="0"/>
              <w:jc w:val="left"/>
            </w:pPr>
            <w:r>
              <w:rPr>
                <w:rFonts w:ascii="Times New Roman" w:hAnsi="Times New Roman" w:eastAsia="宋体"/>
                <w:b w:val="0"/>
                <w:sz w:val="17"/>
              </w:rPr>
              <w:t>能力层面：能够选择感知方式并设计基本数据字段与采集链。</w:t>
            </w:r>
          </w:p>
          <w:p>
            <w:pPr>
              <w:spacing w:line="269" w:lineRule="auto" w:before="0" w:after="0"/>
              <w:jc w:val="left"/>
            </w:pPr>
            <w:r>
              <w:rPr>
                <w:rFonts w:ascii="Times New Roman" w:hAnsi="Times New Roman" w:eastAsia="宋体"/>
                <w:b w:val="0"/>
                <w:sz w:val="17"/>
              </w:rPr>
              <w:t>素养层面：形成尊重原始数据、误差和校准证据的态度。</w:t>
            </w:r>
          </w:p>
          <w:p>
            <w:pPr>
              <w:spacing w:line="269" w:lineRule="auto" w:before="0" w:after="0"/>
              <w:jc w:val="left"/>
            </w:pPr>
            <w:r>
              <w:rPr>
                <w:rFonts w:ascii="Times New Roman" w:hAnsi="Times New Roman" w:eastAsia="宋体"/>
                <w:b/>
                <w:sz w:val="17"/>
              </w:rPr>
              <w:t>教学方式：</w:t>
            </w:r>
            <w:r>
              <w:rPr>
                <w:rFonts w:ascii="Times New Roman" w:hAnsi="Times New Roman" w:eastAsia="宋体"/>
                <w:b w:val="0"/>
                <w:sz w:val="17"/>
              </w:rPr>
              <w:t>讲授、传感案例、数据样例、识别流程、方案比较</w:t>
            </w:r>
          </w:p>
        </w:tc>
        <w:tc>
          <w:tcPr>
            <w:tcW w:type="dxa" w:w="12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1.2，2.2，3.2</w:t>
            </w:r>
          </w:p>
        </w:tc>
      </w:tr>
      <w:tr>
        <w:trPr>
          <w:cantSplit/>
        </w:trPr>
        <w:tc>
          <w:tcPr>
            <w:tcW w:type="dxa" w:w="13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第三单元 连接技术、网络与组网</w:t>
            </w:r>
          </w:p>
        </w:tc>
        <w:tc>
          <w:tcPr>
            <w:tcW w:type="dxa" w:w="19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TCP/IP与IPv6基础；6LoWPAN概念；Wi-Fi、蓝牙低功耗、Zigbee/Thread；LoRaWAN；NB-IoT与蜂窝物联；拓扑、寻址、网关；覆盖、速率、功耗、时延、可靠性、容量、干扰和成本；有线/无线混合接入</w:t>
            </w:r>
          </w:p>
        </w:tc>
        <w:tc>
          <w:tcPr>
            <w:tcW w:type="dxa" w:w="6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6</w:t>
            </w:r>
          </w:p>
        </w:tc>
        <w:tc>
          <w:tcPr>
            <w:tcW w:type="dxa" w:w="40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思政融入点：</w:t>
            </w:r>
            <w:r>
              <w:rPr>
                <w:rFonts w:ascii="Times New Roman" w:hAnsi="Times New Roman" w:eastAsia="宋体"/>
                <w:b w:val="0"/>
                <w:sz w:val="17"/>
              </w:rPr>
              <w:t>通过频谱资源、网络可靠性和生产现场干扰案例，培养遵守通信规范、节约资源和对连接失效后果负责的意识。</w:t>
            </w:r>
          </w:p>
          <w:p>
            <w:pPr>
              <w:spacing w:line="269" w:lineRule="auto" w:before="0" w:after="0"/>
              <w:jc w:val="left"/>
            </w:pPr>
            <w:r>
              <w:rPr>
                <w:rFonts w:ascii="Times New Roman" w:hAnsi="Times New Roman" w:eastAsia="宋体"/>
                <w:b/>
                <w:sz w:val="17"/>
              </w:rPr>
              <w:t>预期学习成果：</w:t>
            </w:r>
            <w:r>
              <w:rPr>
                <w:rFonts w:ascii="Times New Roman" w:hAnsi="Times New Roman" w:eastAsia="宋体"/>
                <w:b w:val="0"/>
                <w:sz w:val="17"/>
              </w:rPr>
              <w:t>知识层面：理解主要连接技术及其适用场景。</w:t>
            </w:r>
          </w:p>
          <w:p>
            <w:pPr>
              <w:spacing w:line="269" w:lineRule="auto" w:before="0" w:after="0"/>
              <w:jc w:val="left"/>
            </w:pPr>
            <w:r>
              <w:rPr>
                <w:rFonts w:ascii="Times New Roman" w:hAnsi="Times New Roman" w:eastAsia="宋体"/>
                <w:b w:val="0"/>
                <w:sz w:val="17"/>
              </w:rPr>
              <w:t>能力层面：能够基于工程指标进行组网与技术选型。</w:t>
            </w:r>
          </w:p>
          <w:p>
            <w:pPr>
              <w:spacing w:line="269" w:lineRule="auto" w:before="0" w:after="0"/>
              <w:jc w:val="left"/>
            </w:pPr>
            <w:r>
              <w:rPr>
                <w:rFonts w:ascii="Times New Roman" w:hAnsi="Times New Roman" w:eastAsia="宋体"/>
                <w:b w:val="0"/>
                <w:sz w:val="17"/>
              </w:rPr>
              <w:t>素养层面：形成综合权衡、边界验证和资源责任意识。</w:t>
            </w:r>
          </w:p>
          <w:p>
            <w:pPr>
              <w:spacing w:line="269" w:lineRule="auto" w:before="0" w:after="0"/>
              <w:jc w:val="left"/>
            </w:pPr>
            <w:r>
              <w:rPr>
                <w:rFonts w:ascii="Times New Roman" w:hAnsi="Times New Roman" w:eastAsia="宋体"/>
                <w:b/>
                <w:sz w:val="17"/>
              </w:rPr>
              <w:t>教学方式：</w:t>
            </w:r>
            <w:r>
              <w:rPr>
                <w:rFonts w:ascii="Times New Roman" w:hAnsi="Times New Roman" w:eastAsia="宋体"/>
                <w:b w:val="0"/>
                <w:sz w:val="17"/>
              </w:rPr>
              <w:t>讲授、协议栈图、链路预算概念、技术选型矩阵、故障场景分析</w:t>
            </w:r>
          </w:p>
        </w:tc>
        <w:tc>
          <w:tcPr>
            <w:tcW w:type="dxa" w:w="12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1.3，2.3，3.3</w:t>
            </w:r>
          </w:p>
        </w:tc>
      </w:tr>
      <w:tr>
        <w:trPr>
          <w:cantSplit/>
        </w:trPr>
        <w:tc>
          <w:tcPr>
            <w:tcW w:type="dxa" w:w="13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第四单元 应用协议、边缘计算与物联网平台</w:t>
            </w:r>
          </w:p>
        </w:tc>
        <w:tc>
          <w:tcPr>
            <w:tcW w:type="dxa" w:w="19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MQTT发布/订阅、主题与QoS；CoAP资源与请求响应；HTTP/REST；JSON与数据模型；设备注册、影子/状态、命令、事件和规则；边缘网关、缓存、过滤和聚合；云平台、时序数据、可视化与告警；Python设备模拟与报文演示</w:t>
            </w:r>
          </w:p>
        </w:tc>
        <w:tc>
          <w:tcPr>
            <w:tcW w:type="dxa" w:w="6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6</w:t>
            </w:r>
          </w:p>
        </w:tc>
        <w:tc>
          <w:tcPr>
            <w:tcW w:type="dxa" w:w="40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思政融入点：</w:t>
            </w:r>
            <w:r>
              <w:rPr>
                <w:rFonts w:ascii="Times New Roman" w:hAnsi="Times New Roman" w:eastAsia="宋体"/>
                <w:b w:val="0"/>
                <w:sz w:val="17"/>
              </w:rPr>
              <w:t>通过数据字段歧义、离线重连和平台告警案例，培养接口契约、数据可追溯和对自动规则结果负责的意识。</w:t>
            </w:r>
          </w:p>
          <w:p>
            <w:pPr>
              <w:spacing w:line="269" w:lineRule="auto" w:before="0" w:after="0"/>
              <w:jc w:val="left"/>
            </w:pPr>
            <w:r>
              <w:rPr>
                <w:rFonts w:ascii="Times New Roman" w:hAnsi="Times New Roman" w:eastAsia="宋体"/>
                <w:b/>
                <w:sz w:val="17"/>
              </w:rPr>
              <w:t>预期学习成果：</w:t>
            </w:r>
            <w:r>
              <w:rPr>
                <w:rFonts w:ascii="Times New Roman" w:hAnsi="Times New Roman" w:eastAsia="宋体"/>
                <w:b w:val="0"/>
                <w:sz w:val="17"/>
              </w:rPr>
              <w:t>知识层面：掌握消息协议、设备模型和端—边—云数据处理。</w:t>
            </w:r>
          </w:p>
          <w:p>
            <w:pPr>
              <w:spacing w:line="269" w:lineRule="auto" w:before="0" w:after="0"/>
              <w:jc w:val="left"/>
            </w:pPr>
            <w:r>
              <w:rPr>
                <w:rFonts w:ascii="Times New Roman" w:hAnsi="Times New Roman" w:eastAsia="宋体"/>
                <w:b w:val="0"/>
                <w:sz w:val="17"/>
              </w:rPr>
              <w:t>能力层面：能够设计主题/资源、数据点、消息流和处理分工。</w:t>
            </w:r>
          </w:p>
          <w:p>
            <w:pPr>
              <w:spacing w:line="269" w:lineRule="auto" w:before="0" w:after="0"/>
              <w:jc w:val="left"/>
            </w:pPr>
            <w:r>
              <w:rPr>
                <w:rFonts w:ascii="Times New Roman" w:hAnsi="Times New Roman" w:eastAsia="宋体"/>
                <w:b w:val="0"/>
                <w:sz w:val="17"/>
              </w:rPr>
              <w:t>素养层面：形成命名、单位、时间、版本和接口文档规范。</w:t>
            </w:r>
          </w:p>
          <w:p>
            <w:pPr>
              <w:spacing w:line="269" w:lineRule="auto" w:before="0" w:after="0"/>
              <w:jc w:val="left"/>
            </w:pPr>
            <w:r>
              <w:rPr>
                <w:rFonts w:ascii="Times New Roman" w:hAnsi="Times New Roman" w:eastAsia="宋体"/>
                <w:b/>
                <w:sz w:val="17"/>
              </w:rPr>
              <w:t>教学方式：</w:t>
            </w:r>
            <w:r>
              <w:rPr>
                <w:rFonts w:ascii="Times New Roman" w:hAnsi="Times New Roman" w:eastAsia="宋体"/>
                <w:b w:val="0"/>
                <w:sz w:val="17"/>
              </w:rPr>
              <w:t>讲授、报文图解、MQTT/Node-RED教师演示、主题树设计、时序图评审</w:t>
            </w:r>
          </w:p>
        </w:tc>
        <w:tc>
          <w:tcPr>
            <w:tcW w:type="dxa" w:w="12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1.4，2.4，3.4</w:t>
            </w:r>
          </w:p>
        </w:tc>
      </w:tr>
      <w:tr>
        <w:trPr>
          <w:cantSplit/>
        </w:trPr>
        <w:tc>
          <w:tcPr>
            <w:tcW w:type="dxa" w:w="13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第五单元 工业物联网与智能制造集成</w:t>
            </w:r>
          </w:p>
        </w:tc>
        <w:tc>
          <w:tcPr>
            <w:tcW w:type="dxa" w:w="19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工业物联网架构；现场设备与工业网关；Modbus TCP、OPC UA与协议转换；设备模型与信息语义；数据采集、时序数据库、规则与告警；设备状态监测、能耗、质量追溯、仓储物流和预测维护；数字孪生概念；与MES/平台接口；互操作与故障隔离</w:t>
            </w:r>
          </w:p>
        </w:tc>
        <w:tc>
          <w:tcPr>
            <w:tcW w:type="dxa" w:w="6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6</w:t>
            </w:r>
          </w:p>
        </w:tc>
        <w:tc>
          <w:tcPr>
            <w:tcW w:type="dxa" w:w="40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思政融入点：</w:t>
            </w:r>
            <w:r>
              <w:rPr>
                <w:rFonts w:ascii="Times New Roman" w:hAnsi="Times New Roman" w:eastAsia="宋体"/>
                <w:b w:val="0"/>
                <w:sz w:val="17"/>
              </w:rPr>
              <w:t>通过生产安全、设备停机和数据孤岛案例，强化标准互操作、系统可靠性、跨专业协作和面向实际价值的工程意识。</w:t>
            </w:r>
          </w:p>
          <w:p>
            <w:pPr>
              <w:spacing w:line="269" w:lineRule="auto" w:before="0" w:after="0"/>
              <w:jc w:val="left"/>
            </w:pPr>
            <w:r>
              <w:rPr>
                <w:rFonts w:ascii="Times New Roman" w:hAnsi="Times New Roman" w:eastAsia="宋体"/>
                <w:b/>
                <w:sz w:val="17"/>
              </w:rPr>
              <w:t>预期学习成果：</w:t>
            </w:r>
            <w:r>
              <w:rPr>
                <w:rFonts w:ascii="Times New Roman" w:hAnsi="Times New Roman" w:eastAsia="宋体"/>
                <w:b w:val="0"/>
                <w:sz w:val="17"/>
              </w:rPr>
              <w:t>知识层面：理解工业网关、工业协议与制造平台集成。</w:t>
            </w:r>
          </w:p>
          <w:p>
            <w:pPr>
              <w:spacing w:line="269" w:lineRule="auto" w:before="0" w:after="0"/>
              <w:jc w:val="left"/>
            </w:pPr>
            <w:r>
              <w:rPr>
                <w:rFonts w:ascii="Times New Roman" w:hAnsi="Times New Roman" w:eastAsia="宋体"/>
                <w:b w:val="0"/>
                <w:sz w:val="17"/>
              </w:rPr>
              <w:t>能力层面：能够设计制造场景的端到端物联网方案并分析故障传播。</w:t>
            </w:r>
          </w:p>
          <w:p>
            <w:pPr>
              <w:spacing w:line="269" w:lineRule="auto" w:before="0" w:after="0"/>
              <w:jc w:val="left"/>
            </w:pPr>
            <w:r>
              <w:rPr>
                <w:rFonts w:ascii="Times New Roman" w:hAnsi="Times New Roman" w:eastAsia="宋体"/>
                <w:b w:val="0"/>
                <w:sz w:val="17"/>
              </w:rPr>
              <w:t>素养层面：形成接口先行、协同沟通和系统可靠性意识。</w:t>
            </w:r>
          </w:p>
          <w:p>
            <w:pPr>
              <w:spacing w:line="269" w:lineRule="auto" w:before="0" w:after="0"/>
              <w:jc w:val="left"/>
            </w:pPr>
            <w:r>
              <w:rPr>
                <w:rFonts w:ascii="Times New Roman" w:hAnsi="Times New Roman" w:eastAsia="宋体"/>
                <w:b/>
                <w:sz w:val="17"/>
              </w:rPr>
              <w:t>教学方式：</w:t>
            </w:r>
            <w:r>
              <w:rPr>
                <w:rFonts w:ascii="Times New Roman" w:hAnsi="Times New Roman" w:eastAsia="宋体"/>
                <w:b w:val="0"/>
                <w:sz w:val="17"/>
              </w:rPr>
              <w:t>讲授、制造案例、数据点表、架构/接口图、方案评审</w:t>
            </w:r>
          </w:p>
        </w:tc>
        <w:tc>
          <w:tcPr>
            <w:tcW w:type="dxa" w:w="12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1.5，2.5，3.1，3.4</w:t>
            </w:r>
          </w:p>
        </w:tc>
      </w:tr>
      <w:tr>
        <w:trPr>
          <w:cantSplit/>
        </w:trPr>
        <w:tc>
          <w:tcPr>
            <w:tcW w:type="dxa" w:w="13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第六单元 物联网安全、治理与综合方案</w:t>
            </w:r>
          </w:p>
        </w:tc>
        <w:tc>
          <w:tcPr>
            <w:tcW w:type="dxa" w:w="19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安全目标与资产；设备身份、认证与访问控制；通信加密与密钥；固件与安全更新；网络分区、网关和平台权限；数据隐私、日志和运维；弱口令、伪造设备、越权、拒绝服务与供应链风险；方案成本、可靠性、可维护性和技术演进评价</w:t>
            </w:r>
          </w:p>
        </w:tc>
        <w:tc>
          <w:tcPr>
            <w:tcW w:type="dxa" w:w="6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4</w:t>
            </w:r>
          </w:p>
        </w:tc>
        <w:tc>
          <w:tcPr>
            <w:tcW w:type="dxa" w:w="40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sz w:val="17"/>
              </w:rPr>
              <w:t>思政融入点：</w:t>
            </w:r>
            <w:r>
              <w:rPr>
                <w:rFonts w:ascii="Times New Roman" w:hAnsi="Times New Roman" w:eastAsia="宋体"/>
                <w:b w:val="0"/>
                <w:sz w:val="17"/>
              </w:rPr>
              <w:t>结合物联网安全、隐私和生产影响案例，培养守法合规、最小权限、风险披露和技术人员最终责任意识。</w:t>
            </w:r>
          </w:p>
          <w:p>
            <w:pPr>
              <w:spacing w:line="269" w:lineRule="auto" w:before="0" w:after="0"/>
              <w:jc w:val="left"/>
            </w:pPr>
            <w:r>
              <w:rPr>
                <w:rFonts w:ascii="Times New Roman" w:hAnsi="Times New Roman" w:eastAsia="宋体"/>
                <w:b/>
                <w:sz w:val="17"/>
              </w:rPr>
              <w:t>预期学习成果：</w:t>
            </w:r>
            <w:r>
              <w:rPr>
                <w:rFonts w:ascii="Times New Roman" w:hAnsi="Times New Roman" w:eastAsia="宋体"/>
                <w:b w:val="0"/>
                <w:sz w:val="17"/>
              </w:rPr>
              <w:t>知识层面：掌握物联网分层风险和基础安全措施。</w:t>
            </w:r>
          </w:p>
          <w:p>
            <w:pPr>
              <w:spacing w:line="269" w:lineRule="auto" w:before="0" w:after="0"/>
              <w:jc w:val="left"/>
            </w:pPr>
            <w:r>
              <w:rPr>
                <w:rFonts w:ascii="Times New Roman" w:hAnsi="Times New Roman" w:eastAsia="宋体"/>
                <w:b w:val="0"/>
                <w:sz w:val="17"/>
              </w:rPr>
              <w:t>能力层面：能够完成威胁、控制措施和剩余风险分析并综合评价方案。</w:t>
            </w:r>
          </w:p>
          <w:p>
            <w:pPr>
              <w:spacing w:line="269" w:lineRule="auto" w:before="0" w:after="0"/>
              <w:jc w:val="left"/>
            </w:pPr>
            <w:r>
              <w:rPr>
                <w:rFonts w:ascii="Times New Roman" w:hAnsi="Times New Roman" w:eastAsia="宋体"/>
                <w:b w:val="0"/>
                <w:sz w:val="17"/>
              </w:rPr>
              <w:t>素养层面：形成安全、隐私、持续学习和独立验证意识。</w:t>
            </w:r>
          </w:p>
          <w:p>
            <w:pPr>
              <w:spacing w:line="269" w:lineRule="auto" w:before="0" w:after="0"/>
              <w:jc w:val="left"/>
            </w:pPr>
            <w:r>
              <w:rPr>
                <w:rFonts w:ascii="Times New Roman" w:hAnsi="Times New Roman" w:eastAsia="宋体"/>
                <w:b/>
                <w:sz w:val="17"/>
              </w:rPr>
              <w:t>教学方式：</w:t>
            </w:r>
            <w:r>
              <w:rPr>
                <w:rFonts w:ascii="Times New Roman" w:hAnsi="Times New Roman" w:eastAsia="宋体"/>
                <w:b w:val="0"/>
                <w:sz w:val="17"/>
              </w:rPr>
              <w:t>讲授、安全案例、威胁建模、综合方案评审、个人答辩</w:t>
            </w:r>
          </w:p>
        </w:tc>
        <w:tc>
          <w:tcPr>
            <w:tcW w:type="dxa" w:w="12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1.6，2.6，3.5，3.6</w:t>
            </w:r>
          </w:p>
        </w:tc>
      </w:tr>
    </w:tbl>
    <w:p>
      <w:pPr>
        <w:keepNext/>
        <w:spacing w:line="283" w:lineRule="auto" w:before="60" w:after="20"/>
      </w:pPr>
      <w:r>
        <w:rPr>
          <w:rFonts w:ascii="Times New Roman" w:hAnsi="Times New Roman" w:eastAsia="宋体"/>
          <w:b/>
          <w:sz w:val="21"/>
        </w:rPr>
        <w:t>理论总学时：32 学时。</w:t>
      </w:r>
    </w:p>
    <w:p>
      <w:pPr>
        <w:keepNext/>
        <w:spacing w:line="283" w:lineRule="auto" w:before="100" w:after="60"/>
      </w:pPr>
      <w:r>
        <w:rPr>
          <w:rFonts w:ascii="Times New Roman" w:hAnsi="Times New Roman" w:eastAsia="黑体"/>
          <w:b/>
          <w:sz w:val="28"/>
        </w:rPr>
        <w:t>四、课程评价</w:t>
      </w:r>
    </w:p>
    <w:p>
      <w:pPr>
        <w:keepNext/>
        <w:spacing w:line="283" w:lineRule="auto" w:before="80" w:after="40"/>
      </w:pPr>
      <w:r>
        <w:rPr>
          <w:rFonts w:ascii="Times New Roman" w:hAnsi="Times New Roman" w:eastAsia="宋体"/>
          <w:b/>
          <w:sz w:val="24"/>
        </w:rPr>
        <w:t>（一）考核内容、考核方式与课程目标对应关系</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93"/>
        <w:gridCol w:w="1293"/>
        <w:gridCol w:w="1293"/>
        <w:gridCol w:w="1293"/>
        <w:gridCol w:w="1293"/>
        <w:gridCol w:w="1293"/>
        <w:gridCol w:w="1296"/>
      </w:tblGrid>
      <w:tr>
        <w:trPr>
          <w:tblHeader w:val="true"/>
          <w:cantSplit/>
        </w:trPr>
        <w:tc>
          <w:tcPr>
            <w:tcW w:type="dxa" w:w="129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考核内容</w:t>
            </w:r>
          </w:p>
        </w:tc>
        <w:tc>
          <w:tcPr>
            <w:tcW w:type="dxa" w:w="129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总学时</w:t>
            </w:r>
          </w:p>
        </w:tc>
        <w:tc>
          <w:tcPr>
            <w:tcW w:type="dxa" w:w="129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理论学时</w:t>
            </w:r>
          </w:p>
        </w:tc>
        <w:tc>
          <w:tcPr>
            <w:tcW w:type="dxa" w:w="129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平时成绩（20%）</w:t>
            </w:r>
          </w:p>
        </w:tc>
        <w:tc>
          <w:tcPr>
            <w:tcW w:type="dxa" w:w="129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课程作业（20%）</w:t>
            </w:r>
          </w:p>
        </w:tc>
        <w:tc>
          <w:tcPr>
            <w:tcW w:type="dxa" w:w="129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期末考核（60%）</w:t>
            </w:r>
          </w:p>
        </w:tc>
        <w:tc>
          <w:tcPr>
            <w:tcW w:type="dxa" w:w="1296"/>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rPr>
          <w:cantSplit/>
        </w:trP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第一单元 体系结构与标准化</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4</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4</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10%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15%</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10%</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1.1，2.1，3.1</w:t>
            </w:r>
          </w:p>
        </w:tc>
      </w:tr>
      <w:tr>
        <w:trPr>
          <w:cantSplit/>
        </w:trP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第二单元 感知、识别与设备数据</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6</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6</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15%</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20%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15%</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1.2，2.2，3.2</w:t>
            </w:r>
          </w:p>
        </w:tc>
      </w:tr>
      <w:tr>
        <w:trPr>
          <w:cantSplit/>
        </w:trP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第三单元 连接技术与组网</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6</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6</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15%</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20%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20%</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1.3，2.3，3.3</w:t>
            </w:r>
          </w:p>
        </w:tc>
      </w:tr>
      <w:tr>
        <w:trPr>
          <w:cantSplit/>
        </w:trP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第四单元 应用协议与平台</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6</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6</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20%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20%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20%</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1.4，2.4，3.4</w:t>
            </w:r>
          </w:p>
        </w:tc>
      </w:tr>
      <w:tr>
        <w:trPr>
          <w:cantSplit/>
        </w:trP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第五单元 工业物联网与集成</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6</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6</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20%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15%</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20%</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1.5，2.5，3.1，3.4</w:t>
            </w:r>
          </w:p>
        </w:tc>
      </w:tr>
      <w:tr>
        <w:trPr>
          <w:cantSplit/>
        </w:trP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第六单元 安全、治理与综合方案</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4</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4</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20%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10%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15%</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1.6，2.6，3.5，3.6</w:t>
            </w:r>
          </w:p>
        </w:tc>
      </w:tr>
      <w:tr>
        <w:trPr>
          <w:cantSplit/>
        </w:trP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合计</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32</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32</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100%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100%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100%</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w:t>
            </w:r>
          </w:p>
        </w:tc>
      </w:tr>
    </w:tbl>
    <w:p>
      <w:pPr>
        <w:keepNext/>
        <w:spacing w:line="283" w:lineRule="auto" w:before="80" w:after="40"/>
      </w:pPr>
      <w:r>
        <w:rPr>
          <w:rFonts w:ascii="Times New Roman" w:hAnsi="Times New Roman" w:eastAsia="宋体"/>
          <w:b/>
          <w:sz w:val="24"/>
        </w:rPr>
        <w:t>（二）考核方式与评分标准</w:t>
      </w:r>
    </w:p>
    <w:p>
      <w:pPr>
        <w:keepNext/>
        <w:spacing w:line="283" w:lineRule="auto" w:before="60" w:after="20"/>
      </w:pPr>
      <w:r>
        <w:rPr>
          <w:rFonts w:ascii="Times New Roman" w:hAnsi="Times New Roman" w:eastAsia="宋体"/>
          <w:b/>
          <w:sz w:val="21"/>
        </w:rPr>
        <w:t>1.考核方式</w:t>
      </w:r>
    </w:p>
    <w:p>
      <w:pPr>
        <w:spacing w:line="283" w:lineRule="auto" w:before="0" w:after="20"/>
        <w:ind w:firstLine="420"/>
        <w:jc w:val="left"/>
      </w:pPr>
      <w:r>
        <w:rPr>
          <w:rFonts w:ascii="Times New Roman" w:hAnsi="Times New Roman" w:eastAsia="宋体"/>
          <w:b w:val="0"/>
          <w:sz w:val="21"/>
        </w:rPr>
        <w:t>考查。</w:t>
      </w:r>
    </w:p>
    <w:p>
      <w:pPr>
        <w:keepNext/>
        <w:spacing w:line="283" w:lineRule="auto" w:before="60" w:after="20"/>
      </w:pPr>
      <w:r>
        <w:rPr>
          <w:rFonts w:ascii="Times New Roman" w:hAnsi="Times New Roman" w:eastAsia="宋体"/>
          <w:b/>
          <w:sz w:val="21"/>
        </w:rPr>
        <w:t>2.评分说明</w:t>
      </w:r>
    </w:p>
    <w:p>
      <w:pPr>
        <w:spacing w:line="283" w:lineRule="auto" w:before="0" w:after="20"/>
        <w:ind w:firstLine="420"/>
        <w:jc w:val="left"/>
      </w:pPr>
      <w:r>
        <w:rPr>
          <w:rFonts w:ascii="Times New Roman" w:hAnsi="Times New Roman" w:eastAsia="宋体"/>
          <w:b w:val="0"/>
          <w:sz w:val="21"/>
        </w:rPr>
        <w:t>本课程采用平时成绩、课程作业和期末考核相结合的方式。最终成绩100%=平时成绩20%＋课程作业20%＋期末考核60%。课程作业继续按六个教学单元形成架构、感知、组网、协议、工业集成和安全分析成果；期末考核保持课程原有综合考查性质，以“智能制造物联网系统方案”为载体，采用综合方案成果、汇报答辩与个人核验相结合的方式，不另设笔试或机考。期末方案可2—3人组队完成总体方案，但须提交个人负责内容并通过个人问答核验。</w:t>
      </w:r>
    </w:p>
    <w:p>
      <w:pPr>
        <w:keepNext/>
        <w:spacing w:line="283" w:lineRule="auto" w:before="60" w:after="20"/>
      </w:pPr>
      <w:r>
        <w:rPr>
          <w:rFonts w:ascii="Times New Roman" w:hAnsi="Times New Roman" w:eastAsia="宋体"/>
          <w:b/>
          <w:sz w:val="21"/>
        </w:rPr>
        <w:t>3.评分标准分项说明</w:t>
      </w:r>
    </w:p>
    <w:p>
      <w:pPr>
        <w:keepNext/>
        <w:spacing w:line="283" w:lineRule="auto" w:before="60" w:after="20"/>
      </w:pPr>
      <w:r>
        <w:rPr>
          <w:rFonts w:ascii="Times New Roman" w:hAnsi="Times New Roman" w:eastAsia="宋体"/>
          <w:b/>
          <w:sz w:val="21"/>
        </w:rPr>
        <w:t>（1）平时成绩评分标准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00"/>
        <w:gridCol w:w="700"/>
        <w:gridCol w:w="1451"/>
        <w:gridCol w:w="1451"/>
        <w:gridCol w:w="1451"/>
        <w:gridCol w:w="1451"/>
        <w:gridCol w:w="1450"/>
      </w:tblGrid>
      <w:tr>
        <w:trPr>
          <w:tblHeader w:val="true"/>
          <w:cantSplit/>
        </w:trPr>
        <w:tc>
          <w:tcPr>
            <w:tcW w:type="dxa" w:w="1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评分指标</w:t>
            </w:r>
          </w:p>
        </w:tc>
        <w:tc>
          <w:tcPr>
            <w:tcW w:type="dxa" w:w="7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指标权重</w:t>
            </w:r>
          </w:p>
        </w:tc>
        <w:tc>
          <w:tcPr>
            <w:tcW w:type="dxa" w:w="145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90–100（优）</w:t>
            </w:r>
          </w:p>
        </w:tc>
        <w:tc>
          <w:tcPr>
            <w:tcW w:type="dxa" w:w="145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80–89（良）</w:t>
            </w:r>
          </w:p>
        </w:tc>
        <w:tc>
          <w:tcPr>
            <w:tcW w:type="dxa" w:w="145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70–79（中）</w:t>
            </w:r>
          </w:p>
        </w:tc>
        <w:tc>
          <w:tcPr>
            <w:tcW w:type="dxa" w:w="145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60–69（及格）</w:t>
            </w:r>
          </w:p>
        </w:tc>
        <w:tc>
          <w:tcPr>
            <w:tcW w:type="dxa" w:w="145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0–59（不及格）</w:t>
            </w:r>
          </w:p>
        </w:tc>
      </w:tr>
      <w:tr>
        <w:trPr>
          <w:cantSplit/>
        </w:trPr>
        <w:tc>
          <w:tcPr>
            <w:tcW w:type="dxa" w:w="1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考勤与课堂规范</w:t>
            </w:r>
          </w:p>
        </w:tc>
        <w:tc>
          <w:tcPr>
            <w:tcW w:type="dxa" w:w="7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30%</w:t>
            </w:r>
          </w:p>
        </w:tc>
        <w:tc>
          <w:tcPr>
            <w:tcW w:type="dxa" w:w="1451"/>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出勤完整，严格遵守课堂、网络、数据和信息安全规范</w:t>
            </w:r>
          </w:p>
        </w:tc>
        <w:tc>
          <w:tcPr>
            <w:tcW w:type="dxa" w:w="1451"/>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出勤良好，偶有轻微迟到或规范疏漏</w:t>
            </w:r>
          </w:p>
        </w:tc>
        <w:tc>
          <w:tcPr>
            <w:tcW w:type="dxa" w:w="1451"/>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出勤基本正常，能够遵守主要规范</w:t>
            </w:r>
          </w:p>
        </w:tc>
        <w:tc>
          <w:tcPr>
            <w:tcW w:type="dxa" w:w="1451"/>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达到最低出勤要求，经提醒能遵守规范</w:t>
            </w:r>
          </w:p>
        </w:tc>
        <w:tc>
          <w:tcPr>
            <w:tcW w:type="dxa" w:w="14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缺勤较多或多次违反课堂、数据或安全规范</w:t>
            </w:r>
          </w:p>
        </w:tc>
      </w:tr>
      <w:tr>
        <w:trPr>
          <w:cantSplit/>
        </w:trPr>
        <w:tc>
          <w:tcPr>
            <w:tcW w:type="dxa" w:w="1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课堂参与与技术分析</w:t>
            </w:r>
          </w:p>
        </w:tc>
        <w:tc>
          <w:tcPr>
            <w:tcW w:type="dxa" w:w="7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30%</w:t>
            </w:r>
          </w:p>
        </w:tc>
        <w:tc>
          <w:tcPr>
            <w:tcW w:type="dxa" w:w="1451"/>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主动参与架构、协议和案例分析，能够用指标和证据说明观点</w:t>
            </w:r>
          </w:p>
        </w:tc>
        <w:tc>
          <w:tcPr>
            <w:tcW w:type="dxa" w:w="1451"/>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能够参与主要活动并较清楚说明思路</w:t>
            </w:r>
          </w:p>
        </w:tc>
        <w:tc>
          <w:tcPr>
            <w:tcW w:type="dxa" w:w="1451"/>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基本参与课堂任务并完成主要要求</w:t>
            </w:r>
          </w:p>
        </w:tc>
        <w:tc>
          <w:tcPr>
            <w:tcW w:type="dxa" w:w="1451"/>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经提醒可参与并完成基础要求</w:t>
            </w:r>
          </w:p>
        </w:tc>
        <w:tc>
          <w:tcPr>
            <w:tcW w:type="dxa" w:w="14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长期不参与或无法完成基本分析</w:t>
            </w:r>
          </w:p>
        </w:tc>
      </w:tr>
      <w:tr>
        <w:trPr>
          <w:cantSplit/>
        </w:trPr>
        <w:tc>
          <w:tcPr>
            <w:tcW w:type="dxa" w:w="1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学习记录与技术表达</w:t>
            </w:r>
          </w:p>
        </w:tc>
        <w:tc>
          <w:tcPr>
            <w:tcW w:type="dxa" w:w="7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40%</w:t>
            </w:r>
          </w:p>
        </w:tc>
        <w:tc>
          <w:tcPr>
            <w:tcW w:type="dxa" w:w="1451"/>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架构图、协议表、数据字典、来源和反思记录完整、规范、可复核</w:t>
            </w:r>
          </w:p>
        </w:tc>
        <w:tc>
          <w:tcPr>
            <w:tcW w:type="dxa" w:w="1451"/>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记录较完整，少量问题可自主修正</w:t>
            </w:r>
          </w:p>
        </w:tc>
        <w:tc>
          <w:tcPr>
            <w:tcW w:type="dxa" w:w="1451"/>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完成主要记录并有基本依据</w:t>
            </w:r>
          </w:p>
        </w:tc>
        <w:tc>
          <w:tcPr>
            <w:tcW w:type="dxa" w:w="1451"/>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在指导下达到最低记录和提交要求</w:t>
            </w:r>
          </w:p>
        </w:tc>
        <w:tc>
          <w:tcPr>
            <w:tcW w:type="dxa" w:w="145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大量缺交、无依据或结果无法解释</w:t>
            </w:r>
          </w:p>
        </w:tc>
      </w:tr>
    </w:tbl>
    <w:p>
      <w:pPr>
        <w:keepNext/>
        <w:spacing w:line="283" w:lineRule="auto" w:before="60" w:after="20"/>
      </w:pPr>
      <w:r>
        <w:rPr>
          <w:rFonts w:ascii="Times New Roman" w:hAnsi="Times New Roman" w:eastAsia="宋体"/>
          <w:b/>
          <w:sz w:val="21"/>
        </w:rPr>
        <w:t>（2）课程作业评分标准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考核内容</w:t>
            </w:r>
          </w:p>
        </w:tc>
        <w:tc>
          <w:tcPr>
            <w:tcW w:type="dxa" w:w="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成绩占比</w:t>
            </w:r>
          </w:p>
        </w:tc>
        <w:tc>
          <w:tcPr>
            <w:tcW w:type="dxa" w:w="5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考核目标与评分要求</w:t>
            </w:r>
          </w:p>
        </w:tc>
        <w:tc>
          <w:tcPr>
            <w:tcW w:type="dxa" w:w="1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体系结构与对象—数据—服务映射</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15%</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能够从制造需求识别物理对象、身份、数据、事件和服务，架构图层次清楚、数据流正确。</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1.1，2.1，3.1</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感知与数据质量方案</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20%</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传感/识别方式选择合理，量程、精度、采样、单位、校准、维护和数据质量分析完整。</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1.2，2.2，3.2</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连接与组网技术选型</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20%</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从覆盖、功耗、速率、时延、可靠性、节点数、干扰和成本比较方案，说明拓扑、网关和失效场景。</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1.3，2.3，3.3</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MQTT/CoAP数据与接口设计</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20%</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主题/资源、设备模型、数据字段、消息方向、QoS、时间戳、缓存和异常处理设计规范。</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1.4，2.4，3.4</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工业物联网集成案例</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15%</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现场设备、网关、协议转换、平台接口、数据存储、告警和制造应用链路完整，能分析互操作问题。</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1.5，2.5，3.1，3.4</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安全与技术资料阅读</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10%</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能够识别资产、威胁与薄弱点，提出分层措施；资料引用、版本和适用边界说明清楚。</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1.6，2.6，3.5，3.6</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合计</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100%</w:t>
            </w:r>
          </w:p>
        </w:tc>
        <w:tc>
          <w:tcPr>
            <w:tcW w:type="dxa" w:w="5100"/>
            <w:vAlign w:val="center"/>
            <w:tcMar>
              <w:top w:w="80" w:type="dxa"/>
              <w:start w:w="70" w:type="dxa"/>
              <w:bottom w:w="80" w:type="dxa"/>
              <w:end w:w="70" w:type="dxa"/>
            </w:tcMar>
          </w:tcPr>
          <w:p>
            <w:pPr>
              <w:spacing w:line="269" w:lineRule="auto" w:before="0" w:after="0"/>
              <w:jc w:val="left"/>
            </w:pPr>
            <w:r/>
          </w:p>
        </w:tc>
        <w:tc>
          <w:tcPr>
            <w:tcW w:type="dxa" w:w="1354"/>
            <w:vAlign w:val="center"/>
            <w:tcMar>
              <w:top w:w="80" w:type="dxa"/>
              <w:start w:w="70" w:type="dxa"/>
              <w:bottom w:w="80" w:type="dxa"/>
              <w:end w:w="70" w:type="dxa"/>
            </w:tcMar>
          </w:tcPr>
          <w:p>
            <w:pPr>
              <w:spacing w:line="269" w:lineRule="auto" w:before="0" w:after="0"/>
              <w:jc w:val="left"/>
            </w:pPr>
            <w:r/>
          </w:p>
        </w:tc>
      </w:tr>
    </w:tbl>
    <w:p>
      <w:pPr>
        <w:keepNext/>
        <w:spacing w:line="283" w:lineRule="auto" w:before="60" w:after="20"/>
      </w:pPr>
      <w:r>
        <w:rPr>
          <w:rFonts w:ascii="Times New Roman" w:hAnsi="Times New Roman" w:eastAsia="宋体"/>
          <w:b/>
          <w:sz w:val="21"/>
        </w:rPr>
        <w:t>（3）期末考核评分标准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考核内容</w:t>
            </w:r>
          </w:p>
        </w:tc>
        <w:tc>
          <w:tcPr>
            <w:tcW w:type="dxa" w:w="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成绩占比</w:t>
            </w:r>
          </w:p>
        </w:tc>
        <w:tc>
          <w:tcPr>
            <w:tcW w:type="dxa" w:w="5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考核目标与评分要求</w:t>
            </w:r>
          </w:p>
        </w:tc>
        <w:tc>
          <w:tcPr>
            <w:tcW w:type="dxa" w:w="1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问题定义与总体架构</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15%</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面向设备状态监测、能耗、物流、质量追溯或维护等场景，明确对象、用户、数据、事件、服务、指标和端—边—网—云架构。</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1.1，2.1，3.1</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感知与设备数据设计</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15%</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传感/识别/定位方案和设备模型合理，数据字段、单位、时间戳、采样、误差、校准和维护说明完整。</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1.2，2.2，3.2</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网络、协议与可靠性</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20%</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连接技术、拓扑、地址/网关与MQTT/CoAP/HTTP接口选择有指标依据，考虑离线、重连、缓存、拥塞和失效。</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1.3，1.4，2.3，2.4，3.3</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边缘/平台与工业集成</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20%</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端边云分工、规则、存储、可视化、告警及OPC UA/现场协议或制造系统接口完整，数据流和接口可追溯。</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1.4，1.5，2.4，2.5，3.4</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安全、合规与运维</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15%</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威胁、身份、权限、加密、更新、网络分区、隐私、日志和人工处置设计合理，明确剩余风险。</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1.6，2.6，3.5</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方案论证、答辩与个人核验</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15%</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成本、功耗、时延、可靠性和可维护性权衡清楚；图表、引用和版本规范；汇报答辩表达准确，个人能够解释并核验本人负责内容、技术选择和局限。</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目标 2.1—2.6，3.1—3.6</w:t>
            </w:r>
          </w:p>
        </w:tc>
      </w:tr>
      <w:tr>
        <w:trPr>
          <w:cantSplit/>
        </w:trP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b w:val="0"/>
                <w:sz w:val="17"/>
              </w:rPr>
              <w:t>合计</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b w:val="0"/>
                <w:sz w:val="17"/>
              </w:rPr>
              <w:t>100%</w:t>
            </w:r>
          </w:p>
        </w:tc>
        <w:tc>
          <w:tcPr>
            <w:tcW w:type="dxa" w:w="5100"/>
            <w:vAlign w:val="center"/>
            <w:tcMar>
              <w:top w:w="80" w:type="dxa"/>
              <w:start w:w="70" w:type="dxa"/>
              <w:bottom w:w="80" w:type="dxa"/>
              <w:end w:w="70" w:type="dxa"/>
            </w:tcMar>
          </w:tcPr>
          <w:p>
            <w:pPr>
              <w:spacing w:line="269" w:lineRule="auto" w:before="0" w:after="0"/>
              <w:jc w:val="left"/>
            </w:pPr>
            <w:r/>
          </w:p>
        </w:tc>
        <w:tc>
          <w:tcPr>
            <w:tcW w:type="dxa" w:w="1354"/>
            <w:vAlign w:val="center"/>
            <w:tcMar>
              <w:top w:w="80" w:type="dxa"/>
              <w:start w:w="70" w:type="dxa"/>
              <w:bottom w:w="80" w:type="dxa"/>
              <w:end w:w="70" w:type="dxa"/>
            </w:tcMar>
          </w:tcPr>
          <w:p>
            <w:pPr>
              <w:spacing w:line="269" w:lineRule="auto" w:before="0" w:after="0"/>
              <w:jc w:val="left"/>
            </w:pPr>
            <w:r/>
          </w:p>
        </w:tc>
      </w:tr>
    </w:tbl>
    <w:p>
      <w:pPr>
        <w:keepNext/>
        <w:spacing w:line="283" w:lineRule="auto" w:before="100" w:after="60"/>
      </w:pPr>
      <w:r>
        <w:rPr>
          <w:rFonts w:ascii="Times New Roman" w:hAnsi="Times New Roman" w:eastAsia="黑体"/>
          <w:b/>
          <w:sz w:val="28"/>
        </w:rPr>
        <w:t>五、参考书目及学习资料</w:t>
      </w:r>
    </w:p>
    <w:p>
      <w:pPr>
        <w:keepNext/>
        <w:spacing w:line="283" w:lineRule="auto" w:before="80" w:after="40"/>
      </w:pPr>
      <w:r>
        <w:rPr>
          <w:rFonts w:ascii="Times New Roman" w:hAnsi="Times New Roman" w:eastAsia="宋体"/>
          <w:b/>
          <w:sz w:val="24"/>
        </w:rPr>
        <w:t>（一）选用教材</w:t>
      </w:r>
    </w:p>
    <w:p>
      <w:pPr>
        <w:spacing w:line="283" w:lineRule="auto" w:before="0" w:after="20"/>
        <w:ind w:firstLine="420"/>
        <w:jc w:val="left"/>
      </w:pPr>
      <w:r>
        <w:rPr>
          <w:rFonts w:ascii="Times New Roman" w:hAnsi="Times New Roman" w:eastAsia="宋体"/>
          <w:b w:val="0"/>
          <w:sz w:val="21"/>
        </w:rPr>
        <w:t>桂小林. 物联网技术导论（第3版）[M]. 北京：清华大学出版社，2024. ISBN 9787302660507</w:t>
      </w:r>
    </w:p>
    <w:p>
      <w:pPr>
        <w:keepNext/>
        <w:spacing w:line="283" w:lineRule="auto" w:before="80" w:after="40"/>
      </w:pPr>
      <w:r>
        <w:rPr>
          <w:rFonts w:ascii="Times New Roman" w:hAnsi="Times New Roman" w:eastAsia="宋体"/>
          <w:b/>
          <w:sz w:val="24"/>
        </w:rPr>
        <w:t>（二）学习资料</w:t>
      </w:r>
    </w:p>
    <w:p>
      <w:pPr>
        <w:spacing w:line="283" w:lineRule="auto" w:before="0" w:after="20"/>
        <w:jc w:val="left"/>
      </w:pPr>
      <w:r>
        <w:rPr>
          <w:rFonts w:ascii="Times New Roman" w:hAnsi="Times New Roman" w:eastAsia="宋体"/>
          <w:b w:val="0"/>
          <w:sz w:val="21"/>
        </w:rPr>
        <w:t>[1] 韩毅刚, 肖纯贤. 物联网概论（第3版）[M]. 北京：机械工业出版社，2024. ISBN 9787111745099。</w:t>
      </w:r>
    </w:p>
    <w:p>
      <w:pPr>
        <w:spacing w:line="283" w:lineRule="auto" w:before="0" w:after="20"/>
        <w:jc w:val="left"/>
      </w:pPr>
      <w:r>
        <w:rPr>
          <w:rFonts w:ascii="Times New Roman" w:hAnsi="Times New Roman" w:eastAsia="宋体"/>
          <w:b w:val="0"/>
          <w:sz w:val="21"/>
        </w:rPr>
        <w:t>[2] 吴功宜, 吴英. 物联网工程导论（第3版）[M]. 北京：机械工业出版社，2025. ISBN 9787111764403。</w:t>
      </w:r>
    </w:p>
    <w:p>
      <w:pPr>
        <w:spacing w:line="283" w:lineRule="auto" w:before="0" w:after="20"/>
        <w:jc w:val="left"/>
      </w:pPr>
      <w:r>
        <w:rPr>
          <w:rFonts w:ascii="Times New Roman" w:hAnsi="Times New Roman" w:eastAsia="宋体"/>
          <w:b w:val="0"/>
          <w:sz w:val="21"/>
        </w:rPr>
        <w:t>[3] 任磊, 张霖, 赖李媛君. 工业互联网导论[M]. 北京：清华大学出版社，2024. ISBN 9787302670162。</w:t>
      </w:r>
    </w:p>
    <w:p>
      <w:pPr>
        <w:spacing w:line="283" w:lineRule="auto" w:before="0" w:after="20"/>
        <w:jc w:val="left"/>
      </w:pPr>
      <w:r>
        <w:rPr>
          <w:rFonts w:ascii="Times New Roman" w:hAnsi="Times New Roman" w:eastAsia="宋体"/>
          <w:b w:val="0"/>
          <w:sz w:val="21"/>
        </w:rPr>
        <w:t>[4] 许毅, 陈立家, 甘浪雄, 陈建军, 汪祥莉. 无线传感器网络技术原理及应用（第3版）[M]. 北京：清华大学出版社，2026. ISBN 9787302705512。</w:t>
      </w:r>
    </w:p>
    <w:p>
      <w:pPr>
        <w:spacing w:line="283" w:lineRule="auto" w:before="0" w:after="20"/>
        <w:ind w:firstLine="420"/>
        <w:jc w:val="left"/>
      </w:pPr>
      <w:r>
        <w:rPr>
          <w:rFonts w:ascii="Times New Roman" w:hAnsi="Times New Roman" w:eastAsia="宋体"/>
          <w:b w:val="0"/>
          <w:sz w:val="21"/>
        </w:rPr>
        <w:t>制定人：　　　　　　　　审定人：　　　　　　　　批准人：</w:t>
      </w:r>
    </w:p>
    <w:p>
      <w:pPr>
        <w:spacing w:line="283" w:lineRule="auto" w:before="0" w:after="20"/>
        <w:jc w:val="center"/>
      </w:pPr>
      <w:r>
        <w:rPr>
          <w:rFonts w:ascii="Times New Roman" w:hAnsi="Times New Roman" w:eastAsia="宋体"/>
          <w:b w:val="0"/>
          <w:sz w:val="21"/>
        </w:rPr>
        <w:t>2026年9月</w:t>
      </w:r>
    </w:p>
    <w:sectPr w:rsidR="00FC693F" w:rsidRPr="0006063C" w:rsidSect="00034616">
      <w:footerReference w:type="default" r:id="rId9"/>
      <w:pgSz w:w="11906" w:h="16838"/>
      <w:pgMar w:top="1417" w:right="1417" w:bottom="1417" w:left="141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《物联网技术基础》课程教学大纲</dc:title>
  <dc:subject/>
  <dc:creator/>
  <cp:keywords/>
  <dc:description/>
  <cp:lastModifiedBy/>
  <cp:revision>1</cp:revision>
  <dcterms:created xsi:type="dcterms:W3CDTF">2013-12-23T23:15:00Z</dcterms:created>
  <dcterms:modified xsi:type="dcterms:W3CDTF">2013-12-23T23:15:00Z</dcterms:modified>
  <cp:category/>
</cp:coreProperties>
</file>