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/>
          <w:sz w:val="32"/>
        </w:rPr>
        <w:t>《特种加工技术》课程教学大纲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特种加工技术  Nontraditional Machining Technology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25JD32105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第7学期</w:t>
            </w:r>
          </w:p>
        </w:tc>
        <w:tc>
          <w:tcPr>
            <w:tcW w:type="dxa" w:w="1581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2693"/>
            <w:vAlign w:val="center"/>
            <w:gridSpan w:val="3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931"/>
            <w:vAlign w:val="center"/>
            <w:vMerge w:val="restart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c>
          <w:tcPr>
            <w:tcW w:type="dxa" w:w="1931"/>
            <w:vAlign w:val="center"/>
            <w:vMerge/>
            <w:tcMar>
              <w:top w:w="60" w:type="dxa"/>
              <w:bottom w:w="60" w:type="dxa"/>
              <w:start w:w="65" w:type="dxa"/>
              <w:end w:w="65" w:type="dxa"/>
            </w:tcMar>
          </w:tcPr>
          <w:p/>
        </w:tc>
        <w:tc>
          <w:tcPr>
            <w:tcW w:type="dxa" w:w="163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215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10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04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智能制造工程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机械与动力工程学院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机械制造技术基础、数控技术、智能测试技术或同等基础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毕业实习、毕业设计（论文）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本课程是智能制造工程专业第7学期专业选修课，面向难加工材料、复杂型面、微细结构和高质量表面，系统介绍电火花、电化学、激光、超声、高能束和复合加工。培养方案将本课程与《增材制造技术》设置为二选一，因此不重复增材制造成形原理和工艺体系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学生能够比较特种加工方法，分析材料去除机理和主要工艺参数，完成典型难加工零件的工艺选择、参数分析和质量控制，使用实验数据形成可复核结论，并识别高压电、电解液、激光辐射、烟尘和废液等安全环保风险。</w:t>
            </w:r>
          </w:p>
          <w:p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采用“机理讲授—设备案例—参数/质量分析—实验验证—工艺方案设计”。实验使用现有设备或等效平台；无法直接开展的高能束、微细和复合加工采用样件、视频、可复现实验数据和工程案例分析。</w:t>
            </w:r>
          </w:p>
        </w:tc>
      </w:tr>
      <w:tr>
        <w:tc>
          <w:tcPr>
            <w:tcW w:type="dxa" w:w="193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vAlign w:val="center"/>
            <w:gridSpan w:val="7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2026年9月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809"/>
        <w:gridCol w:w="4248"/>
        <w:gridCol w:w="4229"/>
      </w:tblGrid>
      <w:tr>
        <w:trPr>
          <w:tblHeader w:val="true"/>
        </w:trPr>
        <w:tc>
          <w:tcPr>
            <w:tcW w:type="dxa" w:w="80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课程总目标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4229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达成方法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1.知识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1.1 理解特种加工分类、能量形式、材料去除机制及与传统切削/增材制造的边界。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1.2 掌握电火花成形和线切割的放电机理、设备及工艺规律。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1.3 掌握电化学加工机理、电解液、工具阴极、间隙及主要工艺。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1.4 掌握激光、超声和水射流加工机理、设备、参数及质量特征。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1.5 了解电子束、离子束、微细与复合加工的原理和应用边界。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1.6 掌握特种加工工艺设计、质量评价、安全防护和环境控制原则。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2.能力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2.1 能根据材料、结构、精度和表面质量要求选择特种加工方法。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2.2 能分析电火花/线切割参数对效率、精度、粗糙度和工具损耗的影响。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2.3 能分析电化学加工中的电极、电解液、间隙、流场和环境风险。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2.4 能分析激光、超声或水射流加工参数及热影响、锥度、崩边等问题。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2.5 能查阅资料并比较高能束、微细和复合加工的适用范围。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2.6 能实施基本实验、整理数据并形成参数—质量结论。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3.素质</w:t>
            </w:r>
          </w:p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3.1 形成多指标工艺选择意识。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3.2 形成高压电和工作液安全意识。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3.3 形成电解液、废液和腐蚀环境管理意识。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3.4 形成激光辐射、烟尘、噪声职业防护意识。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3.5 形成尊重实验事实和资料来源的工程研究意识。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  <w:tr>
        <w:trPr/>
        <w:tc>
          <w:tcPr>
            <w:tcW w:type="dxa" w:w="809"/>
            <w:vMerge/>
            <w:vAlign w:val="center"/>
          </w:tcPr>
          <w:p/>
        </w:tc>
        <w:tc>
          <w:tcPr>
            <w:tcW w:type="dxa" w:w="4248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3.6 形成节能减排、材料高效利用和持续学习意识。</w:t>
            </w:r>
          </w:p>
        </w:tc>
        <w:tc>
          <w:tcPr>
            <w:tcW w:type="dxa" w:w="4229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通过典型零件、工艺数据、实验或方案评审实现目标达成。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</w:rPr>
        <w:t>三、理论教学环节及基本要求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70"/>
        <w:gridCol w:w="1424"/>
        <w:gridCol w:w="688"/>
        <w:gridCol w:w="1137"/>
        <w:gridCol w:w="3640"/>
        <w:gridCol w:w="1111"/>
      </w:tblGrid>
      <w:tr>
        <w:trPr>
          <w:tblHeader w:val="true"/>
        </w:trPr>
        <w:tc>
          <w:tcPr>
            <w:tcW w:type="dxa" w:w="107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424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8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777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111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特种加工概论与方法选择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分类、特点、能量形式、材料去除机制；难加工材料、复杂结构；与传统切削和增材制造的边界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电火花成形与线切割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放电机理、脉冲电源、工作介质、工具电极、伺服与排屑；材料去除率、工具损耗、粗糙度；线切割设备与工艺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电化学加工与表面处理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阳极溶解、电解液、工具阴极、间隙与流场；电解加工、电解磨削、电解抛光；杂散腐蚀与废液处理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激光、超声与水射流加工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激光切割/打孔及参数与热影响；超声加工工具与磨料；脆硬材料加工；磨料水射流原理与质量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高能束、微细与复合加工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电子束、离子束、等离子体；微细电火花/电化学；超声辅助、电化学复合、激光复合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工艺设计、质量与可持续制造</w:t>
            </w:r>
          </w:p>
        </w:tc>
        <w:tc>
          <w:tcPr>
            <w:tcW w:type="dxa" w:w="1424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工艺选择、设备/工装/参数、精度与表面完整性、工艺试验、成本能耗、安全环保和综合零件案例</w:t>
            </w:r>
          </w:p>
        </w:tc>
        <w:tc>
          <w:tcPr>
            <w:tcW w:type="dxa" w:w="68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结合安全、环保、质量和先进制造案例强化工程责任。</w:t>
            </w:r>
          </w:p>
        </w:tc>
        <w:tc>
          <w:tcPr>
            <w:tcW w:type="dxa" w:w="1111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掌握本单元机理与工艺，能进行参数或方案分析并说明适用边界。</w:t>
            </w:r>
          </w:p>
        </w:tc>
        <w:tc>
          <w:tcPr>
            <w:tcW w:type="dxa" w:w="1111"/>
            <w:vMerge/>
          </w:tcPr>
          <w:p/>
        </w:tc>
      </w:tr>
      <w:tr>
        <w:trPr/>
        <w:tc>
          <w:tcPr>
            <w:tcW w:type="dxa" w:w="1070"/>
            <w:vMerge/>
          </w:tcPr>
          <w:p/>
        </w:tc>
        <w:tc>
          <w:tcPr>
            <w:tcW w:type="dxa" w:w="1424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1137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364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讲授、设备/样件案例、参数数据、方案讨论</w:t>
            </w:r>
          </w:p>
        </w:tc>
        <w:tc>
          <w:tcPr>
            <w:tcW w:type="dxa" w:w="1111"/>
            <w:vMerge/>
          </w:tcPr>
          <w:p/>
        </w:tc>
      </w:tr>
    </w:tbl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理论总学时 26</w:t>
      </w:r>
    </w:p>
    <w:p>
      <w:pPr>
        <w:keepNext/>
        <w:pageBreakBefore w:val="0"/>
        <w:spacing w:before="0" w:after="0" w:line="240" w:lineRule="auto"/>
        <w:jc w:val="left"/>
      </w:pPr>
      <w:r>
        <w:rPr>
          <w:rFonts w:ascii="Times New Roman" w:hAnsi="Times New Roman" w:eastAsia="宋体" w:cs="Times New Roman"/>
        </w:rPr>
        <w:t>四、实验教学环节及基本要求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068"/>
        <w:gridCol w:w="1407"/>
        <w:gridCol w:w="707"/>
        <w:gridCol w:w="905"/>
        <w:gridCol w:w="4273"/>
        <w:gridCol w:w="710"/>
      </w:tblGrid>
      <w:tr>
        <w:trPr>
          <w:tblHeader w:val="true"/>
        </w:trPr>
        <w:tc>
          <w:tcPr>
            <w:tcW w:type="dxa" w:w="1068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实验项目</w:t>
            </w:r>
          </w:p>
        </w:tc>
        <w:tc>
          <w:tcPr>
            <w:tcW w:type="dxa" w:w="1407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实验内容</w:t>
            </w:r>
          </w:p>
        </w:tc>
        <w:tc>
          <w:tcPr>
            <w:tcW w:type="dxa" w:w="707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5178"/>
            <w:vAlign w:val="center"/>
            <w:gridSpan w:val="2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实验要求</w:t>
            </w:r>
          </w:p>
        </w:tc>
        <w:tc>
          <w:tcPr>
            <w:tcW w:type="dxa" w:w="71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电火花/线切割参数与质量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改变典型工艺参数，记录加工时间、表面质量、尺寸或工具损耗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验证/综合型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1.2，2.2，2.6，3.2，3.5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严格执行设备安全、职业健康和数据诚信要求。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能够记录参数与质量指标并形成可复核结论。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设备或等效平台实验、样件观察、数据分析、报告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激光/超声参数与缺陷观察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比较不同参数或材料的切缝、孔形、热影响、崩边或表面状态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验证/综合型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1.4，2.4，2.6，3.4，3.5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严格执行设备安全、职业健康和数据诚信要求。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能够记录参数与质量指标并形成可复核结论。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设备或等效平台实验、样件观察、数据分析、报告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方法比较与综合工艺验证</w:t>
            </w:r>
          </w:p>
        </w:tc>
        <w:tc>
          <w:tcPr>
            <w:tcW w:type="dxa" w:w="1407"/>
            <w:vMerge w:val="restart"/>
            <w:vAlign w:val="center"/>
          </w:tcPr>
          <w:p>
            <w:pPr>
              <w:keepNext w:val="0"/>
              <w:spacing w:before="0" w:after="0" w:line="22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针对典型难加工零件比较多种方案，利用样件和实验数据验证关键质量指标</w:t>
            </w:r>
          </w:p>
        </w:tc>
        <w:tc>
          <w:tcPr>
            <w:tcW w:type="dxa" w:w="707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任务类型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验证/综合型</w:t>
            </w:r>
          </w:p>
        </w:tc>
        <w:tc>
          <w:tcPr>
            <w:tcW w:type="dxa" w:w="710"/>
            <w:vMerge w:val="restart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1.1，1.6，2.1，2.6，3.1，3.6</w:t>
            </w:r>
          </w:p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思政融入点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严格执行设备安全、职业健康和数据诚信要求。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预期学习成果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能够记录参数与质量指标并形成可复核结论。</w:t>
            </w:r>
          </w:p>
        </w:tc>
        <w:tc>
          <w:tcPr>
            <w:tcW w:type="dxa" w:w="710"/>
            <w:vMerge/>
          </w:tcPr>
          <w:p/>
        </w:tc>
      </w:tr>
      <w:tr>
        <w:trPr/>
        <w:tc>
          <w:tcPr>
            <w:tcW w:type="dxa" w:w="1068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707"/>
            <w:vMerge/>
          </w:tcPr>
          <w:p/>
        </w:tc>
        <w:tc>
          <w:tcPr>
            <w:tcW w:type="dxa" w:w="905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教学方式</w:t>
            </w:r>
          </w:p>
        </w:tc>
        <w:tc>
          <w:tcPr>
            <w:tcW w:type="dxa" w:w="4273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设备或等效平台实验、样件观察、数据分析、报告</w:t>
            </w:r>
          </w:p>
        </w:tc>
        <w:tc>
          <w:tcPr>
            <w:tcW w:type="dxa" w:w="710"/>
            <w:vMerge/>
          </w:tcPr>
          <w:p/>
        </w:tc>
      </w:tr>
    </w:tbl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1"/>
        </w:rPr>
        <w:t>实验总学时 6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五、课程评价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450"/>
        <w:gridCol w:w="650"/>
        <w:gridCol w:w="650"/>
        <w:gridCol w:w="650"/>
        <w:gridCol w:w="1050"/>
        <w:gridCol w:w="1050"/>
        <w:gridCol w:w="1050"/>
        <w:gridCol w:w="1800"/>
      </w:tblGrid>
      <w:tr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考核内容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总学时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理论学时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实验学时</w:t>
            </w:r>
          </w:p>
        </w:tc>
        <w:tc>
          <w:tcPr>
            <w:tcW w:type="dxa" w:w="3402"/>
            <w:gridSpan w:val="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考核方式及占比（100%）</w:t>
            </w:r>
          </w:p>
        </w:tc>
        <w:tc>
          <w:tcPr>
            <w:tcW w:type="dxa" w:w="1134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课程目标</w:t>
            </w:r>
          </w:p>
        </w:tc>
      </w:tr>
      <w:tr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平时成绩（20%）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课程作业（20%）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期末考核（60%）</w:t>
            </w:r>
          </w:p>
        </w:tc>
        <w:tc>
          <w:tcPr>
            <w:tcW w:type="dxa" w:w="1134"/>
            <w:vMerge/>
          </w:tcPr>
          <w:p/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特种加工概论与方法选择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电火花成形与线切割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1.2，2.2，3.2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电化学加工与表面处理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1.3，2.3，3.3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激光、超声与水射流加工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1.4，2.4，3.4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高能束、微细与复合加工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1.5，2.5，3.5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工艺设计、质量与可持续制造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合计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32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26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100%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—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1.考核方式</w:t>
      </w:r>
    </w:p>
    <w:p>
      <w:pPr>
        <w:keepNext w:val="0"/>
        <w:spacing w:before="0" w:after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2.评分说明</w:t>
      </w:r>
    </w:p>
    <w:p>
      <w:pPr>
        <w:keepNext w:val="0"/>
        <w:spacing w:before="0" w:after="0" w:line="288" w:lineRule="auto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课程采用平时成绩、课程作业和期末考核相结合的方式。最终成绩100%=平时成绩20%＋课程作业20%＋期末考核60%。期末考核采用特种加工综合工艺设计报告与个人答辩/核验相结合的综合考查形式，其中综合工艺设计报告占期末考核内部80%，个人答辩/核验占期末考核内部20%；不设置闭卷笔试或机考。原有实验活动继续按既定6学时实施，其实验记录、样件/图像、原始数据、参数—质量分析及实验报告并入课程作业；原综合工艺项目的方案设计、实验验证、安全环保、工艺文件与改进要求并入期末考核。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3.评分标准分项说明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（1）平时成绩评分标准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350"/>
        <w:gridCol w:w="700"/>
        <w:gridCol w:w="1400"/>
        <w:gridCol w:w="1400"/>
        <w:gridCol w:w="1400"/>
        <w:gridCol w:w="1400"/>
        <w:gridCol w:w="1400"/>
      </w:tblGrid>
      <w:tr>
        <w:trPr>
          <w:tblHeader w:val="true"/>
        </w:trPr>
        <w:tc>
          <w:tcPr>
            <w:tcW w:type="dxa" w:w="13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评分指标</w:t>
            </w:r>
          </w:p>
        </w:tc>
        <w:tc>
          <w:tcPr>
            <w:tcW w:type="dxa" w:w="7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指标权重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90–100（优）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80–89（良）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70–79（中）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60–69（及格）</w:t>
            </w:r>
          </w:p>
        </w:tc>
        <w:tc>
          <w:tcPr>
            <w:tcW w:type="dxa" w:w="14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5"/>
              </w:rPr>
              <w:t>0–59（不及格）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考勤、课堂与实验安全规范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出勤完整，严格遵守高压电、工作液、电解液、激光/超声设备和实验室安全规范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出勤良好，偶有轻微疏漏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出勤基本正常，遵守主要规范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达到最低要求，经提醒能遵守规范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缺勤较多或多次违反安全规范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课堂学习与案例参与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30%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主动参与机理、参数—质量、方法选择和安全环保分析，能清晰说明依据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参与主要活动并能说明思路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完成主要课堂任务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经提醒达到基本要求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长期不参与或无法完成基本分析</w:t>
            </w:r>
          </w:p>
        </w:tc>
      </w:tr>
      <w:tr>
        <w:trPr>
          <w:cantSplit/>
        </w:trPr>
        <w:tc>
          <w:tcPr>
            <w:tcW w:type="dxa" w:w="13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5"/>
              </w:rPr>
              <w:t>工程记录、数据诚信与规范表达</w:t>
            </w:r>
          </w:p>
        </w:tc>
        <w:tc>
          <w:tcPr>
            <w:tcW w:type="dxa" w:w="70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35%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参数、单位、图表、资料来源和判断依据完整可复核，无数据失实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记录较完整，少量疏漏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完成主要记录并有基本证据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存在缺项但基本可核验</w:t>
            </w:r>
          </w:p>
        </w:tc>
        <w:tc>
          <w:tcPr>
            <w:tcW w:type="dxa" w:w="14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数据失实、关键记录缺失或结果无法解释</w:t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（2）课程作业评分标准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50"/>
        <w:gridCol w:w="5200"/>
        <w:gridCol w:w="1450"/>
      </w:tblGrid>
      <w:tr>
        <w:trPr>
          <w:tblHeader w:val="true"/>
        </w:trPr>
        <w:tc>
          <w:tcPr>
            <w:tcW w:type="dxa" w:w="15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4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方法选择与机理分析作业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根据材料、结构、精度和表面质量要求选择加工方法并说明机理和适用边界。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电火花/线切割作业与实验成果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参数分析正确；实验准备、过程记录、原始数据、样件/图像和参数—质量结论完整可复核。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1.2，2.2，2.6，3.2，3.5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电化学工艺分析作业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能够分析电极、电解液、间隙、流场、精度、杂散腐蚀及环境安全问题。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1.3，2.3，3.3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激光/超声作业与实验成果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能够分析参数和质量缺陷，实验记录、样件/图像及原因解释有证据。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1.4，2.4，2.6，3.4，3.5</w:t>
            </w:r>
          </w:p>
        </w:tc>
      </w:tr>
      <w:t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综合实验数据与工艺比较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能够基于实验/样件数据比较多种特种加工方法，形成有约束条件的工艺判断。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1.1，1.6，2.1，2.6，3.1，3.6</w:t>
            </w:r>
          </w:p>
        </w:tc>
      </w:tr>
      <w:tr>
        <w:tc>
          <w:tcPr>
            <w:tcW w:type="dxa" w:w="15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前沿资料、报告规范与来源核验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技术资料来源可靠、引用清楚，能说明高能束、微细或复合加工的成熟度与局限。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1.5，2.5，3.5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/>
          <w:b/>
          <w:sz w:val="21"/>
        </w:rPr>
        <w:t>（3）期末考核评分标准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550"/>
        <w:gridCol w:w="850"/>
        <w:gridCol w:w="5200"/>
        <w:gridCol w:w="1450"/>
      </w:tblGrid>
      <w:tr>
        <w:trPr>
          <w:tblHeader w:val="true"/>
        </w:trPr>
        <w:tc>
          <w:tcPr>
            <w:tcW w:type="dxa" w:w="15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20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考点与要求</w:t>
            </w:r>
          </w:p>
        </w:tc>
        <w:tc>
          <w:tcPr>
            <w:tcW w:type="dxa" w:w="1450"/>
            <w:vAlign w:val="center"/>
            <w:tcMar>
              <w:top w:w="60" w:type="dxa"/>
              <w:bottom w:w="60" w:type="dxa"/>
              <w:start w:w="65" w:type="dxa"/>
              <w:end w:w="65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加工需求与方法选择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零件材料、结构、精度、表面质量和生产约束分析完整，方法选择依据充分。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1.1，2.1，3.1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加工机理、设备与关键参数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正确解释材料去除机理、主要设备/能量系统及关键参数作用。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1.2—1.5，2.2—2.5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工艺路线与参数方案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工艺顺序、工装/电极/工作介质及参数方案合理，能说明效率、精度和质量权衡。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1.2—1.6，2.1—2.5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质量评价与实验/数据验证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能利用课程实验、样件、图像或可靠数据验证去除率、尺寸/表面质量或缺陷分析。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2.2，2.4，2.6，3.5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安全、职业健康与环境控制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能针对高压电、化学品、激光辐射、烟尘、废液和噪声提出规范控制措施。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1.6，3.2—3.4，3.6</w:t>
            </w:r>
          </w:p>
        </w:tc>
      </w:tr>
      <w:tr>
        <w:trPr>
          <w:cantSplit/>
        </w:trP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成本、能耗、材料利用与改进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能综合考虑效率、成本、能耗、耗材和废弃物，提出有依据的改进方案。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55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工艺文件与技术表达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200"/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工艺流程、参数表、图表、数据、引用和版本清楚，报告可复核。</w:t>
            </w:r>
          </w:p>
        </w:tc>
        <w:tc>
          <w:tcPr>
            <w:tcW w:type="dxa" w:w="1450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2.5，2.6，3.5</w:t>
            </w:r>
          </w:p>
        </w:tc>
      </w:tr>
      <w:tr>
        <w:tc>
          <w:tcPr>
            <w:tcW w:type="dxa" w:w="155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个人答辩/核验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5200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能独立解释工艺决策和实验/数据证据，回答关键参数、质量、安全与适用边界问题。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目标 1.1—1.6，2.1—2.6，3.1—3.6</w:t>
            </w:r>
          </w:p>
        </w:tc>
      </w:tr>
      <w:tr>
        <w:tc>
          <w:tcPr>
            <w:tcW w:type="dxa" w:w="15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合计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100%</w:t>
            </w:r>
          </w:p>
        </w:tc>
        <w:tc>
          <w:tcPr>
            <w:tcW w:type="dxa" w:w="520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</w:r>
          </w:p>
        </w:tc>
      </w:tr>
    </w:tbl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黑体" w:cs="Times New Roman"/>
          <w:b/>
          <w:sz w:val="28"/>
        </w:rPr>
        <w:t>六、参考书目及学习资料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白基成, 刘晋春, 郭永丰, 杨晓冬, 等. 特种加工（第7版）[M]. 北京：机械工业出版社，2022. ISBN 9787111679868</w:t>
      </w:r>
    </w:p>
    <w:p>
      <w:pPr>
        <w:keepNext/>
        <w:spacing w:before="0" w:after="0" w:line="240" w:lineRule="auto"/>
        <w:jc w:val="left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[1] 周旭光, 伍端阳, 肖海兵. 特种加工技术（第五版）[M]. 西安：西安电子科技大学出版社，2024. ISBN 9787560672861。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  <w:t>[2] 周旭光, 郭晓霞, 李迎, 李玉炜. 特种加工技术（第四版）[M]. 西安：西安电子科技大学出版社，2022. ISBN 9787560663289。</w:t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</w:r>
    </w:p>
    <w:p>
      <w:pPr>
        <w:keepNext w:val="0"/>
        <w:spacing w:before="0" w:after="0" w:line="252" w:lineRule="auto"/>
        <w:jc w:val="left"/>
      </w:pPr>
      <w:r>
        <w:rPr>
          <w:rFonts w:ascii="Times New Roman" w:hAnsi="Times New Roman" w:eastAsia="宋体"/>
          <w:b w:val="0"/>
          <w:sz w:val="21"/>
        </w:rPr>
      </w:r>
    </w:p>
    <w:p>
      <w:pPr>
        <w:keepNext w:val="0"/>
        <w:spacing w:before="0" w:after="0" w:line="240" w:lineRule="auto"/>
        <w:jc w:val="left"/>
      </w:pPr>
      <w:r>
        <w:rPr>
          <w:rFonts w:ascii="Times New Roman" w:hAnsi="Times New Roman" w:eastAsia="宋体" w:cs="Times New Roman"/>
        </w:rPr>
        <w:t xml:space="preserve">制定人：　　　　　　　　审定人：　　　　　　　　批准人：　　　　　　　　</w:t>
      </w:r>
    </w:p>
    <w:p>
      <w:pPr>
        <w:keepNext w:val="0"/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特种加工技术课程教学大纲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