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 w:eastAsia="宋体"/>
          <w:b/>
          <w:sz w:val="32"/>
        </w:rPr>
        <w:t>《计算机智能控制系统》课程教学大纲</w:t>
      </w:r>
    </w:p>
    <w:p>
      <w:pPr>
        <w:keepNext/>
        <w:spacing w:before="140" w:after="60"/>
      </w:pPr>
      <w:r>
        <w:rPr>
          <w:rFonts w:ascii="Times New Roman" w:hAnsi="Times New Roman" w:cs="Times New Roman" w:eastAsia="黑体" w:hint="eastAsia"/>
          <w:b/>
          <w:sz w:val="28"/>
          <w:lang w:eastAsia="zh-CN"/>
        </w:rPr>
        <w:t>一、课程基本信息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31"/>
        <w:gridCol w:w="1634"/>
        <w:gridCol w:w="1215"/>
        <w:gridCol w:w="1104"/>
        <w:gridCol w:w="477"/>
        <w:gridCol w:w="627"/>
        <w:gridCol w:w="1033"/>
        <w:gridCol w:w="1033"/>
      </w:tblGrid>
      <w:tr>
        <w:tc>
          <w:tcPr>
            <w:tcW w:type="dxa" w:w="1931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课程名称（中英文）</w:t>
            </w:r>
          </w:p>
        </w:tc>
        <w:tc>
          <w:tcPr>
            <w:tcW w:type="dxa" w:w="7123"/>
            <w:vAlign w:val="center"/>
            <w:gridSpan w:val="7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计算机智能控制系统  Computer Intelligent Control Systems</w:t>
            </w:r>
          </w:p>
        </w:tc>
      </w:tr>
      <w:tr>
        <w:tc>
          <w:tcPr>
            <w:tcW w:type="dxa" w:w="1931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课程代码</w:t>
            </w:r>
          </w:p>
        </w:tc>
        <w:tc>
          <w:tcPr>
            <w:tcW w:type="dxa" w:w="2849"/>
            <w:vAlign w:val="center"/>
            <w:gridSpan w:val="2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25JD32403</w:t>
            </w:r>
          </w:p>
        </w:tc>
        <w:tc>
          <w:tcPr>
            <w:tcW w:type="dxa" w:w="1581"/>
            <w:vAlign w:val="center"/>
            <w:gridSpan w:val="2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课程类别</w:t>
            </w:r>
          </w:p>
        </w:tc>
        <w:tc>
          <w:tcPr>
            <w:tcW w:type="dxa" w:w="2693"/>
            <w:vAlign w:val="center"/>
            <w:gridSpan w:val="3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专业类</w:t>
            </w:r>
          </w:p>
        </w:tc>
      </w:tr>
      <w:tr>
        <w:tc>
          <w:tcPr>
            <w:tcW w:type="dxa" w:w="1931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课程性质</w:t>
            </w:r>
          </w:p>
        </w:tc>
        <w:tc>
          <w:tcPr>
            <w:tcW w:type="dxa" w:w="2849"/>
            <w:vAlign w:val="center"/>
            <w:gridSpan w:val="2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选修课</w:t>
            </w:r>
          </w:p>
        </w:tc>
        <w:tc>
          <w:tcPr>
            <w:tcW w:type="dxa" w:w="1581"/>
            <w:vAlign w:val="center"/>
            <w:gridSpan w:val="2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授课语言</w:t>
            </w:r>
          </w:p>
        </w:tc>
        <w:tc>
          <w:tcPr>
            <w:tcW w:type="dxa" w:w="2693"/>
            <w:vAlign w:val="center"/>
            <w:gridSpan w:val="3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中文</w:t>
            </w:r>
          </w:p>
        </w:tc>
      </w:tr>
      <w:tr>
        <w:tc>
          <w:tcPr>
            <w:tcW w:type="dxa" w:w="1931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授课学期</w:t>
            </w:r>
          </w:p>
        </w:tc>
        <w:tc>
          <w:tcPr>
            <w:tcW w:type="dxa" w:w="2849"/>
            <w:vAlign w:val="center"/>
            <w:gridSpan w:val="2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第6学期</w:t>
            </w:r>
          </w:p>
        </w:tc>
        <w:tc>
          <w:tcPr>
            <w:tcW w:type="dxa" w:w="2208"/>
            <w:vAlign w:val="center"/>
            <w:gridSpan w:val="3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学分</w:t>
            </w:r>
          </w:p>
        </w:tc>
        <w:tc>
          <w:tcPr>
            <w:tcW w:type="dxa" w:w="2066"/>
            <w:vAlign w:val="center"/>
            <w:gridSpan w:val="2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931"/>
            <w:vAlign w:val="center"/>
            <w:vMerge w:val="restart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课程学时及分配</w:t>
            </w:r>
          </w:p>
        </w:tc>
        <w:tc>
          <w:tcPr>
            <w:tcW w:type="dxa" w:w="1634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总学时</w:t>
            </w:r>
          </w:p>
        </w:tc>
        <w:tc>
          <w:tcPr>
            <w:tcW w:type="dxa" w:w="1215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理论</w:t>
            </w:r>
          </w:p>
        </w:tc>
        <w:tc>
          <w:tcPr>
            <w:tcW w:type="dxa" w:w="1104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实践</w:t>
            </w:r>
          </w:p>
        </w:tc>
        <w:tc>
          <w:tcPr>
            <w:tcW w:type="dxa" w:w="1104"/>
            <w:vAlign w:val="center"/>
            <w:gridSpan w:val="2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实验</w:t>
            </w:r>
          </w:p>
        </w:tc>
        <w:tc>
          <w:tcPr>
            <w:tcW w:type="dxa" w:w="1033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上机</w:t>
            </w:r>
          </w:p>
        </w:tc>
        <w:tc>
          <w:tcPr>
            <w:tcW w:type="dxa" w:w="1033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项目式</w:t>
            </w:r>
          </w:p>
        </w:tc>
      </w:tr>
      <w:tr>
        <w:tc>
          <w:tcPr>
            <w:tcW w:type="dxa" w:w="1931"/>
            <w:vAlign w:val="center"/>
            <w:vMerge/>
            <w:tcMar>
              <w:top w:w="65" w:type="dxa"/>
              <w:bottom w:w="65" w:type="dxa"/>
              <w:start w:w="65" w:type="dxa"/>
              <w:end w:w="65" w:type="dxa"/>
            </w:tcMar>
          </w:tcPr>
          <w:p/>
        </w:tc>
        <w:tc>
          <w:tcPr>
            <w:tcW w:type="dxa" w:w="1634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48</w:t>
            </w:r>
          </w:p>
        </w:tc>
        <w:tc>
          <w:tcPr>
            <w:tcW w:type="dxa" w:w="1215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48</w:t>
            </w:r>
          </w:p>
        </w:tc>
        <w:tc>
          <w:tcPr>
            <w:tcW w:type="dxa" w:w="1104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104"/>
            <w:vAlign w:val="center"/>
            <w:gridSpan w:val="2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033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033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</w:tr>
      <w:tr>
        <w:tc>
          <w:tcPr>
            <w:tcW w:type="dxa" w:w="1931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适用专业</w:t>
            </w:r>
          </w:p>
        </w:tc>
        <w:tc>
          <w:tcPr>
            <w:tcW w:type="dxa" w:w="7123"/>
            <w:vAlign w:val="center"/>
            <w:gridSpan w:val="7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智能制造工程</w:t>
            </w:r>
          </w:p>
        </w:tc>
      </w:tr>
      <w:tr>
        <w:tc>
          <w:tcPr>
            <w:tcW w:type="dxa" w:w="1931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授课学院</w:t>
            </w:r>
          </w:p>
        </w:tc>
        <w:tc>
          <w:tcPr>
            <w:tcW w:type="dxa" w:w="7123"/>
            <w:vAlign w:val="center"/>
            <w:gridSpan w:val="7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机械与动力工程学院</w:t>
            </w:r>
          </w:p>
        </w:tc>
      </w:tr>
      <w:tr>
        <w:tc>
          <w:tcPr>
            <w:tcW w:type="dxa" w:w="1931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先修课程</w:t>
            </w:r>
          </w:p>
        </w:tc>
        <w:tc>
          <w:tcPr>
            <w:tcW w:type="dxa" w:w="7123"/>
            <w:vAlign w:val="center"/>
            <w:gridSpan w:val="7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高等数学、线性代数（A）、大学物理、微机原理及接口技术、工程建模与科学计算可视化基础（Python）、人工智能技术及应用</w:t>
            </w:r>
          </w:p>
        </w:tc>
      </w:tr>
      <w:tr>
        <w:tc>
          <w:tcPr>
            <w:tcW w:type="dxa" w:w="1931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后续课程</w:t>
            </w:r>
          </w:p>
        </w:tc>
        <w:tc>
          <w:tcPr>
            <w:tcW w:type="dxa" w:w="7123"/>
            <w:vAlign w:val="center"/>
            <w:gridSpan w:val="7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智能制造装备、先进装备系统设计与开发（ROS）、毕业设计（论文）</w:t>
            </w:r>
          </w:p>
        </w:tc>
      </w:tr>
      <w:tr>
        <w:tc>
          <w:tcPr>
            <w:tcW w:type="dxa" w:w="1931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课程简介</w:t>
            </w:r>
          </w:p>
        </w:tc>
        <w:tc>
          <w:tcPr>
            <w:tcW w:type="dxa" w:w="7123"/>
            <w:vAlign w:val="center"/>
            <w:gridSpan w:val="7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r/>
            <w:r>
              <w:rPr>
                <w:b/>
                <w:sz w:val="17"/>
              </w:rPr>
              <w:t>课程基本定位</w:t>
              <w:br/>
            </w:r>
            <w:r>
              <w:rPr>
                <w:sz w:val="17"/>
              </w:rPr>
              <w:t>本课程是智能制造工程专业的专业选修课，面向智能装备与制造系统中的计算机闭环控制问题。课程在自动控制、微机接口、Python科学计算和人工智能基础上，系统讲授计算机控制系统、采样与离散化、数据采集与数字PID、模糊控制、神经网络控制、智能优化与学习控制以及综合系统设计。课程强调“对象—采集—计算—决策—执行—反馈”的闭环结构，把智能算法放入采样周期、噪声、饱和、延迟、稳定性和安全约束中评价。</w:t>
            </w:r>
          </w:p>
          <w:p>
            <w:r>
              <w:rPr>
                <w:b/>
                <w:sz w:val="17"/>
              </w:rPr>
              <w:t>核心学习结果</w:t>
              <w:br/>
            </w:r>
            <w:r>
              <w:rPr>
                <w:sz w:val="17"/>
              </w:rPr>
              <w:t>学生能够分析采样、量化、延迟和离散化对闭环性能的影响；设计和评价数字PID；构建基本模糊控制器、神经网络辨识/控制和智能优化方案；使用Python或等价工具完成数值仿真；针对数控装备、机器人、温度/压力过程或制造单元提出包含传感、算法、执行、通信、异常与安全边界的计算机智能控制方案。</w:t>
            </w:r>
          </w:p>
          <w:p>
            <w:r>
              <w:rPr>
                <w:b/>
                <w:sz w:val="17"/>
              </w:rPr>
              <w:t>主要教学方法</w:t>
              <w:br/>
            </w:r>
            <w:r>
              <w:rPr>
                <w:sz w:val="17"/>
              </w:rPr>
              <w:t>采用“控制对象与指标—原理推导—算法流程—数值仿真—工程案例—结果评价”的教学方式。课堂可使用Python（NumPy、SciPy、Matplotlib、python-control或等价工具）演示采样、数字PID、模糊推理、神经网络辨识/控制和优化算法。培养方案规定48学时全部为理论学时，因此代码演示与仿真分析属于理论教学方法，不另行虚构实验、上机或项目式学时。</w:t>
            </w:r>
          </w:p>
        </w:tc>
      </w:tr>
      <w:tr>
        <w:tc>
          <w:tcPr>
            <w:tcW w:type="dxa" w:w="1931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大纲更新时间</w:t>
            </w:r>
          </w:p>
        </w:tc>
        <w:tc>
          <w:tcPr>
            <w:tcW w:type="dxa" w:w="7123"/>
            <w:vAlign w:val="center"/>
            <w:gridSpan w:val="7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2026年9月</w:t>
            </w:r>
          </w:p>
        </w:tc>
      </w:tr>
    </w:tbl>
    <w:p/>
    <w:p>
      <w:pPr>
        <w:keepNext/>
        <w:spacing w:before="140" w:after="60"/>
      </w:pPr>
      <w:r>
        <w:rPr>
          <w:rFonts w:ascii="Times New Roman" w:hAnsi="Times New Roman" w:cs="Times New Roman" w:eastAsia="黑体" w:hint="eastAsia"/>
          <w:b/>
          <w:sz w:val="28"/>
          <w:lang w:eastAsia="zh-CN"/>
        </w:rPr>
        <w:t>二、课程目标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50"/>
        <w:gridCol w:w="4650"/>
        <w:gridCol w:w="3354"/>
      </w:tblGrid>
      <w:tr>
        <w:trPr>
          <w:tblHeader w:val="true"/>
        </w:trPr>
        <w:tc>
          <w:tcPr>
            <w:tcW w:type="dxa" w:w="105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课程总目标</w:t>
            </w:r>
          </w:p>
        </w:tc>
        <w:tc>
          <w:tcPr>
            <w:tcW w:type="dxa" w:w="465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课程子目标（参考学校定位、培养目标、毕业要求）</w:t>
            </w:r>
          </w:p>
        </w:tc>
        <w:tc>
          <w:tcPr>
            <w:tcW w:type="dxa" w:w="3354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达成方法</w:t>
            </w:r>
          </w:p>
        </w:tc>
      </w:tr>
      <w:tr>
        <w:trPr/>
        <w:tc>
          <w:tcPr>
            <w:tcW w:type="dxa" w:w="1050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1.知识</w:t>
            </w:r>
          </w:p>
        </w:tc>
        <w:tc>
          <w:tcPr>
            <w:tcW w:type="dxa" w:w="465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1.1 掌握计算机控制系统组成、采样保持、量化、离散化和离散系统基本性能，理解采样周期与计算延迟影响。</w:t>
            </w:r>
          </w:p>
        </w:tc>
        <w:tc>
          <w:tcPr>
            <w:tcW w:type="dxa" w:w="335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通过连续/离散闭环、采样信号和装备控制结构对比建立系统认识。</w:t>
            </w:r>
          </w:p>
        </w:tc>
      </w:tr>
      <w:tr>
        <w:trPr/>
        <w:tc>
          <w:tcPr>
            <w:tcW w:type="dxa" w:w="1050"/>
            <w:vMerge/>
          </w:tcPr>
          <w:p/>
        </w:tc>
        <w:tc>
          <w:tcPr>
            <w:tcW w:type="dxa" w:w="465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1.2 掌握过程通道、数据处理、数字滤波、数字PID及抗饱和等改进方法。</w:t>
            </w:r>
          </w:p>
        </w:tc>
        <w:tc>
          <w:tcPr>
            <w:tcW w:type="dxa" w:w="335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通过温度、速度和位置控制案例比较噪声、采样和PID参数影响。</w:t>
            </w:r>
          </w:p>
        </w:tc>
      </w:tr>
      <w:tr>
        <w:trPr/>
        <w:tc>
          <w:tcPr>
            <w:tcW w:type="dxa" w:w="1050"/>
            <w:vMerge/>
          </w:tcPr>
          <w:p/>
        </w:tc>
        <w:tc>
          <w:tcPr>
            <w:tcW w:type="dxa" w:w="465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1.3 掌握专家控制、模糊集合、隶属函数、规则、推理与解模糊，理解Mamdani/T-S控制。</w:t>
            </w:r>
          </w:p>
        </w:tc>
        <w:tc>
          <w:tcPr>
            <w:tcW w:type="dxa" w:w="335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将工程经验转化为规则库并比较隶属函数和规则变化。</w:t>
            </w:r>
          </w:p>
        </w:tc>
      </w:tr>
      <w:tr>
        <w:trPr/>
        <w:tc>
          <w:tcPr>
            <w:tcW w:type="dxa" w:w="1050"/>
            <w:vMerge/>
          </w:tcPr>
          <w:p/>
        </w:tc>
        <w:tc>
          <w:tcPr>
            <w:tcW w:type="dxa" w:w="465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1.4 理解BP/RBF等网络在系统辨识、补偿和控制中的基本结构及训练、泛化和误差。</w:t>
            </w:r>
          </w:p>
        </w:tc>
        <w:tc>
          <w:tcPr>
            <w:tcW w:type="dxa" w:w="335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以非线性对象数据拟合和神经网络辅助控制分析模型边界。</w:t>
            </w:r>
          </w:p>
        </w:tc>
      </w:tr>
      <w:tr>
        <w:trPr/>
        <w:tc>
          <w:tcPr>
            <w:tcW w:type="dxa" w:w="1050"/>
            <w:vMerge/>
          </w:tcPr>
          <w:p/>
        </w:tc>
        <w:tc>
          <w:tcPr>
            <w:tcW w:type="dxa" w:w="465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1.5 理解遗传算法、粒子群、学习控制、自适应和强化学习控制的基本思想。</w:t>
            </w:r>
          </w:p>
        </w:tc>
        <w:tc>
          <w:tcPr>
            <w:tcW w:type="dxa" w:w="335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以PID参数优化和重复任务为案例比较人工整定与智能优化。</w:t>
            </w:r>
          </w:p>
        </w:tc>
      </w:tr>
      <w:tr>
        <w:trPr/>
        <w:tc>
          <w:tcPr>
            <w:tcW w:type="dxa" w:w="1050"/>
            <w:vMerge/>
          </w:tcPr>
          <w:p/>
        </w:tc>
        <w:tc>
          <w:tcPr>
            <w:tcW w:type="dxa" w:w="465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1.6 掌握智能控制系统综合设计、实时性、网络、可靠性、抗干扰、故障安全和人机交互约束。</w:t>
            </w:r>
          </w:p>
        </w:tc>
        <w:tc>
          <w:tcPr>
            <w:tcW w:type="dxa" w:w="335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以机器人、伺服轴或温控装备完成需求—架构—算法—验证分析。</w:t>
            </w:r>
          </w:p>
        </w:tc>
      </w:tr>
      <w:tr>
        <w:trPr/>
        <w:tc>
          <w:tcPr>
            <w:tcW w:type="dxa" w:w="1050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2.能力</w:t>
            </w:r>
          </w:p>
        </w:tc>
        <w:tc>
          <w:tcPr>
            <w:tcW w:type="dxa" w:w="465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2.1 能绘制控制系统结构并分析采样、延迟、量化和噪声对控制效果的影响。</w:t>
            </w:r>
          </w:p>
        </w:tc>
        <w:tc>
          <w:tcPr>
            <w:tcW w:type="dxa" w:w="335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采用多采样周期和扰动对比，以曲线和指标解释选择。</w:t>
            </w:r>
          </w:p>
        </w:tc>
      </w:tr>
      <w:tr>
        <w:trPr/>
        <w:tc>
          <w:tcPr>
            <w:tcW w:type="dxa" w:w="1050"/>
            <w:vMerge/>
          </w:tcPr>
          <w:p/>
        </w:tc>
        <w:tc>
          <w:tcPr>
            <w:tcW w:type="dxa" w:w="465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2.2 能设计数字PID、完成参数整定与饱和/噪声处理，并评价超调、调节时间和误差。</w:t>
            </w:r>
          </w:p>
        </w:tc>
        <w:tc>
          <w:tcPr>
            <w:tcW w:type="dxa" w:w="335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通过阶跃、扰动和噪声案例训练整定与评价。</w:t>
            </w:r>
          </w:p>
        </w:tc>
      </w:tr>
      <w:tr>
        <w:trPr/>
        <w:tc>
          <w:tcPr>
            <w:tcW w:type="dxa" w:w="1050"/>
            <w:vMerge/>
          </w:tcPr>
          <w:p/>
        </w:tc>
        <w:tc>
          <w:tcPr>
            <w:tcW w:type="dxa" w:w="465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2.3 能将工程经验转化为模糊变量、隶属函数和规则库，构建基本模糊控制器。</w:t>
            </w:r>
          </w:p>
        </w:tc>
        <w:tc>
          <w:tcPr>
            <w:tcW w:type="dxa" w:w="335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完成规则表、推理过程、响应曲线和方案解释。</w:t>
            </w:r>
          </w:p>
        </w:tc>
      </w:tr>
      <w:tr>
        <w:trPr/>
        <w:tc>
          <w:tcPr>
            <w:tcW w:type="dxa" w:w="1050"/>
            <w:vMerge/>
          </w:tcPr>
          <w:p/>
        </w:tc>
        <w:tc>
          <w:tcPr>
            <w:tcW w:type="dxa" w:w="465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2.4 能利用采集数据建立基础神经网络模型并用于辨识、补偿或控制方案分析。</w:t>
            </w:r>
          </w:p>
        </w:tc>
        <w:tc>
          <w:tcPr>
            <w:tcW w:type="dxa" w:w="335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比较训练/验证误差和闭环性能，说明数据覆盖与过拟合。</w:t>
            </w:r>
          </w:p>
        </w:tc>
      </w:tr>
      <w:tr>
        <w:trPr/>
        <w:tc>
          <w:tcPr>
            <w:tcW w:type="dxa" w:w="1050"/>
            <w:vMerge/>
          </w:tcPr>
          <w:p/>
        </w:tc>
        <w:tc>
          <w:tcPr>
            <w:tcW w:type="dxa" w:w="465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2.5 能构造控制参数优化问题，使用遗传算法、粒子群或等价方法搜索并比较性能。</w:t>
            </w:r>
          </w:p>
        </w:tc>
        <w:tc>
          <w:tcPr>
            <w:tcW w:type="dxa" w:w="335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固定基线和随机种子，形成目标函数、约束和收敛证据。</w:t>
            </w:r>
          </w:p>
        </w:tc>
      </w:tr>
      <w:tr>
        <w:trPr/>
        <w:tc>
          <w:tcPr>
            <w:tcW w:type="dxa" w:w="1050"/>
            <w:vMerge/>
          </w:tcPr>
          <w:p/>
        </w:tc>
        <w:tc>
          <w:tcPr>
            <w:tcW w:type="dxa" w:w="465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2.6 能针对智能制造装备提出含传感、算法、执行、通信、异常和安全的控制系统方案。</w:t>
            </w:r>
          </w:p>
        </w:tc>
        <w:tc>
          <w:tcPr>
            <w:tcW w:type="dxa" w:w="335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提交系统框图、数据流、策略、参数、风险和验证计划。</w:t>
            </w:r>
          </w:p>
        </w:tc>
      </w:tr>
      <w:tr>
        <w:trPr/>
        <w:tc>
          <w:tcPr>
            <w:tcW w:type="dxa" w:w="1050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3.素质</w:t>
            </w:r>
          </w:p>
        </w:tc>
        <w:tc>
          <w:tcPr>
            <w:tcW w:type="dxa" w:w="465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3.1 形成以闭环、指标和证据评价控制效果的工程意识。</w:t>
            </w:r>
          </w:p>
        </w:tc>
        <w:tc>
          <w:tcPr>
            <w:tcW w:type="dxa" w:w="335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同时检查输出、控制量、扰动、边界和失败场景。</w:t>
            </w:r>
          </w:p>
        </w:tc>
      </w:tr>
      <w:tr>
        <w:trPr/>
        <w:tc>
          <w:tcPr>
            <w:tcW w:type="dxa" w:w="1050"/>
            <w:vMerge/>
          </w:tcPr>
          <w:p/>
        </w:tc>
        <w:tc>
          <w:tcPr>
            <w:tcW w:type="dxa" w:w="465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3.2 形成尊重采样数据、单位、时间和实验条件的严谨态度。</w:t>
            </w:r>
          </w:p>
        </w:tc>
        <w:tc>
          <w:tcPr>
            <w:tcW w:type="dxa" w:w="335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通过噪声、延迟、饱和和模型失配案例明确假设与范围。</w:t>
            </w:r>
          </w:p>
        </w:tc>
      </w:tr>
      <w:tr>
        <w:trPr/>
        <w:tc>
          <w:tcPr>
            <w:tcW w:type="dxa" w:w="1050"/>
            <w:vMerge/>
          </w:tcPr>
          <w:p/>
        </w:tc>
        <w:tc>
          <w:tcPr>
            <w:tcW w:type="dxa" w:w="465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3.3 形成安全、可靠和可维护的控制系统设计意识。</w:t>
            </w:r>
          </w:p>
        </w:tc>
        <w:tc>
          <w:tcPr>
            <w:tcW w:type="dxa" w:w="335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综合方案强制设置限幅、超时、异常状态和安全降级。</w:t>
            </w:r>
          </w:p>
        </w:tc>
      </w:tr>
      <w:tr>
        <w:trPr/>
        <w:tc>
          <w:tcPr>
            <w:tcW w:type="dxa" w:w="1050"/>
            <w:vMerge/>
          </w:tcPr>
          <w:p/>
        </w:tc>
        <w:tc>
          <w:tcPr>
            <w:tcW w:type="dxa" w:w="465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3.4 形成控制、计算机、AI、传感器和装备机理的多学科系统观。</w:t>
            </w:r>
          </w:p>
        </w:tc>
        <w:tc>
          <w:tcPr>
            <w:tcW w:type="dxa" w:w="335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通过数控、机器人和过程装备案例进行结构分解。</w:t>
            </w:r>
          </w:p>
        </w:tc>
      </w:tr>
      <w:tr>
        <w:trPr/>
        <w:tc>
          <w:tcPr>
            <w:tcW w:type="dxa" w:w="1050"/>
            <w:vMerge/>
          </w:tcPr>
          <w:p/>
        </w:tc>
        <w:tc>
          <w:tcPr>
            <w:tcW w:type="dxa" w:w="465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3.5 形成可复现计算与技术表达习惯，对工具或AI辅助结果承担验证责任。</w:t>
            </w:r>
          </w:p>
        </w:tc>
        <w:tc>
          <w:tcPr>
            <w:tcW w:type="dxa" w:w="335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课程作业保留参数、数据、代码/公式和结果依据。</w:t>
            </w:r>
          </w:p>
        </w:tc>
      </w:tr>
      <w:tr>
        <w:trPr/>
        <w:tc>
          <w:tcPr>
            <w:tcW w:type="dxa" w:w="1050"/>
            <w:vMerge/>
          </w:tcPr>
          <w:p/>
        </w:tc>
        <w:tc>
          <w:tcPr>
            <w:tcW w:type="dxa" w:w="465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3.6 形成持续学习意识，能判断新算法的适用条件、工程成本与局限。</w:t>
            </w:r>
          </w:p>
        </w:tc>
        <w:tc>
          <w:tcPr>
            <w:tcW w:type="dxa" w:w="335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通过教材和技术资料阅读，以证据说明技术选择。</w:t>
            </w:r>
          </w:p>
        </w:tc>
      </w:tr>
    </w:tbl>
    <w:p/>
    <w:p>
      <w:pPr>
        <w:keepNext/>
        <w:spacing w:before="140" w:after="60"/>
      </w:pPr>
      <w:r>
        <w:rPr>
          <w:rFonts w:ascii="Times New Roman" w:hAnsi="Times New Roman" w:cs="Times New Roman" w:eastAsia="黑体" w:hint="eastAsia"/>
          <w:b/>
          <w:sz w:val="28"/>
          <w:lang w:eastAsia="zh-CN"/>
        </w:rPr>
        <w:t>三、理论教学环节及基本要求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00"/>
        <w:gridCol w:w="1900"/>
        <w:gridCol w:w="600"/>
        <w:gridCol w:w="1000"/>
        <w:gridCol w:w="3000"/>
        <w:gridCol w:w="1254"/>
      </w:tblGrid>
      <w:tr>
        <w:trPr>
          <w:tblHeader w:val="true"/>
        </w:trPr>
        <w:tc>
          <w:tcPr>
            <w:tcW w:type="dxa" w:w="130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单元标题</w:t>
            </w:r>
          </w:p>
        </w:tc>
        <w:tc>
          <w:tcPr>
            <w:tcW w:type="dxa" w:w="190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教学内容</w:t>
            </w:r>
          </w:p>
        </w:tc>
        <w:tc>
          <w:tcPr>
            <w:tcW w:type="dxa" w:w="60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学时</w:t>
            </w:r>
          </w:p>
        </w:tc>
        <w:tc>
          <w:tcPr>
            <w:tcW w:type="dxa" w:w="4000"/>
            <w:vAlign w:val="center"/>
            <w:gridSpan w:val="2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课程要求</w:t>
            </w:r>
          </w:p>
        </w:tc>
        <w:tc>
          <w:tcPr>
            <w:tcW w:type="dxa" w:w="1254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课程目标</w:t>
            </w:r>
          </w:p>
        </w:tc>
      </w:tr>
      <w:tr>
        <w:trPr/>
        <w:tc>
          <w:tcPr>
            <w:tcW w:type="dxa" w:w="1300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第一单元 计算机控制系统与离散控制基础</w:t>
            </w:r>
          </w:p>
        </w:tc>
        <w:tc>
          <w:tcPr>
            <w:tcW w:type="dxa" w:w="1900"/>
            <w:vMerge w:val="restart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计算机控制系统组成与典型形式；采样、保持与量化；采样定理；Z变换与脉冲传递函数概念；连续对象离散化；采样周期、计算延迟与离散系统性能</w:t>
            </w:r>
          </w:p>
        </w:tc>
        <w:tc>
          <w:tcPr>
            <w:tcW w:type="dxa" w:w="600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思政融入点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时间约束与控制安全</w:t>
            </w:r>
          </w:p>
        </w:tc>
        <w:tc>
          <w:tcPr>
            <w:tcW w:type="dxa" w:w="1254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1.1，2.1，3.1，3.2</w:t>
            </w:r>
          </w:p>
        </w:tc>
      </w:tr>
      <w:tr>
        <w:trPr/>
        <w:tc>
          <w:tcPr>
            <w:tcW w:type="dxa" w:w="1300"/>
            <w:vMerge/>
          </w:tcPr>
          <w:p/>
        </w:tc>
        <w:tc>
          <w:tcPr>
            <w:tcW w:type="dxa" w:w="190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预期学习成果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掌握计算机控制与离散控制基础；能分析采样/延迟影响；形成模型边界意识。</w:t>
            </w:r>
          </w:p>
        </w:tc>
        <w:tc>
          <w:tcPr>
            <w:tcW w:type="dxa" w:w="1254"/>
            <w:vMerge/>
          </w:tcPr>
          <w:p/>
        </w:tc>
      </w:tr>
      <w:tr>
        <w:trPr/>
        <w:tc>
          <w:tcPr>
            <w:tcW w:type="dxa" w:w="1300"/>
            <w:vMerge/>
          </w:tcPr>
          <w:p/>
        </w:tc>
        <w:tc>
          <w:tcPr>
            <w:tcW w:type="dxa" w:w="190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教学方式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讲授、结构图、离散化演示、Python响应对比</w:t>
            </w:r>
          </w:p>
        </w:tc>
        <w:tc>
          <w:tcPr>
            <w:tcW w:type="dxa" w:w="1254"/>
            <w:vMerge/>
          </w:tcPr>
          <w:p/>
        </w:tc>
      </w:tr>
      <w:tr>
        <w:trPr/>
        <w:tc>
          <w:tcPr>
            <w:tcW w:type="dxa" w:w="1300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第二单元 数据采集、数字滤波与数字PID</w:t>
            </w:r>
          </w:p>
        </w:tc>
        <w:tc>
          <w:tcPr>
            <w:tcW w:type="dxa" w:w="1900"/>
            <w:vMerge w:val="restart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过程输入输出通道；A/D、D/A与数据采集；标度变换；异常值与数字滤波；位置式/增量式PID；积分分离、抗饱和、微分滤波；参数整定与性能指标</w:t>
            </w:r>
          </w:p>
        </w:tc>
        <w:tc>
          <w:tcPr>
            <w:tcW w:type="dxa" w:w="600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思政融入点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数据真实性、执行器保护与控制责任</w:t>
            </w:r>
          </w:p>
        </w:tc>
        <w:tc>
          <w:tcPr>
            <w:tcW w:type="dxa" w:w="1254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1.2，2.2，3.1—3.3</w:t>
            </w:r>
          </w:p>
        </w:tc>
      </w:tr>
      <w:tr>
        <w:trPr/>
        <w:tc>
          <w:tcPr>
            <w:tcW w:type="dxa" w:w="1300"/>
            <w:vMerge/>
          </w:tcPr>
          <w:p/>
        </w:tc>
        <w:tc>
          <w:tcPr>
            <w:tcW w:type="dxa" w:w="190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预期学习成果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掌握采集处理和数字PID；能整定并评价超调、误差、调节时间和控制量。</w:t>
            </w:r>
          </w:p>
        </w:tc>
        <w:tc>
          <w:tcPr>
            <w:tcW w:type="dxa" w:w="1254"/>
            <w:vMerge/>
          </w:tcPr>
          <w:p/>
        </w:tc>
      </w:tr>
      <w:tr>
        <w:trPr/>
        <w:tc>
          <w:tcPr>
            <w:tcW w:type="dxa" w:w="1300"/>
            <w:vMerge/>
          </w:tcPr>
          <w:p/>
        </w:tc>
        <w:tc>
          <w:tcPr>
            <w:tcW w:type="dxa" w:w="190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教学方式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讲授、响应曲线、参数对比、Python PID演示</w:t>
            </w:r>
          </w:p>
        </w:tc>
        <w:tc>
          <w:tcPr>
            <w:tcW w:type="dxa" w:w="1254"/>
            <w:vMerge/>
          </w:tcPr>
          <w:p/>
        </w:tc>
      </w:tr>
      <w:tr>
        <w:trPr/>
        <w:tc>
          <w:tcPr>
            <w:tcW w:type="dxa" w:w="1300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第三单元 专家控制与模糊控制</w:t>
            </w:r>
          </w:p>
        </w:tc>
        <w:tc>
          <w:tcPr>
            <w:tcW w:type="dxa" w:w="1900"/>
            <w:vMerge w:val="restart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智能控制基本概念；专家控制；知识与规则；模糊集合、隶属函数、模糊化；规则库；Mamdani/T-S推理；解模糊；模糊控制器设计</w:t>
            </w:r>
          </w:p>
        </w:tc>
        <w:tc>
          <w:tcPr>
            <w:tcW w:type="dxa" w:w="600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思政融入点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知识来源、规则可解释性与验证责任</w:t>
            </w:r>
          </w:p>
        </w:tc>
        <w:tc>
          <w:tcPr>
            <w:tcW w:type="dxa" w:w="1254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1.3，2.3，3.1，3.4</w:t>
            </w:r>
          </w:p>
        </w:tc>
      </w:tr>
      <w:tr>
        <w:trPr/>
        <w:tc>
          <w:tcPr>
            <w:tcW w:type="dxa" w:w="1300"/>
            <w:vMerge/>
          </w:tcPr>
          <w:p/>
        </w:tc>
        <w:tc>
          <w:tcPr>
            <w:tcW w:type="dxa" w:w="190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预期学习成果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掌握专家/模糊控制结构；能设计基本模糊控制器并分析规则参数。</w:t>
            </w:r>
          </w:p>
        </w:tc>
        <w:tc>
          <w:tcPr>
            <w:tcW w:type="dxa" w:w="1254"/>
            <w:vMerge/>
          </w:tcPr>
          <w:p/>
        </w:tc>
      </w:tr>
      <w:tr>
        <w:trPr/>
        <w:tc>
          <w:tcPr>
            <w:tcW w:type="dxa" w:w="1300"/>
            <w:vMerge/>
          </w:tcPr>
          <w:p/>
        </w:tc>
        <w:tc>
          <w:tcPr>
            <w:tcW w:type="dxa" w:w="190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教学方式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讲授、规则表、隶属函数可视化、模糊控制案例</w:t>
            </w:r>
          </w:p>
        </w:tc>
        <w:tc>
          <w:tcPr>
            <w:tcW w:type="dxa" w:w="1254"/>
            <w:vMerge/>
          </w:tcPr>
          <w:p/>
        </w:tc>
      </w:tr>
      <w:tr>
        <w:trPr/>
        <w:tc>
          <w:tcPr>
            <w:tcW w:type="dxa" w:w="1300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第四单元 神经网络辨识与智能控制</w:t>
            </w:r>
          </w:p>
        </w:tc>
        <w:tc>
          <w:tcPr>
            <w:tcW w:type="dxa" w:w="1900"/>
            <w:vMerge w:val="restart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神经元与网络；感知器、BP、RBF；训练、损失、验证和泛化；非线性系统辨识；逆模型/前馈补偿；神经网络PID与自适应控制概念</w:t>
            </w:r>
          </w:p>
        </w:tc>
        <w:tc>
          <w:tcPr>
            <w:tcW w:type="dxa" w:w="600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思政融入点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训练数据偏差、闭环失效与模型安全边界</w:t>
            </w:r>
          </w:p>
        </w:tc>
        <w:tc>
          <w:tcPr>
            <w:tcW w:type="dxa" w:w="1254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1.4，2.4，3.2，3.5</w:t>
            </w:r>
          </w:p>
        </w:tc>
      </w:tr>
      <w:tr>
        <w:trPr/>
        <w:tc>
          <w:tcPr>
            <w:tcW w:type="dxa" w:w="1300"/>
            <w:vMerge/>
          </w:tcPr>
          <w:p/>
        </w:tc>
        <w:tc>
          <w:tcPr>
            <w:tcW w:type="dxa" w:w="190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预期学习成果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理解神经网络辨识和控制；能基于数据训练基础模型并评价误差与应用边界。</w:t>
            </w:r>
          </w:p>
        </w:tc>
        <w:tc>
          <w:tcPr>
            <w:tcW w:type="dxa" w:w="1254"/>
            <w:vMerge/>
          </w:tcPr>
          <w:p/>
        </w:tc>
      </w:tr>
      <w:tr>
        <w:trPr/>
        <w:tc>
          <w:tcPr>
            <w:tcW w:type="dxa" w:w="1300"/>
            <w:vMerge/>
          </w:tcPr>
          <w:p/>
        </w:tc>
        <w:tc>
          <w:tcPr>
            <w:tcW w:type="dxa" w:w="190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教学方式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讲授、数据集划分、Python网络演示、闭环案例</w:t>
            </w:r>
          </w:p>
        </w:tc>
        <w:tc>
          <w:tcPr>
            <w:tcW w:type="dxa" w:w="1254"/>
            <w:vMerge/>
          </w:tcPr>
          <w:p/>
        </w:tc>
      </w:tr>
      <w:tr>
        <w:trPr/>
        <w:tc>
          <w:tcPr>
            <w:tcW w:type="dxa" w:w="1300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第五单元 智能优化、学习与参数整定</w:t>
            </w:r>
          </w:p>
        </w:tc>
        <w:tc>
          <w:tcPr>
            <w:tcW w:type="dxa" w:w="1900"/>
            <w:vMerge w:val="restart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控制参数优化；目标函数与约束；遗传算法；粒子群；随机搜索与收敛；PID/模糊/网络参数优化；迭代学习、自适应与强化学习控制概念</w:t>
            </w:r>
          </w:p>
        </w:tc>
        <w:tc>
          <w:tcPr>
            <w:tcW w:type="dxa" w:w="600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思政融入点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随机优化复现性、计算资源与试错风险</w:t>
            </w:r>
          </w:p>
        </w:tc>
        <w:tc>
          <w:tcPr>
            <w:tcW w:type="dxa" w:w="1254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1.5，2.5，3.1，3.5，3.6</w:t>
            </w:r>
          </w:p>
        </w:tc>
      </w:tr>
      <w:tr>
        <w:trPr/>
        <w:tc>
          <w:tcPr>
            <w:tcW w:type="dxa" w:w="1300"/>
            <w:vMerge/>
          </w:tcPr>
          <w:p/>
        </w:tc>
        <w:tc>
          <w:tcPr>
            <w:tcW w:type="dxa" w:w="190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预期学习成果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理解智能优化和学习控制；能构造参数优化问题并比较优化前后性能。</w:t>
            </w:r>
          </w:p>
        </w:tc>
        <w:tc>
          <w:tcPr>
            <w:tcW w:type="dxa" w:w="1254"/>
            <w:vMerge/>
          </w:tcPr>
          <w:p/>
        </w:tc>
      </w:tr>
      <w:tr>
        <w:trPr/>
        <w:tc>
          <w:tcPr>
            <w:tcW w:type="dxa" w:w="1300"/>
            <w:vMerge/>
          </w:tcPr>
          <w:p/>
        </w:tc>
        <w:tc>
          <w:tcPr>
            <w:tcW w:type="dxa" w:w="190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教学方式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讲授、优化流程、收敛曲线、Python GA/PSO示例</w:t>
            </w:r>
          </w:p>
        </w:tc>
        <w:tc>
          <w:tcPr>
            <w:tcW w:type="dxa" w:w="1254"/>
            <w:vMerge/>
          </w:tcPr>
          <w:p/>
        </w:tc>
      </w:tr>
      <w:tr>
        <w:trPr/>
        <w:tc>
          <w:tcPr>
            <w:tcW w:type="dxa" w:w="1300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第六单元 智能控制系统综合设计与制造应用</w:t>
            </w:r>
          </w:p>
        </w:tc>
        <w:tc>
          <w:tcPr>
            <w:tcW w:type="dxa" w:w="1900"/>
            <w:vMerge w:val="restart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需求与指标；传感—计算—执行架构；实时性与任务调度概念；网络化控制；可靠性、抗干扰与故障安全；日志与人机交互；机器人、数控、温控与制造单元案例</w:t>
            </w:r>
          </w:p>
        </w:tc>
        <w:tc>
          <w:tcPr>
            <w:tcW w:type="dxa" w:w="600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思政融入点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安全生产、故障降级、人工接管与工程伦理</w:t>
            </w:r>
          </w:p>
        </w:tc>
        <w:tc>
          <w:tcPr>
            <w:tcW w:type="dxa" w:w="1254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1.6，2.6，3.3，3.4，3.6</w:t>
            </w:r>
          </w:p>
        </w:tc>
      </w:tr>
      <w:tr>
        <w:trPr/>
        <w:tc>
          <w:tcPr>
            <w:tcW w:type="dxa" w:w="1300"/>
            <w:vMerge/>
          </w:tcPr>
          <w:p/>
        </w:tc>
        <w:tc>
          <w:tcPr>
            <w:tcW w:type="dxa" w:w="190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预期学习成果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掌握综合设计流程；能形成完整系统方案并说明算法、接口、风险和验证方法。</w:t>
            </w:r>
          </w:p>
        </w:tc>
        <w:tc>
          <w:tcPr>
            <w:tcW w:type="dxa" w:w="1254"/>
            <w:vMerge/>
          </w:tcPr>
          <w:p/>
        </w:tc>
      </w:tr>
      <w:tr>
        <w:trPr/>
        <w:tc>
          <w:tcPr>
            <w:tcW w:type="dxa" w:w="1300"/>
            <w:vMerge/>
          </w:tcPr>
          <w:p/>
        </w:tc>
        <w:tc>
          <w:tcPr>
            <w:tcW w:type="dxa" w:w="190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教学方式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案例讲授、系统框图、方案评审、综合分析</w:t>
            </w:r>
          </w:p>
        </w:tc>
        <w:tc>
          <w:tcPr>
            <w:tcW w:type="dxa" w:w="1254"/>
            <w:vMerge/>
          </w:tcPr>
          <w:p/>
        </w:tc>
      </w:tr>
    </w:tbl>
    <w:p>
      <w:pPr>
        <w:jc w:val="left"/>
      </w:pPr>
      <w:r>
        <w:rPr>
          <w:rFonts w:ascii="Times New Roman" w:hAnsi="Times New Roman" w:eastAsia="宋体"/>
          <w:b/>
          <w:sz w:val="21"/>
        </w:rPr>
        <w:t>理论总学时 48</w:t>
      </w:r>
    </w:p>
    <w:p>
      <w:pPr>
        <w:keepNext/>
        <w:spacing w:before="140" w:after="60"/>
      </w:pPr>
      <w:r>
        <w:rPr>
          <w:rFonts w:ascii="Times New Roman" w:hAnsi="Times New Roman" w:cs="Times New Roman" w:eastAsia="黑体" w:hint="eastAsia"/>
          <w:b/>
          <w:sz w:val="28"/>
          <w:lang w:eastAsia="zh-CN"/>
        </w:rPr>
        <w:t>四、课程评价</w:t>
      </w:r>
    </w:p>
    <w:p>
      <w:pPr>
        <w:keepNext/>
        <w:spacing w:before="80" w:after="40"/>
      </w:pPr>
      <w:r>
        <w:rPr>
          <w:rFonts w:ascii="Times New Roman" w:hAnsi="Times New Roman" w:cs="Times New Roman" w:eastAsia="宋体" w:hint="eastAsia"/>
          <w:b/>
          <w:sz w:val="24"/>
          <w:lang w:eastAsia="zh-CN"/>
        </w:rPr>
        <w:t>（一）考核内容、考核方式与课程目标对应关系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0"/>
        <w:gridCol w:w="700"/>
        <w:gridCol w:w="700"/>
        <w:gridCol w:w="1100"/>
        <w:gridCol w:w="1100"/>
        <w:gridCol w:w="1300"/>
        <w:gridCol w:w="2654"/>
      </w:tblGrid>
      <w:tr>
        <w:trPr>
          <w:tblHeader w:val="true"/>
        </w:trPr>
        <w:tc>
          <w:tcPr>
            <w:tcW w:type="dxa" w:w="1500"/>
            <w:vAlign w:val="center"/>
            <w:vMerge w:val="restart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考核内容</w:t>
            </w:r>
          </w:p>
        </w:tc>
        <w:tc>
          <w:tcPr>
            <w:tcW w:type="dxa" w:w="700"/>
            <w:vAlign w:val="center"/>
            <w:vMerge w:val="restart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总学时</w:t>
            </w:r>
          </w:p>
        </w:tc>
        <w:tc>
          <w:tcPr>
            <w:tcW w:type="dxa" w:w="700"/>
            <w:vAlign w:val="center"/>
            <w:vMerge w:val="restart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理论学时</w:t>
            </w:r>
          </w:p>
        </w:tc>
        <w:tc>
          <w:tcPr>
            <w:tcW w:type="dxa" w:w="3500"/>
            <w:vAlign w:val="center"/>
            <w:gridSpan w:val="3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考核方式及占比（100%）</w:t>
            </w:r>
          </w:p>
        </w:tc>
        <w:tc>
          <w:tcPr>
            <w:tcW w:type="dxa" w:w="2654"/>
            <w:vAlign w:val="center"/>
            <w:vMerge w:val="restart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课程目标</w:t>
            </w:r>
          </w:p>
        </w:tc>
      </w:tr>
      <w:tr>
        <w:trPr>
          <w:tblHeader w:val="true"/>
        </w:trPr>
        <w:tc>
          <w:tcPr>
            <w:tcW w:type="dxa" w:w="1500"/>
            <w:vAlign w:val="center"/>
            <w:vMerge/>
            <w:tcMar>
              <w:top w:w="65" w:type="dxa"/>
              <w:bottom w:w="65" w:type="dxa"/>
              <w:start w:w="65" w:type="dxa"/>
              <w:end w:w="65" w:type="dxa"/>
            </w:tcMar>
          </w:tcPr>
          <w:p/>
        </w:tc>
        <w:tc>
          <w:tcPr>
            <w:tcW w:type="dxa" w:w="700"/>
            <w:vAlign w:val="center"/>
            <w:vMerge/>
            <w:tcMar>
              <w:top w:w="65" w:type="dxa"/>
              <w:bottom w:w="65" w:type="dxa"/>
              <w:start w:w="65" w:type="dxa"/>
              <w:end w:w="65" w:type="dxa"/>
            </w:tcMar>
          </w:tcPr>
          <w:p/>
        </w:tc>
        <w:tc>
          <w:tcPr>
            <w:tcW w:type="dxa" w:w="700"/>
            <w:vAlign w:val="center"/>
            <w:vMerge/>
            <w:tcMar>
              <w:top w:w="65" w:type="dxa"/>
              <w:bottom w:w="65" w:type="dxa"/>
              <w:start w:w="65" w:type="dxa"/>
              <w:end w:w="65" w:type="dxa"/>
            </w:tcMar>
          </w:tcPr>
          <w:p/>
        </w:tc>
        <w:tc>
          <w:tcPr>
            <w:tcW w:type="dxa" w:w="110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平时成绩（20%）</w:t>
            </w:r>
          </w:p>
        </w:tc>
        <w:tc>
          <w:tcPr>
            <w:tcW w:type="dxa" w:w="110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课程作业（20%）</w:t>
            </w:r>
          </w:p>
        </w:tc>
        <w:tc>
          <w:tcPr>
            <w:tcW w:type="dxa" w:w="130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期末考核（60%）</w:t>
            </w:r>
          </w:p>
        </w:tc>
        <w:tc>
          <w:tcPr>
            <w:tcW w:type="dxa" w:w="2654"/>
            <w:vAlign w:val="center"/>
            <w:vMerge/>
            <w:tcMar>
              <w:top w:w="65" w:type="dxa"/>
              <w:bottom w:w="65" w:type="dxa"/>
              <w:start w:w="65" w:type="dxa"/>
              <w:end w:w="65" w:type="dxa"/>
            </w:tcMar>
          </w:tcPr>
          <w:p/>
        </w:tc>
      </w:tr>
      <w:tr>
        <w:trPr>
          <w:cantSplit/>
        </w:trP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第一单元 计算机控制系统与离散控制基础</w:t>
            </w:r>
          </w:p>
        </w:tc>
        <w:tc>
          <w:tcPr>
            <w:tcW w:type="dxa" w:w="7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type="dxa" w:w="7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265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1.1，2.1，3.1，3.2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第二单元 数据采集、数字滤波与数字PID</w:t>
            </w:r>
          </w:p>
        </w:tc>
        <w:tc>
          <w:tcPr>
            <w:tcW w:type="dxa" w:w="7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type="dxa" w:w="7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265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1.2，2.2，3.1—3.3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第三单元 专家控制与模糊控制</w:t>
            </w:r>
          </w:p>
        </w:tc>
        <w:tc>
          <w:tcPr>
            <w:tcW w:type="dxa" w:w="7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type="dxa" w:w="7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265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1.3，2.3，3.1，3.4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第四单元 神经网络辨识与智能控制</w:t>
            </w:r>
          </w:p>
        </w:tc>
        <w:tc>
          <w:tcPr>
            <w:tcW w:type="dxa" w:w="7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type="dxa" w:w="7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265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1.4，2.4，3.2，3.5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第五单元 智能优化、学习与参数整定</w:t>
            </w:r>
          </w:p>
        </w:tc>
        <w:tc>
          <w:tcPr>
            <w:tcW w:type="dxa" w:w="7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type="dxa" w:w="7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265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1.5，2.5，3.1，3.5，3.6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第六单元 智能控制系统综合设计与制造应用</w:t>
            </w:r>
          </w:p>
        </w:tc>
        <w:tc>
          <w:tcPr>
            <w:tcW w:type="dxa" w:w="7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type="dxa" w:w="7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10%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265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1.6，2.6，3.3，3.4，3.6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合计</w:t>
            </w:r>
          </w:p>
        </w:tc>
        <w:tc>
          <w:tcPr>
            <w:tcW w:type="dxa" w:w="7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48</w:t>
            </w:r>
          </w:p>
        </w:tc>
        <w:tc>
          <w:tcPr>
            <w:tcW w:type="dxa" w:w="7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48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100%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100%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100%</w:t>
            </w:r>
          </w:p>
        </w:tc>
        <w:tc>
          <w:tcPr>
            <w:tcW w:type="dxa" w:w="2654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—</w:t>
            </w:r>
          </w:p>
        </w:tc>
      </w:tr>
    </w:tbl>
    <w:p/>
    <w:p>
      <w:pPr>
        <w:keepNext/>
        <w:spacing w:before="80" w:after="40"/>
      </w:pPr>
      <w:r>
        <w:rPr>
          <w:rFonts w:ascii="Times New Roman" w:hAnsi="Times New Roman" w:cs="Times New Roman" w:eastAsia="宋体" w:hint="eastAsia"/>
          <w:b/>
          <w:sz w:val="24"/>
          <w:lang w:eastAsia="zh-CN"/>
        </w:rPr>
        <w:t>（二）考核方式与评分标准</w:t>
      </w:r>
    </w:p>
    <w:p>
      <w:pPr>
        <w:keepNext/>
        <w:spacing w:before="80" w:after="40"/>
      </w:pPr>
      <w:r>
        <w:rPr>
          <w:rFonts w:ascii="Times New Roman" w:hAnsi="Times New Roman" w:cs="Times New Roman" w:eastAsia="宋体" w:hint="eastAsia"/>
          <w:b/>
          <w:sz w:val="24"/>
          <w:lang w:eastAsia="zh-CN"/>
        </w:rPr>
        <w:t>1.考核方式</w:t>
      </w:r>
    </w:p>
    <w:p>
      <w:pPr>
        <w:spacing w:before="0" w:after="0" w:line="293" w:lineRule="auto"/>
      </w:pPr>
      <w:r>
        <w:rPr>
          <w:rFonts w:ascii="Times New Roman" w:hAnsi="Times New Roman" w:cs="Times New Roman" w:eastAsia="宋体" w:hint="eastAsia"/>
          <w:b w:val="0"/>
          <w:sz w:val="21"/>
          <w:lang w:eastAsia="zh-CN"/>
        </w:rPr>
        <w:t>考查。</w:t>
      </w:r>
    </w:p>
    <w:p>
      <w:pPr>
        <w:keepNext/>
        <w:spacing w:before="80" w:after="40"/>
      </w:pPr>
      <w:r>
        <w:rPr>
          <w:rFonts w:ascii="Times New Roman" w:hAnsi="Times New Roman" w:cs="Times New Roman" w:eastAsia="宋体" w:hint="eastAsia"/>
          <w:b/>
          <w:sz w:val="24"/>
          <w:lang w:eastAsia="zh-CN"/>
        </w:rPr>
        <w:t>2.评分说明</w:t>
      </w:r>
    </w:p>
    <w:p>
      <w:pPr>
        <w:spacing w:before="0" w:after="0" w:line="283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本课程采用平时成绩、课程作业和期末考核相结合的方式。最终成绩100%=平时成绩20%＋课程作业20%＋期末考核60%。平时成绩依据课堂参与、学习过程、规范、记录和学术诚信综合评价；课程作业整合原有采样与离散控制分析、数字PID、模糊控制、神经网络辨识/控制、智能优化以及系统方案等阶段性学习证据；期末考核保持本课程“考查”性质，采用计算机智能控制系统综合分析与设计报告，并结合方案答辩或个人核验，重点评价离散控制与数字PID、专家/模糊控制、神经网络辨识与控制、智能优化以及面向智能制造装备的综合控制系统设计、安全边界和验证能力，不新增闭卷笔试或机考。</w:t>
      </w:r>
    </w:p>
    <w:p>
      <w:pPr>
        <w:keepNext/>
        <w:spacing w:before="80" w:after="40"/>
      </w:pPr>
      <w:r>
        <w:rPr>
          <w:rFonts w:ascii="Times New Roman" w:hAnsi="Times New Roman" w:cs="Times New Roman" w:eastAsia="宋体" w:hint="eastAsia"/>
          <w:b/>
          <w:sz w:val="24"/>
          <w:lang w:eastAsia="zh-CN"/>
        </w:rPr>
        <w:t>3.评分标准分项说明</w:t>
      </w:r>
    </w:p>
    <w:p>
      <w:pPr>
        <w:keepNext/>
        <w:spacing w:before="0" w:after="0" w:line="283" w:lineRule="auto"/>
      </w:pPr>
      <w:r>
        <w:rPr>
          <w:rFonts w:ascii="Times New Roman" w:hAnsi="Times New Roman" w:eastAsia="宋体"/>
          <w:b/>
          <w:sz w:val="24"/>
        </w:rPr>
        <w:t>（1）平时成绩评分标准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70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20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5"/>
                <w:lang w:eastAsia="zh-CN"/>
              </w:rPr>
              <w:t>评分指标</w:t>
            </w:r>
          </w:p>
        </w:tc>
        <w:tc>
          <w:tcPr>
            <w:tcW w:type="dxa" w:w="70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5"/>
                <w:lang w:eastAsia="zh-CN"/>
              </w:rPr>
              <w:t>指标权重</w:t>
            </w:r>
          </w:p>
        </w:tc>
        <w:tc>
          <w:tcPr>
            <w:tcW w:type="dxa" w:w="143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5"/>
                <w:lang w:eastAsia="zh-CN"/>
              </w:rPr>
              <w:t>90–100（优）</w:t>
            </w:r>
          </w:p>
        </w:tc>
        <w:tc>
          <w:tcPr>
            <w:tcW w:type="dxa" w:w="143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5"/>
                <w:lang w:eastAsia="zh-CN"/>
              </w:rPr>
              <w:t>80–89（良）</w:t>
            </w:r>
          </w:p>
        </w:tc>
        <w:tc>
          <w:tcPr>
            <w:tcW w:type="dxa" w:w="143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5"/>
                <w:lang w:eastAsia="zh-CN"/>
              </w:rPr>
              <w:t>70–79（中）</w:t>
            </w:r>
          </w:p>
        </w:tc>
        <w:tc>
          <w:tcPr>
            <w:tcW w:type="dxa" w:w="143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5"/>
                <w:lang w:eastAsia="zh-CN"/>
              </w:rPr>
              <w:t>60–69（及格）</w:t>
            </w:r>
          </w:p>
        </w:tc>
        <w:tc>
          <w:tcPr>
            <w:tcW w:type="dxa" w:w="143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5"/>
                <w:lang w:eastAsia="zh-CN"/>
              </w:rPr>
              <w:t>0–59（不及格）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考勤与课堂规范</w:t>
            </w:r>
          </w:p>
        </w:tc>
        <w:tc>
          <w:tcPr>
            <w:tcW w:type="dxa" w:w="7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5"/>
                <w:lang w:eastAsia="zh-CN"/>
              </w:rPr>
              <w:t>30%</w:t>
            </w:r>
          </w:p>
        </w:tc>
        <w:tc>
          <w:tcPr>
            <w:tcW w:type="dxa" w:w="143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出勤完整，严格遵守课堂、数据、软件和信息安全规范</w:t>
            </w:r>
          </w:p>
        </w:tc>
        <w:tc>
          <w:tcPr>
            <w:tcW w:type="dxa" w:w="143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出勤良好，偶有轻微迟到或规范疏漏</w:t>
            </w:r>
          </w:p>
        </w:tc>
        <w:tc>
          <w:tcPr>
            <w:tcW w:type="dxa" w:w="143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出勤基本正常，能够遵守主要规范</w:t>
            </w:r>
          </w:p>
        </w:tc>
        <w:tc>
          <w:tcPr>
            <w:tcW w:type="dxa" w:w="143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达到最低出勤要求，经提醒能遵守规范</w:t>
            </w:r>
          </w:p>
        </w:tc>
        <w:tc>
          <w:tcPr>
            <w:tcW w:type="dxa" w:w="143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缺勤较多或多次违反课堂、数据或安全规范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课堂参与与控制分析</w:t>
            </w:r>
          </w:p>
        </w:tc>
        <w:tc>
          <w:tcPr>
            <w:tcW w:type="dxa" w:w="7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5"/>
                <w:lang w:eastAsia="zh-CN"/>
              </w:rPr>
              <w:t>30%</w:t>
            </w:r>
          </w:p>
        </w:tc>
        <w:tc>
          <w:tcPr>
            <w:tcW w:type="dxa" w:w="143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主动参与控制结构、算法、响应曲线和案例分析，能够用指标和证据说明观点</w:t>
            </w:r>
          </w:p>
        </w:tc>
        <w:tc>
          <w:tcPr>
            <w:tcW w:type="dxa" w:w="143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能够参与主要活动并较清楚说明思路</w:t>
            </w:r>
          </w:p>
        </w:tc>
        <w:tc>
          <w:tcPr>
            <w:tcW w:type="dxa" w:w="143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基本参与课堂任务并完成主要要求</w:t>
            </w:r>
          </w:p>
        </w:tc>
        <w:tc>
          <w:tcPr>
            <w:tcW w:type="dxa" w:w="143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经提醒可参与并完成基础要求</w:t>
            </w:r>
          </w:p>
        </w:tc>
        <w:tc>
          <w:tcPr>
            <w:tcW w:type="dxa" w:w="143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长期不参与或无法完成基本分析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学习记录、技术表达与学术诚信</w:t>
            </w:r>
          </w:p>
        </w:tc>
        <w:tc>
          <w:tcPr>
            <w:tcW w:type="dxa" w:w="7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5"/>
                <w:lang w:eastAsia="zh-CN"/>
              </w:rPr>
              <w:t>40%</w:t>
            </w:r>
          </w:p>
        </w:tc>
        <w:tc>
          <w:tcPr>
            <w:tcW w:type="dxa" w:w="143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公式/算法、参数、响应曲线、数据来源和反思记录完整、规范、可复核，引用与成果归属清楚</w:t>
            </w:r>
          </w:p>
        </w:tc>
        <w:tc>
          <w:tcPr>
            <w:tcW w:type="dxa" w:w="143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记录较完整，少量问题可自主修正，引用基本规范</w:t>
            </w:r>
          </w:p>
        </w:tc>
        <w:tc>
          <w:tcPr>
            <w:tcW w:type="dxa" w:w="143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完成主要记录并有基本依据，能够说明主要来源</w:t>
            </w:r>
          </w:p>
        </w:tc>
        <w:tc>
          <w:tcPr>
            <w:tcW w:type="dxa" w:w="143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在指导下达到最低记录、引用和提交要求</w:t>
            </w:r>
          </w:p>
        </w:tc>
        <w:tc>
          <w:tcPr>
            <w:tcW w:type="dxa" w:w="143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大量缺交、来源不明、无依据或结果无法解释</w:t>
            </w:r>
          </w:p>
        </w:tc>
      </w:tr>
    </w:tbl>
    <w:p/>
    <w:p>
      <w:pPr>
        <w:keepNext/>
        <w:spacing w:before="80" w:after="40"/>
      </w:pPr>
      <w:r>
        <w:rPr>
          <w:rFonts w:ascii="Times New Roman" w:hAnsi="Times New Roman" w:cs="Times New Roman" w:eastAsia="宋体" w:hint="eastAsia"/>
          <w:b/>
          <w:sz w:val="24"/>
          <w:lang w:eastAsia="zh-CN"/>
        </w:rPr>
        <w:t>（2）课程作业评分标准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0"/>
        <w:gridCol w:w="800"/>
        <w:gridCol w:w="5200"/>
        <w:gridCol w:w="1554"/>
      </w:tblGrid>
      <w:tr>
        <w:trPr>
          <w:tblHeader w:val="true"/>
        </w:trPr>
        <w:tc>
          <w:tcPr>
            <w:tcW w:type="dxa" w:w="150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考核内容</w:t>
            </w:r>
          </w:p>
        </w:tc>
        <w:tc>
          <w:tcPr>
            <w:tcW w:type="dxa" w:w="80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成绩占比</w:t>
            </w:r>
          </w:p>
        </w:tc>
        <w:tc>
          <w:tcPr>
            <w:tcW w:type="dxa" w:w="520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考核目标与评分要求</w:t>
            </w:r>
          </w:p>
        </w:tc>
        <w:tc>
          <w:tcPr>
            <w:tcW w:type="dxa" w:w="1554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课程目标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采样、离散化与数字PID分析</w:t>
            </w:r>
          </w:p>
        </w:tc>
        <w:tc>
          <w:tcPr>
            <w:tcW w:type="dxa" w:w="8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25%</w:t>
            </w:r>
          </w:p>
        </w:tc>
        <w:tc>
          <w:tcPr>
            <w:tcW w:type="dxa" w:w="5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完成采样周期、离散化、滤波和数字PID分析，参数、响应指标、抗饱和/噪声处理和结论一致。</w:t>
            </w:r>
          </w:p>
        </w:tc>
        <w:tc>
          <w:tcPr>
            <w:tcW w:type="dxa" w:w="1554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目标 1.1，1.2，2.1，2.2，3.1—3.3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专家与模糊控制</w:t>
            </w:r>
          </w:p>
        </w:tc>
        <w:tc>
          <w:tcPr>
            <w:tcW w:type="dxa" w:w="8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15%</w:t>
            </w:r>
          </w:p>
        </w:tc>
        <w:tc>
          <w:tcPr>
            <w:tcW w:type="dxa" w:w="5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规则、隶属函数、推理与解模糊过程完整，能够解释规则或参数变化对控制效果的影响。</w:t>
            </w:r>
          </w:p>
        </w:tc>
        <w:tc>
          <w:tcPr>
            <w:tcW w:type="dxa" w:w="1554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目标 1.3，2.3，3.1，3.4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神经网络辨识与控制</w:t>
            </w:r>
          </w:p>
        </w:tc>
        <w:tc>
          <w:tcPr>
            <w:tcW w:type="dxa" w:w="8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20%</w:t>
            </w:r>
          </w:p>
        </w:tc>
        <w:tc>
          <w:tcPr>
            <w:tcW w:type="dxa" w:w="5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数据划分、模型结构、训练/验证误差和控制应用分析完整，能够说明泛化、数据覆盖和闭环应用边界。</w:t>
            </w:r>
          </w:p>
        </w:tc>
        <w:tc>
          <w:tcPr>
            <w:tcW w:type="dxa" w:w="1554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目标 1.4，2.4，3.2，3.5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智能优化与学习控制</w:t>
            </w:r>
          </w:p>
        </w:tc>
        <w:tc>
          <w:tcPr>
            <w:tcW w:type="dxa" w:w="8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15%</w:t>
            </w:r>
          </w:p>
        </w:tc>
        <w:tc>
          <w:tcPr>
            <w:tcW w:type="dxa" w:w="5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目标函数、约束、算法参数、随机种子、收敛过程和优化前后指标完整，能够说明计算成本和局限。</w:t>
            </w:r>
          </w:p>
        </w:tc>
        <w:tc>
          <w:tcPr>
            <w:tcW w:type="dxa" w:w="1554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目标 1.5，2.5，3.1，3.5，3.6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智能控制系统阶段方案</w:t>
            </w:r>
          </w:p>
        </w:tc>
        <w:tc>
          <w:tcPr>
            <w:tcW w:type="dxa" w:w="8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15%</w:t>
            </w:r>
          </w:p>
        </w:tc>
        <w:tc>
          <w:tcPr>
            <w:tcW w:type="dxa" w:w="5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系统框图、传感—计算—执行链、算法选择、实时性、异常、安全和验证计划完整，阶段成果能够体现系统综合分析。</w:t>
            </w:r>
          </w:p>
        </w:tc>
        <w:tc>
          <w:tcPr>
            <w:tcW w:type="dxa" w:w="1554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目标 1.6，2.6，3.3，3.4，3.6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计算验证、复现与个人解释</w:t>
            </w:r>
          </w:p>
        </w:tc>
        <w:tc>
          <w:tcPr>
            <w:tcW w:type="dxa" w:w="8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10%</w:t>
            </w:r>
          </w:p>
        </w:tc>
        <w:tc>
          <w:tcPr>
            <w:tcW w:type="dxa" w:w="5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参数、数据、公式/代码、曲线和结果证据可复现；能够独立解释所用模型、参数、失败情况和改进依据。</w:t>
            </w:r>
          </w:p>
        </w:tc>
        <w:tc>
          <w:tcPr>
            <w:tcW w:type="dxa" w:w="1554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目标 2.1—2.6，3.1—3.6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合计</w:t>
            </w:r>
          </w:p>
        </w:tc>
        <w:tc>
          <w:tcPr>
            <w:tcW w:type="dxa" w:w="8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100%</w:t>
            </w:r>
          </w:p>
        </w:tc>
        <w:tc>
          <w:tcPr>
            <w:tcW w:type="dxa" w:w="52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</w:r>
          </w:p>
        </w:tc>
        <w:tc>
          <w:tcPr>
            <w:tcW w:type="dxa" w:w="1554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</w:r>
          </w:p>
        </w:tc>
      </w:tr>
    </w:tbl>
    <w:p/>
    <w:p>
      <w:pPr>
        <w:keepNext/>
        <w:spacing w:before="0" w:after="0" w:line="283" w:lineRule="auto"/>
      </w:pPr>
      <w:r>
        <w:rPr>
          <w:rFonts w:ascii="Times New Roman" w:hAnsi="Times New Roman" w:eastAsia="宋体"/>
          <w:b/>
          <w:sz w:val="24"/>
        </w:rPr>
        <w:t>（3）期末考核评分标准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0"/>
        <w:gridCol w:w="800"/>
        <w:gridCol w:w="5200"/>
        <w:gridCol w:w="1554"/>
      </w:tblGrid>
      <w:tr>
        <w:trPr>
          <w:tblHeader w:val="true"/>
        </w:trPr>
        <w:tc>
          <w:tcPr>
            <w:tcW w:type="dxa" w:w="150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考核内容</w:t>
            </w:r>
          </w:p>
        </w:tc>
        <w:tc>
          <w:tcPr>
            <w:tcW w:type="dxa" w:w="80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成绩占比</w:t>
            </w:r>
          </w:p>
        </w:tc>
        <w:tc>
          <w:tcPr>
            <w:tcW w:type="dxa" w:w="520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考点与要求</w:t>
            </w:r>
          </w:p>
        </w:tc>
        <w:tc>
          <w:tcPr>
            <w:tcW w:type="dxa" w:w="1554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课程目标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计算机控制与离散基础</w:t>
            </w:r>
          </w:p>
        </w:tc>
        <w:tc>
          <w:tcPr>
            <w:tcW w:type="dxa" w:w="8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15%</w:t>
            </w:r>
          </w:p>
        </w:tc>
        <w:tc>
          <w:tcPr>
            <w:tcW w:type="dxa" w:w="5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在综合报告中正确分析闭环组成、采样、保持、量化、离散化和计算延迟，能够说明采样周期对系统性能的影响。</w:t>
            </w:r>
          </w:p>
        </w:tc>
        <w:tc>
          <w:tcPr>
            <w:tcW w:type="dxa" w:w="1554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目标 1.1，2.1，3.1，3.2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数据处理与数字PID</w:t>
            </w:r>
          </w:p>
        </w:tc>
        <w:tc>
          <w:tcPr>
            <w:tcW w:type="dxa" w:w="8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20%</w:t>
            </w:r>
          </w:p>
        </w:tc>
        <w:tc>
          <w:tcPr>
            <w:tcW w:type="dxa" w:w="5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能完成数字PID、滤波、饱和处理与参数整定方案，使用超调、调节时间、稳态误差和控制量等指标说明选择。</w:t>
            </w:r>
          </w:p>
        </w:tc>
        <w:tc>
          <w:tcPr>
            <w:tcW w:type="dxa" w:w="1554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目标 1.2，2.2，3.1—3.3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专家与模糊控制</w:t>
            </w:r>
          </w:p>
        </w:tc>
        <w:tc>
          <w:tcPr>
            <w:tcW w:type="dxa" w:w="8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15%</w:t>
            </w:r>
          </w:p>
        </w:tc>
        <w:tc>
          <w:tcPr>
            <w:tcW w:type="dxa" w:w="5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能设计模糊变量、隶属函数和规则库，说明Mamdani/T-S等推理结构及规则变化对系统响应的影响。</w:t>
            </w:r>
          </w:p>
        </w:tc>
        <w:tc>
          <w:tcPr>
            <w:tcW w:type="dxa" w:w="1554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目标 1.3，2.3，3.1，3.4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神经网络辨识与智能控制</w:t>
            </w:r>
          </w:p>
        </w:tc>
        <w:tc>
          <w:tcPr>
            <w:tcW w:type="dxa" w:w="8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15%</w:t>
            </w:r>
          </w:p>
        </w:tc>
        <w:tc>
          <w:tcPr>
            <w:tcW w:type="dxa" w:w="5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能说明网络结构、数据划分、训练/验证、辨识或辅助控制方法，并分析过拟合、模型失配和闭环安全边界。</w:t>
            </w:r>
          </w:p>
        </w:tc>
        <w:tc>
          <w:tcPr>
            <w:tcW w:type="dxa" w:w="1554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目标 1.4，2.4，3.2，3.5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智能优化与学习控制</w:t>
            </w:r>
          </w:p>
        </w:tc>
        <w:tc>
          <w:tcPr>
            <w:tcW w:type="dxa" w:w="8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15%</w:t>
            </w:r>
          </w:p>
        </w:tc>
        <w:tc>
          <w:tcPr>
            <w:tcW w:type="dxa" w:w="5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能构造控制参数优化问题，说明目标函数、约束、遗传/粒子群或等价方法的搜索过程，比较优化前后性能和计算代价。</w:t>
            </w:r>
          </w:p>
        </w:tc>
        <w:tc>
          <w:tcPr>
            <w:tcW w:type="dxa" w:w="1554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目标 1.5，2.5，3.1，3.5，3.6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综合系统设计、安全验证与个人核验</w:t>
            </w:r>
          </w:p>
        </w:tc>
        <w:tc>
          <w:tcPr>
            <w:tcW w:type="dxa" w:w="8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20%</w:t>
            </w:r>
          </w:p>
        </w:tc>
        <w:tc>
          <w:tcPr>
            <w:tcW w:type="dxa" w:w="5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综合方案覆盖需求指标、传感、算法、执行、通信、实时性、抗干扰、异常状态、安全降级、日志和验证；答辩或个人核验能够独立解释关键选择、结果证据、失败场景和局限。</w:t>
            </w:r>
          </w:p>
        </w:tc>
        <w:tc>
          <w:tcPr>
            <w:tcW w:type="dxa" w:w="1554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目标 1.6，2.6，3.3—3.6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合计</w:t>
            </w:r>
          </w:p>
        </w:tc>
        <w:tc>
          <w:tcPr>
            <w:tcW w:type="dxa" w:w="8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100%</w:t>
            </w:r>
          </w:p>
        </w:tc>
        <w:tc>
          <w:tcPr>
            <w:tcW w:type="dxa" w:w="52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</w:r>
          </w:p>
        </w:tc>
        <w:tc>
          <w:tcPr>
            <w:tcW w:type="dxa" w:w="1554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</w:r>
          </w:p>
        </w:tc>
      </w:tr>
    </w:tbl>
    <w:p/>
    <w:p>
      <w:pPr>
        <w:keepNext/>
        <w:spacing w:before="140" w:after="60"/>
      </w:pPr>
      <w:r>
        <w:rPr>
          <w:rFonts w:ascii="Times New Roman" w:hAnsi="Times New Roman" w:cs="Times New Roman" w:eastAsia="黑体" w:hint="eastAsia"/>
          <w:b/>
          <w:sz w:val="28"/>
          <w:lang w:eastAsia="zh-CN"/>
        </w:rPr>
        <w:t>五、参考书目及学习资料</w:t>
      </w:r>
    </w:p>
    <w:p>
      <w:pPr>
        <w:keepNext/>
        <w:spacing w:before="80" w:after="40"/>
      </w:pPr>
      <w:r>
        <w:rPr>
          <w:rFonts w:ascii="Times New Roman" w:hAnsi="Times New Roman" w:cs="Times New Roman" w:eastAsia="宋体" w:hint="eastAsia"/>
          <w:b/>
          <w:sz w:val="24"/>
          <w:lang w:eastAsia="zh-CN"/>
        </w:rPr>
        <w:t>（一）选用教材</w:t>
      </w:r>
    </w:p>
    <w:p>
      <w:pPr>
        <w:spacing w:before="0" w:after="0" w:line="293" w:lineRule="auto"/>
        <w:jc w:val="left"/>
      </w:pPr>
      <w:r>
        <w:rPr>
          <w:rFonts w:ascii="Times New Roman" w:hAnsi="Times New Roman" w:eastAsia="宋体"/>
          <w:sz w:val="20"/>
        </w:rPr>
        <w:t>于海生, 等. 计算机控制技术（第3版）[M]. 北京：机械工业出版社，2023. ISBN 9787111731467</w:t>
      </w:r>
    </w:p>
    <w:p>
      <w:pPr>
        <w:keepNext/>
        <w:spacing w:before="80" w:after="40"/>
      </w:pPr>
      <w:r>
        <w:rPr>
          <w:rFonts w:ascii="Times New Roman" w:hAnsi="Times New Roman" w:cs="Times New Roman" w:eastAsia="宋体" w:hint="eastAsia"/>
          <w:b/>
          <w:sz w:val="24"/>
          <w:lang w:eastAsia="zh-CN"/>
        </w:rPr>
        <w:t>（二）学习资料</w:t>
      </w:r>
    </w:p>
    <w:p>
      <w:pPr>
        <w:spacing w:before="0" w:after="0" w:line="293" w:lineRule="auto"/>
        <w:jc w:val="left"/>
      </w:pPr>
      <w:r>
        <w:rPr>
          <w:rFonts w:ascii="Times New Roman" w:hAnsi="Times New Roman" w:eastAsia="宋体"/>
          <w:sz w:val="19"/>
        </w:rPr>
        <w:t>[1] 李晓理. 智能控制[M]. 北京：机械工业出版社，2024. ISBN 9787111767947。</w:t>
      </w:r>
    </w:p>
    <w:p>
      <w:pPr>
        <w:spacing w:before="0" w:after="0" w:line="293" w:lineRule="auto"/>
        <w:jc w:val="left"/>
      </w:pPr>
      <w:r>
        <w:rPr>
          <w:rFonts w:ascii="Times New Roman" w:hAnsi="Times New Roman" w:eastAsia="宋体"/>
          <w:sz w:val="19"/>
        </w:rPr>
        <w:t>[2] 任佳. 智能控制理论及应用[M]. 北京：机械工业出版社，2024. ISBN 9787111755913。</w:t>
      </w:r>
    </w:p>
    <w:p>
      <w:pPr>
        <w:spacing w:before="0" w:after="0" w:line="293" w:lineRule="auto"/>
        <w:jc w:val="left"/>
      </w:pPr>
      <w:r>
        <w:rPr>
          <w:rFonts w:ascii="Times New Roman" w:hAnsi="Times New Roman" w:eastAsia="宋体"/>
          <w:sz w:val="19"/>
        </w:rPr>
        <w:t>[3] 李少远. 智能控制（第3版）[M]. 北京：机械工业出版社，2023. ISBN 9787111734116。</w:t>
      </w:r>
    </w:p>
    <w:p>
      <w:pPr>
        <w:spacing w:before="0" w:after="0" w:line="293" w:lineRule="auto"/>
        <w:jc w:val="left"/>
      </w:pPr>
      <w:r>
        <w:rPr>
          <w:rFonts w:ascii="Times New Roman" w:hAnsi="Times New Roman" w:eastAsia="宋体"/>
          <w:sz w:val="19"/>
        </w:rPr>
        <w:t>[4] 范立南, 李雪飞, 范志彬. 计算机控制技术（第3版）[M]. 北京：机械工业出版社，2022. ISBN 9787111706922。</w:t>
      </w:r>
    </w:p>
    <w:p>
      <w:pPr>
        <w:spacing w:before="180"/>
      </w:pPr>
      <w:r>
        <w:rPr>
          <w:rFonts w:ascii="Times New Roman" w:hAnsi="Times New Roman" w:cs="Times New Roman" w:eastAsia="宋体" w:hint="eastAsia"/>
          <w:b w:val="0"/>
          <w:sz w:val="21"/>
          <w:lang w:eastAsia="zh-CN"/>
        </w:rPr>
        <w:t xml:space="preserve">制定人：　　　　　　　　审定人：　　　　　　　　批准人：　　　　　　　　</w:t>
      </w:r>
    </w:p>
    <w:p>
      <w:pPr>
        <w:jc w:val="center"/>
      </w:pPr>
      <w:r>
        <w:rPr>
          <w:rFonts w:ascii="Times New Roman" w:hAnsi="Times New Roman" w:eastAsia="宋体"/>
          <w:sz w:val="21"/>
        </w:rPr>
        <w:t>2026年9月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《计算机智能控制系统》课程教学大纲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