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BC6B6">
      <w:pPr>
        <w:pStyle w:val="16"/>
        <w:spacing w:after="240"/>
        <w:rPr>
          <w:rFonts w:hint="eastAsia" w:ascii="Times New Roman" w:hAnsi="Times New Roman" w:eastAsia="黑体"/>
          <w:color w:val="auto"/>
        </w:rPr>
      </w:pPr>
      <w:bookmarkStart w:id="0" w:name="_GoBack"/>
      <w:bookmarkEnd w:id="0"/>
      <w:r>
        <w:rPr>
          <w:rFonts w:ascii="Times New Roman" w:hAnsi="Times New Roman" w:eastAsia="黑体"/>
          <w:color w:val="auto"/>
        </w:rPr>
        <w:t>《</w:t>
      </w:r>
      <w:r>
        <w:rPr>
          <w:rFonts w:hint="eastAsia" w:ascii="Times New Roman" w:hAnsi="Times New Roman" w:eastAsia="黑体"/>
          <w:color w:val="auto"/>
          <w:u w:val="single"/>
          <w:lang w:eastAsia="zh-CN"/>
        </w:rPr>
        <w:t>工程建模与科学计算可视化基础</w:t>
      </w:r>
      <w:r>
        <w:rPr>
          <w:rFonts w:ascii="Times New Roman" w:hAnsi="Times New Roman" w:eastAsia="黑体"/>
          <w:color w:val="auto"/>
        </w:rPr>
        <w:t>》课程教学大纲</w:t>
      </w:r>
    </w:p>
    <w:p w14:paraId="5A826502">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t>一、课程基本信息</w:t>
      </w:r>
    </w:p>
    <w:tbl>
      <w:tblPr>
        <w:tblStyle w:val="18"/>
        <w:tblW w:w="9054"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1634"/>
        <w:gridCol w:w="1215"/>
        <w:gridCol w:w="1104"/>
        <w:gridCol w:w="477"/>
        <w:gridCol w:w="627"/>
        <w:gridCol w:w="1033"/>
        <w:gridCol w:w="1033"/>
      </w:tblGrid>
      <w:tr w14:paraId="638E0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E47DF68">
            <w:pPr>
              <w:spacing w:line="300" w:lineRule="auto"/>
              <w:jc w:val="center"/>
              <w:rPr>
                <w:rFonts w:hint="eastAsia"/>
                <w:b/>
                <w:color w:val="auto"/>
              </w:rPr>
            </w:pPr>
            <w:r>
              <w:rPr>
                <w:b/>
                <w:color w:val="auto"/>
              </w:rPr>
              <w:t>课程名称</w:t>
            </w:r>
            <w:r>
              <w:rPr>
                <w:rFonts w:hint="eastAsia"/>
                <w:b/>
                <w:color w:val="auto"/>
              </w:rPr>
              <w:t>（中英文）</w:t>
            </w:r>
          </w:p>
        </w:tc>
        <w:tc>
          <w:tcPr>
            <w:tcW w:w="7123" w:type="dxa"/>
            <w:gridSpan w:val="7"/>
            <w:noWrap w:val="0"/>
            <w:vAlign w:val="center"/>
          </w:tcPr>
          <w:p w14:paraId="2ABFAA3C">
            <w:pPr>
              <w:spacing w:line="300" w:lineRule="auto"/>
              <w:jc w:val="center"/>
              <w:rPr>
                <w:rFonts w:hint="eastAsia"/>
                <w:color w:val="auto"/>
              </w:rPr>
            </w:pPr>
            <w:r>
              <w:rPr>
                <w:rFonts w:hint="eastAsia"/>
                <w:color w:val="auto"/>
                <w:lang w:eastAsia="zh-CN"/>
              </w:rPr>
              <w:t>工程建模与科学计算可视化基础</w:t>
            </w:r>
          </w:p>
          <w:p w14:paraId="3480652A">
            <w:pPr>
              <w:spacing w:line="300" w:lineRule="auto"/>
              <w:jc w:val="center"/>
              <w:rPr>
                <w:rFonts w:hint="eastAsia" w:ascii="宋体" w:hAnsi="宋体" w:eastAsia="宋体"/>
                <w:color w:val="auto"/>
                <w:lang w:eastAsia="zh-CN"/>
              </w:rPr>
            </w:pPr>
            <w:r>
              <w:rPr>
                <w:rFonts w:hint="eastAsia"/>
                <w:color w:val="auto"/>
              </w:rPr>
              <w:t xml:space="preserve"> </w:t>
            </w:r>
            <w:r>
              <w:rPr>
                <w:rFonts w:hint="eastAsia"/>
                <w:bCs/>
                <w:color w:val="auto"/>
                <w:lang w:eastAsia="zh-CN"/>
              </w:rPr>
              <w:t>Modeling and Scientific Computing Visualization Foundation</w:t>
            </w:r>
          </w:p>
        </w:tc>
      </w:tr>
      <w:tr w14:paraId="6ED2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ED12615">
            <w:pPr>
              <w:spacing w:line="300" w:lineRule="auto"/>
              <w:jc w:val="center"/>
              <w:rPr>
                <w:b/>
                <w:color w:val="auto"/>
              </w:rPr>
            </w:pPr>
            <w:r>
              <w:rPr>
                <w:rFonts w:hint="eastAsia"/>
                <w:b/>
                <w:color w:val="auto"/>
              </w:rPr>
              <w:t>课程代码</w:t>
            </w:r>
          </w:p>
        </w:tc>
        <w:tc>
          <w:tcPr>
            <w:tcW w:w="2849" w:type="dxa"/>
            <w:gridSpan w:val="2"/>
            <w:noWrap w:val="0"/>
            <w:vAlign w:val="center"/>
          </w:tcPr>
          <w:p w14:paraId="0B06AD64">
            <w:pPr>
              <w:spacing w:line="300" w:lineRule="auto"/>
              <w:jc w:val="center"/>
              <w:rPr>
                <w:rFonts w:hint="eastAsia" w:ascii="宋体" w:hAnsi="宋体" w:eastAsia="宋体"/>
                <w:color w:val="auto"/>
                <w:lang w:eastAsia="zh-CN"/>
              </w:rPr>
            </w:pPr>
            <w:r>
              <w:rPr>
                <w:rFonts w:hint="eastAsia" w:eastAsia="仿宋"/>
                <w:color w:val="auto"/>
                <w:kern w:val="0"/>
                <w:lang w:eastAsia="zh-CN"/>
              </w:rPr>
              <w:t>25JD21402</w:t>
            </w:r>
          </w:p>
        </w:tc>
        <w:tc>
          <w:tcPr>
            <w:tcW w:w="1581" w:type="dxa"/>
            <w:gridSpan w:val="2"/>
            <w:noWrap w:val="0"/>
            <w:vAlign w:val="center"/>
          </w:tcPr>
          <w:p w14:paraId="674FE3D3">
            <w:pPr>
              <w:spacing w:line="300" w:lineRule="auto"/>
              <w:jc w:val="center"/>
              <w:rPr>
                <w:rFonts w:hint="eastAsia"/>
                <w:b/>
                <w:color w:val="auto"/>
              </w:rPr>
            </w:pPr>
            <w:r>
              <w:rPr>
                <w:b/>
                <w:color w:val="auto"/>
              </w:rPr>
              <w:t>课程</w:t>
            </w:r>
            <w:r>
              <w:rPr>
                <w:rFonts w:hint="eastAsia"/>
                <w:b/>
                <w:color w:val="auto"/>
              </w:rPr>
              <w:t>类别</w:t>
            </w:r>
          </w:p>
        </w:tc>
        <w:tc>
          <w:tcPr>
            <w:tcW w:w="2693" w:type="dxa"/>
            <w:gridSpan w:val="3"/>
            <w:noWrap w:val="0"/>
            <w:vAlign w:val="center"/>
          </w:tcPr>
          <w:p w14:paraId="3DD04F00">
            <w:pPr>
              <w:spacing w:line="300" w:lineRule="auto"/>
              <w:jc w:val="center"/>
              <w:rPr>
                <w:rFonts w:hint="eastAsia" w:ascii="宋体" w:hAnsi="宋体"/>
                <w:color w:val="auto"/>
              </w:rPr>
            </w:pPr>
            <w:r>
              <w:rPr>
                <w:rFonts w:hint="eastAsia" w:ascii="宋体" w:hAnsi="宋体"/>
                <w:color w:val="auto"/>
              </w:rPr>
              <w:t>学科基础类</w:t>
            </w:r>
          </w:p>
        </w:tc>
      </w:tr>
      <w:tr w14:paraId="2EBB4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4AC6D514">
            <w:pPr>
              <w:spacing w:line="300" w:lineRule="auto"/>
              <w:jc w:val="center"/>
              <w:rPr>
                <w:color w:val="auto"/>
              </w:rPr>
            </w:pPr>
            <w:r>
              <w:rPr>
                <w:rFonts w:hint="eastAsia"/>
                <w:b/>
                <w:color w:val="auto"/>
              </w:rPr>
              <w:t>课程性质</w:t>
            </w:r>
          </w:p>
        </w:tc>
        <w:tc>
          <w:tcPr>
            <w:tcW w:w="2849" w:type="dxa"/>
            <w:gridSpan w:val="2"/>
            <w:noWrap w:val="0"/>
            <w:vAlign w:val="center"/>
          </w:tcPr>
          <w:p w14:paraId="0C11CC54">
            <w:pPr>
              <w:spacing w:line="300" w:lineRule="auto"/>
              <w:jc w:val="center"/>
              <w:rPr>
                <w:rFonts w:hint="eastAsia"/>
                <w:bCs/>
                <w:color w:val="auto"/>
              </w:rPr>
            </w:pPr>
            <w:r>
              <w:rPr>
                <w:rFonts w:hint="eastAsia"/>
                <w:bCs/>
                <w:color w:val="auto"/>
              </w:rPr>
              <w:t>必修课</w:t>
            </w:r>
          </w:p>
        </w:tc>
        <w:tc>
          <w:tcPr>
            <w:tcW w:w="1581" w:type="dxa"/>
            <w:gridSpan w:val="2"/>
            <w:noWrap w:val="0"/>
            <w:vAlign w:val="center"/>
          </w:tcPr>
          <w:p w14:paraId="29A08D31">
            <w:pPr>
              <w:spacing w:line="300" w:lineRule="auto"/>
              <w:jc w:val="center"/>
              <w:rPr>
                <w:b/>
                <w:color w:val="auto"/>
              </w:rPr>
            </w:pPr>
            <w:r>
              <w:rPr>
                <w:rFonts w:hint="eastAsia"/>
                <w:b/>
                <w:color w:val="auto"/>
              </w:rPr>
              <w:t>授课语言</w:t>
            </w:r>
          </w:p>
        </w:tc>
        <w:tc>
          <w:tcPr>
            <w:tcW w:w="2693" w:type="dxa"/>
            <w:gridSpan w:val="3"/>
            <w:noWrap w:val="0"/>
            <w:vAlign w:val="center"/>
          </w:tcPr>
          <w:p w14:paraId="43E1AF0B">
            <w:pPr>
              <w:spacing w:line="300" w:lineRule="auto"/>
              <w:jc w:val="center"/>
              <w:rPr>
                <w:rFonts w:hint="eastAsia"/>
                <w:color w:val="auto"/>
              </w:rPr>
            </w:pPr>
            <w:r>
              <w:rPr>
                <w:rFonts w:hint="eastAsia"/>
                <w:color w:val="auto"/>
              </w:rPr>
              <w:t>中文</w:t>
            </w:r>
          </w:p>
        </w:tc>
      </w:tr>
      <w:tr w14:paraId="2732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675EBCE">
            <w:pPr>
              <w:spacing w:line="300" w:lineRule="auto"/>
              <w:jc w:val="center"/>
              <w:rPr>
                <w:b/>
                <w:color w:val="auto"/>
              </w:rPr>
            </w:pPr>
            <w:r>
              <w:rPr>
                <w:rFonts w:hint="eastAsia"/>
                <w:b/>
                <w:color w:val="auto"/>
              </w:rPr>
              <w:t>授课学期</w:t>
            </w:r>
          </w:p>
        </w:tc>
        <w:tc>
          <w:tcPr>
            <w:tcW w:w="2849" w:type="dxa"/>
            <w:gridSpan w:val="2"/>
            <w:noWrap w:val="0"/>
            <w:vAlign w:val="center"/>
          </w:tcPr>
          <w:p w14:paraId="4A450F42">
            <w:pPr>
              <w:spacing w:line="300" w:lineRule="auto"/>
              <w:jc w:val="center"/>
              <w:rPr>
                <w:rFonts w:hint="eastAsia"/>
                <w:bCs/>
                <w:color w:val="auto"/>
              </w:rPr>
            </w:pPr>
            <w:r>
              <w:rPr>
                <w:rFonts w:hint="eastAsia"/>
                <w:bCs/>
                <w:color w:val="auto"/>
              </w:rPr>
              <w:t>2</w:t>
            </w:r>
          </w:p>
        </w:tc>
        <w:tc>
          <w:tcPr>
            <w:tcW w:w="2208" w:type="dxa"/>
            <w:gridSpan w:val="3"/>
            <w:noWrap w:val="0"/>
            <w:vAlign w:val="center"/>
          </w:tcPr>
          <w:p w14:paraId="668DAED4">
            <w:pPr>
              <w:spacing w:line="300" w:lineRule="auto"/>
              <w:jc w:val="center"/>
              <w:rPr>
                <w:rFonts w:hint="eastAsia"/>
                <w:b/>
                <w:color w:val="auto"/>
              </w:rPr>
            </w:pPr>
            <w:r>
              <w:rPr>
                <w:rFonts w:hint="eastAsia"/>
                <w:b/>
                <w:color w:val="auto"/>
              </w:rPr>
              <w:t>学分</w:t>
            </w:r>
          </w:p>
        </w:tc>
        <w:tc>
          <w:tcPr>
            <w:tcW w:w="2066" w:type="dxa"/>
            <w:gridSpan w:val="2"/>
            <w:noWrap w:val="0"/>
            <w:vAlign w:val="center"/>
          </w:tcPr>
          <w:p w14:paraId="2028144F">
            <w:pPr>
              <w:spacing w:line="300" w:lineRule="auto"/>
              <w:jc w:val="center"/>
              <w:rPr>
                <w:rFonts w:hint="eastAsia" w:eastAsia="宋体"/>
                <w:color w:val="auto"/>
                <w:lang w:val="en-US" w:eastAsia="zh-CN"/>
              </w:rPr>
            </w:pPr>
            <w:r>
              <w:rPr>
                <w:rFonts w:hint="eastAsia"/>
                <w:color w:val="auto"/>
                <w:lang w:val="en-US" w:eastAsia="zh-CN"/>
              </w:rPr>
              <w:t>2</w:t>
            </w:r>
          </w:p>
        </w:tc>
      </w:tr>
      <w:tr w14:paraId="70D9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restart"/>
            <w:noWrap w:val="0"/>
            <w:vAlign w:val="center"/>
          </w:tcPr>
          <w:p w14:paraId="31B3D191">
            <w:pPr>
              <w:spacing w:line="300" w:lineRule="auto"/>
              <w:jc w:val="center"/>
              <w:rPr>
                <w:b/>
                <w:color w:val="auto"/>
              </w:rPr>
            </w:pPr>
            <w:r>
              <w:rPr>
                <w:b/>
                <w:color w:val="auto"/>
              </w:rPr>
              <w:t>课程学时及分配</w:t>
            </w:r>
          </w:p>
        </w:tc>
        <w:tc>
          <w:tcPr>
            <w:tcW w:w="1634" w:type="dxa"/>
            <w:noWrap w:val="0"/>
            <w:vAlign w:val="center"/>
          </w:tcPr>
          <w:p w14:paraId="04F0CAB8">
            <w:pPr>
              <w:spacing w:line="300" w:lineRule="auto"/>
              <w:jc w:val="center"/>
              <w:rPr>
                <w:b/>
                <w:color w:val="auto"/>
              </w:rPr>
            </w:pPr>
            <w:r>
              <w:rPr>
                <w:b/>
                <w:color w:val="auto"/>
              </w:rPr>
              <w:t>总学时</w:t>
            </w:r>
          </w:p>
        </w:tc>
        <w:tc>
          <w:tcPr>
            <w:tcW w:w="1215" w:type="dxa"/>
            <w:noWrap w:val="0"/>
            <w:vAlign w:val="center"/>
          </w:tcPr>
          <w:p w14:paraId="0A352A8E">
            <w:pPr>
              <w:spacing w:line="300" w:lineRule="auto"/>
              <w:jc w:val="center"/>
              <w:rPr>
                <w:rFonts w:hint="eastAsia"/>
                <w:b/>
                <w:color w:val="auto"/>
              </w:rPr>
            </w:pPr>
            <w:r>
              <w:rPr>
                <w:rFonts w:hint="eastAsia"/>
                <w:b/>
                <w:color w:val="auto"/>
              </w:rPr>
              <w:t>理论</w:t>
            </w:r>
          </w:p>
        </w:tc>
        <w:tc>
          <w:tcPr>
            <w:tcW w:w="1104" w:type="dxa"/>
            <w:noWrap w:val="0"/>
            <w:vAlign w:val="center"/>
          </w:tcPr>
          <w:p w14:paraId="52E0A046">
            <w:pPr>
              <w:spacing w:line="300" w:lineRule="auto"/>
              <w:jc w:val="center"/>
              <w:rPr>
                <w:rFonts w:hint="eastAsia"/>
                <w:b/>
                <w:color w:val="auto"/>
              </w:rPr>
            </w:pPr>
            <w:r>
              <w:rPr>
                <w:rFonts w:hint="eastAsia"/>
                <w:b/>
                <w:color w:val="auto"/>
              </w:rPr>
              <w:t>实践</w:t>
            </w:r>
          </w:p>
        </w:tc>
        <w:tc>
          <w:tcPr>
            <w:tcW w:w="1104" w:type="dxa"/>
            <w:gridSpan w:val="2"/>
            <w:noWrap w:val="0"/>
            <w:vAlign w:val="center"/>
          </w:tcPr>
          <w:p w14:paraId="4FF93B19">
            <w:pPr>
              <w:spacing w:line="300" w:lineRule="auto"/>
              <w:jc w:val="center"/>
              <w:rPr>
                <w:rFonts w:hint="eastAsia"/>
                <w:b/>
                <w:color w:val="auto"/>
              </w:rPr>
            </w:pPr>
            <w:r>
              <w:rPr>
                <w:rFonts w:hint="eastAsia"/>
                <w:b/>
                <w:color w:val="auto"/>
              </w:rPr>
              <w:t>实验</w:t>
            </w:r>
          </w:p>
        </w:tc>
        <w:tc>
          <w:tcPr>
            <w:tcW w:w="1033" w:type="dxa"/>
            <w:noWrap w:val="0"/>
            <w:vAlign w:val="center"/>
          </w:tcPr>
          <w:p w14:paraId="57CFC18C">
            <w:pPr>
              <w:spacing w:line="300" w:lineRule="auto"/>
              <w:jc w:val="center"/>
              <w:rPr>
                <w:color w:val="auto"/>
                <w:highlight w:val="yellow"/>
              </w:rPr>
            </w:pPr>
            <w:r>
              <w:rPr>
                <w:rFonts w:hint="eastAsia"/>
                <w:b/>
                <w:color w:val="auto"/>
              </w:rPr>
              <w:t>上机</w:t>
            </w:r>
          </w:p>
        </w:tc>
        <w:tc>
          <w:tcPr>
            <w:tcW w:w="1033" w:type="dxa"/>
            <w:noWrap w:val="0"/>
            <w:vAlign w:val="center"/>
          </w:tcPr>
          <w:p w14:paraId="22F3B327">
            <w:pPr>
              <w:spacing w:line="300" w:lineRule="auto"/>
              <w:jc w:val="center"/>
              <w:rPr>
                <w:b/>
                <w:color w:val="auto"/>
              </w:rPr>
            </w:pPr>
            <w:r>
              <w:rPr>
                <w:rFonts w:hint="eastAsia"/>
                <w:b/>
                <w:color w:val="auto"/>
              </w:rPr>
              <w:t>项目式</w:t>
            </w:r>
          </w:p>
        </w:tc>
      </w:tr>
      <w:tr w14:paraId="1B98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vMerge w:val="continue"/>
            <w:noWrap w:val="0"/>
            <w:vAlign w:val="center"/>
          </w:tcPr>
          <w:p w14:paraId="36EBB26C">
            <w:pPr>
              <w:spacing w:line="300" w:lineRule="auto"/>
              <w:jc w:val="center"/>
              <w:rPr>
                <w:b/>
                <w:color w:val="auto"/>
              </w:rPr>
            </w:pPr>
          </w:p>
        </w:tc>
        <w:tc>
          <w:tcPr>
            <w:tcW w:w="1634" w:type="dxa"/>
            <w:noWrap w:val="0"/>
            <w:vAlign w:val="center"/>
          </w:tcPr>
          <w:p w14:paraId="769FF835">
            <w:pPr>
              <w:spacing w:line="300" w:lineRule="auto"/>
              <w:jc w:val="center"/>
              <w:rPr>
                <w:rFonts w:hint="default" w:eastAsia="宋体"/>
                <w:color w:val="auto"/>
                <w:lang w:val="en-US" w:eastAsia="zh-CN"/>
              </w:rPr>
            </w:pPr>
            <w:r>
              <w:rPr>
                <w:rFonts w:hint="eastAsia"/>
                <w:color w:val="auto"/>
                <w:lang w:val="en-US" w:eastAsia="zh-CN"/>
              </w:rPr>
              <w:t>32</w:t>
            </w:r>
          </w:p>
        </w:tc>
        <w:tc>
          <w:tcPr>
            <w:tcW w:w="1215" w:type="dxa"/>
            <w:noWrap w:val="0"/>
            <w:vAlign w:val="center"/>
          </w:tcPr>
          <w:p w14:paraId="3E62CED5">
            <w:pPr>
              <w:spacing w:line="300" w:lineRule="auto"/>
              <w:jc w:val="center"/>
              <w:rPr>
                <w:rFonts w:hint="default" w:eastAsia="宋体"/>
                <w:color w:val="auto"/>
                <w:lang w:val="en-US" w:eastAsia="zh-CN"/>
              </w:rPr>
            </w:pPr>
            <w:r>
              <w:rPr>
                <w:rFonts w:hint="eastAsia"/>
                <w:color w:val="auto"/>
                <w:lang w:val="en-US" w:eastAsia="zh-CN"/>
              </w:rPr>
              <w:t>16</w:t>
            </w:r>
          </w:p>
        </w:tc>
        <w:tc>
          <w:tcPr>
            <w:tcW w:w="1104" w:type="dxa"/>
            <w:noWrap w:val="0"/>
            <w:vAlign w:val="center"/>
          </w:tcPr>
          <w:p w14:paraId="09720D8E">
            <w:pPr>
              <w:spacing w:line="300" w:lineRule="auto"/>
              <w:jc w:val="center"/>
              <w:rPr>
                <w:rFonts w:hint="eastAsia"/>
                <w:color w:val="auto"/>
              </w:rPr>
            </w:pPr>
            <w:r>
              <w:rPr>
                <w:rFonts w:hint="eastAsia"/>
                <w:color w:val="auto"/>
              </w:rPr>
              <w:t>0</w:t>
            </w:r>
          </w:p>
        </w:tc>
        <w:tc>
          <w:tcPr>
            <w:tcW w:w="1104" w:type="dxa"/>
            <w:gridSpan w:val="2"/>
            <w:noWrap w:val="0"/>
            <w:vAlign w:val="center"/>
          </w:tcPr>
          <w:p w14:paraId="0FADF8BF">
            <w:pPr>
              <w:spacing w:line="300" w:lineRule="auto"/>
              <w:jc w:val="center"/>
              <w:rPr>
                <w:rFonts w:hint="eastAsia"/>
                <w:color w:val="auto"/>
              </w:rPr>
            </w:pPr>
            <w:r>
              <w:rPr>
                <w:rFonts w:hint="eastAsia"/>
                <w:color w:val="auto"/>
              </w:rPr>
              <w:t>0</w:t>
            </w:r>
          </w:p>
        </w:tc>
        <w:tc>
          <w:tcPr>
            <w:tcW w:w="1033" w:type="dxa"/>
            <w:noWrap w:val="0"/>
            <w:vAlign w:val="center"/>
          </w:tcPr>
          <w:p w14:paraId="62C88C94">
            <w:pPr>
              <w:spacing w:line="300" w:lineRule="auto"/>
              <w:jc w:val="center"/>
              <w:rPr>
                <w:rFonts w:hint="default" w:eastAsia="宋体"/>
                <w:color w:val="auto"/>
                <w:lang w:val="en-US" w:eastAsia="zh-CN"/>
              </w:rPr>
            </w:pPr>
            <w:r>
              <w:rPr>
                <w:rFonts w:hint="eastAsia"/>
                <w:color w:val="auto"/>
                <w:lang w:val="en-US" w:eastAsia="zh-CN"/>
              </w:rPr>
              <w:t>16</w:t>
            </w:r>
          </w:p>
        </w:tc>
        <w:tc>
          <w:tcPr>
            <w:tcW w:w="1033" w:type="dxa"/>
            <w:noWrap w:val="0"/>
            <w:vAlign w:val="center"/>
          </w:tcPr>
          <w:p w14:paraId="450AECDD">
            <w:pPr>
              <w:spacing w:line="300" w:lineRule="auto"/>
              <w:jc w:val="center"/>
              <w:rPr>
                <w:rFonts w:hint="eastAsia"/>
                <w:color w:val="auto"/>
              </w:rPr>
            </w:pPr>
            <w:r>
              <w:rPr>
                <w:rFonts w:hint="eastAsia"/>
                <w:color w:val="auto"/>
              </w:rPr>
              <w:t>0</w:t>
            </w:r>
          </w:p>
        </w:tc>
      </w:tr>
      <w:tr w14:paraId="69DB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40663275">
            <w:pPr>
              <w:spacing w:line="300" w:lineRule="auto"/>
              <w:jc w:val="center"/>
              <w:rPr>
                <w:b/>
                <w:color w:val="auto"/>
              </w:rPr>
            </w:pPr>
            <w:r>
              <w:rPr>
                <w:b/>
                <w:color w:val="auto"/>
              </w:rPr>
              <w:t>适用专业</w:t>
            </w:r>
          </w:p>
        </w:tc>
        <w:tc>
          <w:tcPr>
            <w:tcW w:w="7123" w:type="dxa"/>
            <w:gridSpan w:val="7"/>
            <w:noWrap w:val="0"/>
            <w:vAlign w:val="center"/>
          </w:tcPr>
          <w:p w14:paraId="56E46CA2">
            <w:pPr>
              <w:spacing w:line="300" w:lineRule="auto"/>
              <w:jc w:val="left"/>
              <w:rPr>
                <w:color w:val="auto"/>
              </w:rPr>
            </w:pPr>
            <w:r>
              <w:rPr>
                <w:rFonts w:hint="eastAsia"/>
                <w:color w:val="auto"/>
              </w:rPr>
              <w:t>智能制造工程，能源与动力工程，机械工程，车辆工程</w:t>
            </w:r>
          </w:p>
        </w:tc>
      </w:tr>
      <w:tr w14:paraId="59F7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23E561E4">
            <w:pPr>
              <w:spacing w:line="300" w:lineRule="auto"/>
              <w:jc w:val="center"/>
              <w:rPr>
                <w:b/>
                <w:color w:val="auto"/>
              </w:rPr>
            </w:pPr>
            <w:r>
              <w:rPr>
                <w:rFonts w:hint="eastAsia"/>
                <w:b/>
                <w:color w:val="auto"/>
              </w:rPr>
              <w:t>授课学院</w:t>
            </w:r>
          </w:p>
        </w:tc>
        <w:tc>
          <w:tcPr>
            <w:tcW w:w="7123" w:type="dxa"/>
            <w:gridSpan w:val="7"/>
            <w:noWrap w:val="0"/>
            <w:vAlign w:val="center"/>
          </w:tcPr>
          <w:p w14:paraId="11804B72">
            <w:pPr>
              <w:spacing w:line="300" w:lineRule="auto"/>
              <w:jc w:val="left"/>
              <w:rPr>
                <w:rFonts w:hint="eastAsia"/>
                <w:color w:val="auto"/>
              </w:rPr>
            </w:pPr>
            <w:r>
              <w:rPr>
                <w:rFonts w:hint="eastAsia" w:ascii="Times New Roman" w:hAnsi="Times New Roman" w:eastAsia="宋体" w:cs="Times New Roman"/>
                <w:color w:val="auto"/>
              </w:rPr>
              <w:t>机械与动力工程学院</w:t>
            </w:r>
          </w:p>
        </w:tc>
      </w:tr>
      <w:tr w14:paraId="0E2C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7A28DD3">
            <w:pPr>
              <w:spacing w:line="300" w:lineRule="auto"/>
              <w:jc w:val="center"/>
              <w:rPr>
                <w:b/>
                <w:color w:val="auto"/>
              </w:rPr>
            </w:pPr>
            <w:r>
              <w:rPr>
                <w:b/>
                <w:color w:val="auto"/>
              </w:rPr>
              <w:t>先修</w:t>
            </w:r>
            <w:r>
              <w:rPr>
                <w:rFonts w:hint="eastAsia"/>
                <w:b/>
                <w:color w:val="auto"/>
              </w:rPr>
              <w:t>课程</w:t>
            </w:r>
          </w:p>
        </w:tc>
        <w:tc>
          <w:tcPr>
            <w:tcW w:w="7123" w:type="dxa"/>
            <w:gridSpan w:val="7"/>
            <w:noWrap w:val="0"/>
            <w:vAlign w:val="center"/>
          </w:tcPr>
          <w:p w14:paraId="1599570A">
            <w:pPr>
              <w:spacing w:line="300" w:lineRule="auto"/>
              <w:jc w:val="left"/>
              <w:rPr>
                <w:rFonts w:hint="default" w:eastAsia="宋体"/>
                <w:color w:val="auto"/>
                <w:lang w:val="en-US" w:eastAsia="zh-CN"/>
              </w:rPr>
            </w:pPr>
            <w:r>
              <w:rPr>
                <w:rFonts w:hint="eastAsia"/>
                <w:color w:val="auto"/>
                <w:lang w:val="en-US" w:eastAsia="zh-CN"/>
              </w:rPr>
              <w:t>无</w:t>
            </w:r>
          </w:p>
        </w:tc>
      </w:tr>
      <w:tr w14:paraId="44A0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1639BF17">
            <w:pPr>
              <w:spacing w:line="300" w:lineRule="auto"/>
              <w:jc w:val="center"/>
              <w:rPr>
                <w:b/>
                <w:color w:val="auto"/>
              </w:rPr>
            </w:pPr>
            <w:r>
              <w:rPr>
                <w:rFonts w:hint="eastAsia"/>
                <w:b/>
                <w:color w:val="auto"/>
              </w:rPr>
              <w:t>后续课程</w:t>
            </w:r>
          </w:p>
        </w:tc>
        <w:tc>
          <w:tcPr>
            <w:tcW w:w="7123" w:type="dxa"/>
            <w:gridSpan w:val="7"/>
            <w:noWrap w:val="0"/>
            <w:vAlign w:val="center"/>
          </w:tcPr>
          <w:p w14:paraId="47445C55">
            <w:pPr>
              <w:spacing w:line="300" w:lineRule="auto"/>
              <w:jc w:val="left"/>
              <w:rPr>
                <w:rFonts w:hint="default" w:eastAsia="宋体"/>
                <w:color w:val="auto"/>
                <w:lang w:val="en-US" w:eastAsia="zh-CN"/>
              </w:rPr>
            </w:pPr>
            <w:r>
              <w:rPr>
                <w:rFonts w:hint="eastAsia"/>
              </w:rPr>
              <w:t>人工智能技术与应用</w:t>
            </w:r>
            <w:r>
              <w:rPr>
                <w:rFonts w:hint="eastAsia"/>
                <w:lang w:val="en-US" w:eastAsia="zh-CN"/>
              </w:rPr>
              <w:t>,</w:t>
            </w:r>
            <w:r>
              <w:rPr>
                <w:rFonts w:hint="eastAsia"/>
              </w:rPr>
              <w:t>数据结构（C）</w:t>
            </w:r>
            <w:r>
              <w:rPr>
                <w:rFonts w:hint="eastAsia"/>
                <w:lang w:val="en-US" w:eastAsia="zh-CN"/>
              </w:rPr>
              <w:t>,</w:t>
            </w:r>
            <w:r>
              <w:rPr>
                <w:rFonts w:hint="eastAsia"/>
              </w:rPr>
              <w:t>机器人技术与应用机械（A)</w:t>
            </w:r>
          </w:p>
        </w:tc>
      </w:tr>
      <w:tr w14:paraId="5C29E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931" w:type="dxa"/>
            <w:noWrap w:val="0"/>
            <w:vAlign w:val="center"/>
          </w:tcPr>
          <w:p w14:paraId="397C7AD1">
            <w:pPr>
              <w:spacing w:line="300" w:lineRule="auto"/>
              <w:jc w:val="center"/>
              <w:rPr>
                <w:rFonts w:hint="eastAsia"/>
                <w:b/>
                <w:color w:val="auto"/>
              </w:rPr>
            </w:pPr>
            <w:r>
              <w:rPr>
                <w:rFonts w:hint="eastAsia"/>
                <w:b/>
                <w:color w:val="auto"/>
              </w:rPr>
              <w:t>课程简介</w:t>
            </w:r>
          </w:p>
        </w:tc>
        <w:tc>
          <w:tcPr>
            <w:tcW w:w="7123" w:type="dxa"/>
            <w:gridSpan w:val="7"/>
            <w:noWrap w:val="0"/>
            <w:vAlign w:val="center"/>
          </w:tcPr>
          <w:p w14:paraId="34C3FD48">
            <w:pPr>
              <w:rPr>
                <w:rFonts w:hint="eastAsia" w:ascii="宋体" w:hAnsi="宋体"/>
                <w:color w:val="auto"/>
                <w:szCs w:val="18"/>
              </w:rPr>
            </w:pPr>
            <w:r>
              <w:rPr>
                <w:rFonts w:hint="eastAsia" w:ascii="宋体" w:hAnsi="宋体"/>
                <w:b/>
                <w:color w:val="auto"/>
                <w:szCs w:val="18"/>
              </w:rPr>
              <w:t>课程基本定位</w:t>
            </w:r>
          </w:p>
          <w:p w14:paraId="3D1B032E">
            <w:pPr>
              <w:ind w:firstLine="420" w:firstLineChars="200"/>
              <w:rPr>
                <w:rFonts w:hint="eastAsia" w:ascii="宋体" w:hAnsi="宋体"/>
                <w:color w:val="auto"/>
                <w:szCs w:val="18"/>
              </w:rPr>
            </w:pPr>
            <w:r>
              <w:commentReference w:id="0"/>
            </w:r>
            <w:r>
              <w:rPr>
                <w:rFonts w:hint="eastAsia"/>
              </w:rPr>
              <w:t>本课程是智能制造工程、能源与动力工程、机械工程、车辆工程专业的一门重要的专业基础必修课，旨在培养学生掌握工程建模与科学计算可视化的基本理论和方法，提升学生在工程问题中的建模、计算与可视化能力。</w:t>
            </w:r>
          </w:p>
          <w:p w14:paraId="1459C102">
            <w:pPr>
              <w:rPr>
                <w:rFonts w:hint="eastAsia" w:ascii="宋体" w:hAnsi="宋体"/>
                <w:b/>
                <w:color w:val="auto"/>
                <w:szCs w:val="18"/>
              </w:rPr>
            </w:pPr>
            <w:r>
              <w:rPr>
                <w:rFonts w:hint="eastAsia" w:ascii="宋体" w:hAnsi="宋体"/>
                <w:b/>
                <w:color w:val="auto"/>
                <w:szCs w:val="18"/>
              </w:rPr>
              <w:t>核心学习结果</w:t>
            </w:r>
          </w:p>
          <w:p w14:paraId="635226A2">
            <w:pPr>
              <w:ind w:firstLine="420" w:firstLineChars="200"/>
              <w:rPr>
                <w:rFonts w:hint="eastAsia" w:ascii="宋体" w:hAnsi="宋体"/>
                <w:bCs/>
                <w:color w:val="auto"/>
                <w:szCs w:val="18"/>
              </w:rPr>
            </w:pPr>
            <w:r>
              <w:rPr>
                <w:rFonts w:hint="eastAsia" w:ascii="宋体" w:hAnsi="宋体"/>
                <w:bCs/>
                <w:color w:val="auto"/>
                <w:szCs w:val="18"/>
              </w:rPr>
              <w:t>通过本课程的学习，学生能够掌握工程建模的基本方法，理解科学计算的基本原理，并能够运用可视化技术对计算结果进行有效展示。学生将具备利用相关软件进行工程问题建模、计算与可视化的初步能力，为后续专业课程的学习和实际工程问题的解决奠定基础。</w:t>
            </w:r>
          </w:p>
          <w:p w14:paraId="3F393206">
            <w:pPr>
              <w:rPr>
                <w:rFonts w:hint="eastAsia" w:ascii="宋体" w:hAnsi="宋体"/>
                <w:b/>
                <w:color w:val="auto"/>
                <w:szCs w:val="18"/>
              </w:rPr>
            </w:pPr>
            <w:r>
              <w:rPr>
                <w:rFonts w:hint="eastAsia" w:ascii="宋体" w:hAnsi="宋体"/>
                <w:b/>
                <w:color w:val="auto"/>
                <w:szCs w:val="18"/>
              </w:rPr>
              <w:t>主要教学方法</w:t>
            </w:r>
          </w:p>
          <w:p w14:paraId="6F4AFDF2">
            <w:pPr>
              <w:ind w:firstLine="420" w:firstLineChars="200"/>
              <w:rPr>
                <w:rFonts w:ascii="宋体" w:hAnsi="宋体"/>
                <w:color w:val="auto"/>
                <w:szCs w:val="18"/>
              </w:rPr>
            </w:pPr>
            <w:r>
              <w:rPr>
                <w:rFonts w:hint="eastAsia" w:ascii="宋体" w:hAnsi="宋体"/>
                <w:color w:val="auto"/>
                <w:szCs w:val="18"/>
              </w:rPr>
              <w:t>理论课堂主要采用讲授法学习新知识和例题；布置课上和课后练习，巩固所学新知识；重难点利用分组讨论法和互动提问加深理解。在实践环节，通过具体工程案例的建模与可视化实践，强化知识的理解与应用。</w:t>
            </w:r>
          </w:p>
        </w:tc>
      </w:tr>
      <w:tr w14:paraId="777E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931" w:type="dxa"/>
            <w:noWrap w:val="0"/>
            <w:vAlign w:val="center"/>
          </w:tcPr>
          <w:p w14:paraId="0C593E39">
            <w:pPr>
              <w:spacing w:line="300" w:lineRule="auto"/>
              <w:jc w:val="center"/>
              <w:rPr>
                <w:b/>
                <w:color w:val="auto"/>
              </w:rPr>
            </w:pPr>
            <w:r>
              <w:rPr>
                <w:b/>
                <w:color w:val="auto"/>
              </w:rPr>
              <w:t>大纲更新时间</w:t>
            </w:r>
          </w:p>
        </w:tc>
        <w:tc>
          <w:tcPr>
            <w:tcW w:w="7123" w:type="dxa"/>
            <w:gridSpan w:val="7"/>
            <w:noWrap w:val="0"/>
            <w:vAlign w:val="center"/>
          </w:tcPr>
          <w:p w14:paraId="27392138">
            <w:pPr>
              <w:spacing w:line="300" w:lineRule="auto"/>
              <w:jc w:val="center"/>
              <w:rPr>
                <w:color w:val="auto"/>
              </w:rPr>
            </w:pPr>
            <w:r>
              <w:rPr>
                <w:rFonts w:hint="eastAsia"/>
                <w:color w:val="auto"/>
              </w:rPr>
              <w:t>202</w:t>
            </w:r>
            <w:r>
              <w:rPr>
                <w:rFonts w:hint="eastAsia"/>
                <w:color w:val="auto"/>
                <w:lang w:val="en-US" w:eastAsia="zh-CN"/>
              </w:rPr>
              <w:t>5</w:t>
            </w:r>
            <w:r>
              <w:rPr>
                <w:rFonts w:hint="eastAsia"/>
                <w:color w:val="auto"/>
              </w:rPr>
              <w:t>年</w:t>
            </w:r>
            <w:r>
              <w:rPr>
                <w:rFonts w:hint="eastAsia"/>
                <w:color w:val="auto"/>
                <w:lang w:val="en-US" w:eastAsia="zh-CN"/>
              </w:rPr>
              <w:t>9</w:t>
            </w:r>
            <w:r>
              <w:rPr>
                <w:rFonts w:hint="eastAsia"/>
                <w:color w:val="auto"/>
              </w:rPr>
              <w:t>月</w:t>
            </w:r>
            <w:r>
              <w:commentReference w:id="1"/>
            </w:r>
          </w:p>
        </w:tc>
      </w:tr>
    </w:tbl>
    <w:p w14:paraId="017E63B7">
      <w:pPr>
        <w:pStyle w:val="14"/>
        <w:spacing w:after="240" w:line="300" w:lineRule="auto"/>
        <w:jc w:val="left"/>
        <w:rPr>
          <w:rFonts w:hint="eastAsia" w:ascii="黑体" w:hAnsi="黑体" w:eastAsia="黑体"/>
          <w:color w:val="auto"/>
          <w:sz w:val="28"/>
          <w:szCs w:val="28"/>
        </w:rPr>
      </w:pPr>
      <w:r>
        <w:rPr>
          <w:rFonts w:hint="eastAsia" w:ascii="黑体" w:hAnsi="黑体" w:eastAsia="黑体"/>
          <w:color w:val="auto"/>
          <w:sz w:val="28"/>
          <w:szCs w:val="28"/>
        </w:rPr>
        <w:br w:type="page"/>
      </w:r>
      <w:r>
        <w:rPr>
          <w:rFonts w:hint="eastAsia" w:ascii="黑体" w:hAnsi="黑体" w:eastAsia="黑体"/>
          <w:color w:val="auto"/>
          <w:sz w:val="28"/>
          <w:szCs w:val="28"/>
        </w:rPr>
        <w:t>二、课程目标</w:t>
      </w:r>
      <w:r>
        <w:commentReference w:id="2"/>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809"/>
        <w:gridCol w:w="4248"/>
        <w:gridCol w:w="4229"/>
      </w:tblGrid>
      <w:tr w14:paraId="1E6E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809" w:type="dxa"/>
            <w:noWrap w:val="0"/>
            <w:vAlign w:val="center"/>
          </w:tcPr>
          <w:p w14:paraId="753660F1">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课程总目标</w:t>
            </w:r>
          </w:p>
        </w:tc>
        <w:tc>
          <w:tcPr>
            <w:tcW w:w="4248" w:type="dxa"/>
            <w:noWrap w:val="0"/>
            <w:vAlign w:val="center"/>
          </w:tcPr>
          <w:p w14:paraId="31E6859B">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课程子目标（参考学校定位、培养目标、毕业要求）</w:t>
            </w:r>
          </w:p>
        </w:tc>
        <w:tc>
          <w:tcPr>
            <w:tcW w:w="4229" w:type="dxa"/>
            <w:noWrap w:val="0"/>
            <w:vAlign w:val="center"/>
          </w:tcPr>
          <w:p w14:paraId="3CB25168">
            <w:pPr>
              <w:snapToGrid w:val="0"/>
              <w:spacing w:line="240" w:lineRule="exact"/>
              <w:jc w:val="center"/>
              <w:rPr>
                <w:rFonts w:hint="default" w:ascii="Times New Roman" w:hAnsi="Times New Roman" w:eastAsia="宋体" w:cs="Times New Roman"/>
                <w:b/>
                <w:color w:val="auto"/>
                <w:sz w:val="18"/>
                <w:szCs w:val="18"/>
                <w:lang w:eastAsia="zh-CN"/>
              </w:rPr>
            </w:pPr>
            <w:r>
              <w:rPr>
                <w:rFonts w:hint="default" w:ascii="Times New Roman" w:hAnsi="Times New Roman" w:eastAsia="宋体" w:cs="Times New Roman"/>
                <w:b/>
                <w:color w:val="auto"/>
                <w:sz w:val="18"/>
                <w:szCs w:val="18"/>
                <w:lang w:eastAsia="zh-CN"/>
              </w:rPr>
              <w:t>达成方法</w:t>
            </w:r>
          </w:p>
        </w:tc>
      </w:tr>
      <w:tr w14:paraId="4C62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223" w:hRule="exact"/>
          <w:jc w:val="center"/>
        </w:trPr>
        <w:tc>
          <w:tcPr>
            <w:tcW w:w="809" w:type="dxa"/>
            <w:vMerge w:val="restart"/>
            <w:noWrap w:val="0"/>
            <w:vAlign w:val="center"/>
          </w:tcPr>
          <w:p w14:paraId="2C4A50D3">
            <w:pPr>
              <w:snapToGrid w:val="0"/>
              <w:spacing w:line="240" w:lineRule="exact"/>
              <w:jc w:val="center"/>
              <w:rPr>
                <w:rFonts w:hint="default" w:ascii="Times New Roman" w:hAnsi="Times New Roman" w:eastAsia="宋体" w:cs="Times New Roman"/>
                <w:b/>
                <w:color w:val="auto"/>
                <w:kern w:val="0"/>
                <w:sz w:val="15"/>
                <w:szCs w:val="18"/>
              </w:rPr>
            </w:pPr>
            <w:r>
              <w:rPr>
                <w:rFonts w:hint="default" w:ascii="Times New Roman" w:hAnsi="Times New Roman" w:eastAsia="宋体" w:cs="Times New Roman"/>
                <w:b/>
                <w:color w:val="auto"/>
                <w:kern w:val="0"/>
                <w:sz w:val="15"/>
                <w:szCs w:val="18"/>
              </w:rPr>
              <w:t>1.知识</w:t>
            </w:r>
          </w:p>
        </w:tc>
        <w:tc>
          <w:tcPr>
            <w:tcW w:w="4248" w:type="dxa"/>
            <w:noWrap w:val="0"/>
            <w:vAlign w:val="top"/>
          </w:tcPr>
          <w:p w14:paraId="7FB4A47A">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1.1 了解本课程的知识体系以及与其他课程关系，理解本课程在专业学习中的作用；掌握课程学习要求，熟知成绩评定规则与课堂规范，明确学习方向，为系统学习工程建模与科学计算可视化知识奠定思想意识根基。</w:t>
            </w:r>
          </w:p>
        </w:tc>
        <w:tc>
          <w:tcPr>
            <w:tcW w:w="4229" w:type="dxa"/>
            <w:noWrap w:val="0"/>
            <w:vAlign w:val="top"/>
          </w:tcPr>
          <w:p w14:paraId="2D837D73">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用思维导图展示核心模块逻辑关系，对比课程衔接，明确课程知识体系；解读课程学习要求，强化规范意识。</w:t>
            </w:r>
          </w:p>
        </w:tc>
      </w:tr>
      <w:tr w14:paraId="1BA5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153" w:hRule="exact"/>
          <w:jc w:val="center"/>
        </w:trPr>
        <w:tc>
          <w:tcPr>
            <w:tcW w:w="809" w:type="dxa"/>
            <w:vMerge w:val="continue"/>
            <w:noWrap w:val="0"/>
            <w:vAlign w:val="center"/>
          </w:tcPr>
          <w:p w14:paraId="5C642CC3">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20AF5814">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1.2 掌握Python编程语言的基础知识，包括基本数据类型、控制结构、函数与模块等；熟悉Python在工程计算中的应用特点。</w:t>
            </w:r>
          </w:p>
        </w:tc>
        <w:tc>
          <w:tcPr>
            <w:tcW w:w="4229" w:type="dxa"/>
            <w:noWrap w:val="0"/>
            <w:vAlign w:val="top"/>
          </w:tcPr>
          <w:p w14:paraId="06F20AC8">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系统讲授Python基础知识，结合工程实例辨析各类数据类型和结构特性；布置Python编程专项训练，强化编程能力，确保学生牢固掌握Python编程基础。</w:t>
            </w:r>
          </w:p>
        </w:tc>
      </w:tr>
      <w:tr w14:paraId="33BE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795" w:hRule="exact"/>
          <w:jc w:val="center"/>
        </w:trPr>
        <w:tc>
          <w:tcPr>
            <w:tcW w:w="809" w:type="dxa"/>
            <w:vMerge w:val="continue"/>
            <w:noWrap w:val="0"/>
            <w:vAlign w:val="center"/>
          </w:tcPr>
          <w:p w14:paraId="7B2110E4">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57C7D015">
            <w:pPr>
              <w:spacing w:line="240" w:lineRule="exact"/>
              <w:rPr>
                <w:rFonts w:hint="eastAsia" w:ascii="Times New Roman" w:hAnsi="Times New Roman" w:eastAsia="宋体" w:cs="Times New Roman"/>
                <w:color w:val="auto"/>
                <w:sz w:val="15"/>
                <w:szCs w:val="15"/>
                <w:lang w:eastAsia="zh-CN"/>
              </w:rPr>
            </w:pPr>
            <w:r>
              <w:rPr>
                <w:rFonts w:hint="eastAsia" w:ascii="Times New Roman" w:hAnsi="Times New Roman" w:eastAsia="宋体" w:cs="Times New Roman"/>
                <w:color w:val="auto"/>
                <w:sz w:val="15"/>
                <w:szCs w:val="15"/>
                <w:lang w:eastAsia="zh-CN"/>
              </w:rPr>
              <w:t xml:space="preserve">1.3 全面深入掌握NumPy数组操作与数值计算基本方法。对于数组操作，了解创建数组的方式，如用不同函数生成特定数组；熟悉索引、切片操作，能灵活提取数据。数值计算方面，掌握加、减、乘、除等基本运算在数组上的实现，以及矩阵运算等复杂计算。理解向量化计算优势，它能提高效率、减少执行时间且使代码简洁易读。此外，熟悉NumPy在数据分析、机器学习、物理学模拟等科学计算领域的应用场景与操作方法。 </w:t>
            </w:r>
          </w:p>
        </w:tc>
        <w:tc>
          <w:tcPr>
            <w:tcW w:w="4229" w:type="dxa"/>
            <w:noWrap w:val="0"/>
            <w:vAlign w:val="top"/>
          </w:tcPr>
          <w:p w14:paraId="6CB6EA49">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通过严谨的推导，使学生理解NumPy数组操作和数值计算的基本原理；分析NumPy在工程计算中的典型应用，总结归纳常用函数和方法；通过分析工程实例，引导学生理解NumPy在工程问题中的实际应用。</w:t>
            </w:r>
          </w:p>
        </w:tc>
      </w:tr>
      <w:tr w14:paraId="26EF4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33D64640">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2A332BED">
            <w:pPr>
              <w:spacing w:line="240" w:lineRule="exact"/>
              <w:rPr>
                <w:rFonts w:hint="eastAsia" w:ascii="Times New Roman" w:hAnsi="Times New Roman" w:eastAsia="宋体" w:cs="Times New Roman"/>
                <w:color w:val="auto"/>
                <w:sz w:val="15"/>
                <w:szCs w:val="15"/>
                <w:lang w:val="en-US" w:eastAsia="zh-CN"/>
              </w:rPr>
            </w:pPr>
            <w:r>
              <w:rPr>
                <w:rFonts w:hint="eastAsia" w:ascii="Times New Roman" w:hAnsi="Times New Roman" w:eastAsia="宋体" w:cs="Times New Roman"/>
                <w:color w:val="auto"/>
                <w:sz w:val="15"/>
                <w:szCs w:val="15"/>
                <w:lang w:eastAsia="zh-CN"/>
              </w:rPr>
              <w:t xml:space="preserve">1.4 全面掌握Pandas数据处理的各类基本方法，具体涵盖数据的导入操作，比如从各种不同格式的文件（如CSV、Excel等）中导入数据；数据的清洗工作，像处理缺失值、去除重复数据等；数据的转换过程，例如对数据进行类型转换、重新编码等；以及数据的聚合操作，像分组求和、求平均值等。同时，要十分熟悉Pandas在工程数据分析领域的实际应用，能够运用Pandas来对工程数据进行有效的分析和挖掘，从而为工程决策提供有力的支持。 </w:t>
            </w:r>
          </w:p>
        </w:tc>
        <w:tc>
          <w:tcPr>
            <w:tcW w:w="4229" w:type="dxa"/>
            <w:noWrap w:val="0"/>
            <w:vAlign w:val="top"/>
          </w:tcPr>
          <w:p w14:paraId="07025904">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系统讲授Pandas数据处理方法，结合工程数据实例分析数据清洗和转换的技巧；布置Pandas数据处理专项训练，强化数据处理能力，确保学生牢固掌握Pandas应用。</w:t>
            </w:r>
          </w:p>
        </w:tc>
      </w:tr>
      <w:tr w14:paraId="55A1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1984" w:hRule="exact"/>
          <w:jc w:val="center"/>
        </w:trPr>
        <w:tc>
          <w:tcPr>
            <w:tcW w:w="809" w:type="dxa"/>
            <w:vMerge w:val="continue"/>
            <w:noWrap w:val="0"/>
            <w:vAlign w:val="center"/>
          </w:tcPr>
          <w:p w14:paraId="143E4406">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674CD8A9">
            <w:pPr>
              <w:spacing w:line="240" w:lineRule="exact"/>
              <w:rPr>
                <w:rFonts w:hint="eastAsia" w:ascii="Times New Roman" w:hAnsi="Times New Roman" w:eastAsia="宋体" w:cs="Times New Roman"/>
                <w:color w:val="auto"/>
                <w:sz w:val="15"/>
                <w:szCs w:val="15"/>
                <w:lang w:eastAsia="zh-CN"/>
              </w:rPr>
            </w:pPr>
            <w:r>
              <w:rPr>
                <w:rFonts w:hint="eastAsia" w:ascii="Times New Roman" w:hAnsi="Times New Roman" w:eastAsia="宋体" w:cs="Times New Roman"/>
                <w:color w:val="auto"/>
                <w:sz w:val="15"/>
                <w:szCs w:val="15"/>
                <w:lang w:eastAsia="zh-CN"/>
              </w:rPr>
              <w:t xml:space="preserve">1.5 </w:t>
            </w:r>
            <w:r>
              <w:rPr>
                <w:rFonts w:hint="eastAsia" w:ascii="Times New Roman" w:hAnsi="Times New Roman" w:eastAsia="宋体" w:cs="Times New Roman"/>
                <w:color w:val="auto"/>
                <w:sz w:val="15"/>
                <w:szCs w:val="15"/>
                <w:lang w:val="en-US" w:eastAsia="zh-CN"/>
              </w:rPr>
              <w:t>初步</w:t>
            </w:r>
            <w:r>
              <w:rPr>
                <w:rFonts w:hint="eastAsia" w:ascii="Times New Roman" w:hAnsi="Times New Roman" w:eastAsia="宋体" w:cs="Times New Roman"/>
                <w:color w:val="auto"/>
                <w:sz w:val="15"/>
                <w:szCs w:val="15"/>
                <w:lang w:eastAsia="zh-CN"/>
              </w:rPr>
              <w:t>掌握Matplotlib</w:t>
            </w:r>
            <w:r>
              <w:rPr>
                <w:rFonts w:hint="eastAsia" w:ascii="Times New Roman" w:hAnsi="Times New Roman" w:eastAsia="宋体" w:cs="Times New Roman"/>
                <w:color w:val="auto"/>
                <w:sz w:val="15"/>
                <w:szCs w:val="15"/>
                <w:lang w:val="en-US" w:eastAsia="zh-CN"/>
              </w:rPr>
              <w:t>等常见</w:t>
            </w:r>
            <w:r>
              <w:rPr>
                <w:rFonts w:hint="eastAsia" w:ascii="Times New Roman" w:hAnsi="Times New Roman" w:eastAsia="宋体" w:cs="Times New Roman"/>
                <w:color w:val="auto"/>
                <w:sz w:val="15"/>
                <w:szCs w:val="15"/>
                <w:lang w:eastAsia="zh-CN"/>
              </w:rPr>
              <w:t xml:space="preserve">数据可视化的基本方法，这里所涵盖的内容丰富多样，具体包括各类不同图表的精准绘制，像柱状图、折线图、散点图等常见图表的绘制技巧，同时还包括对这些图表样式的细致设置，比如颜色的搭配、线条的粗细、标记的样式等；深刻理解数据可视化在工程分析领域所具有的重要性，明白其对于清晰呈现数据特征、辅助决策等方面的关键作用。 </w:t>
            </w:r>
          </w:p>
        </w:tc>
        <w:tc>
          <w:tcPr>
            <w:tcW w:w="4229" w:type="dxa"/>
            <w:noWrap w:val="0"/>
            <w:vAlign w:val="top"/>
          </w:tcPr>
          <w:p w14:paraId="6CE4B785">
            <w:pPr>
              <w:spacing w:line="240" w:lineRule="exact"/>
              <w:rPr>
                <w:rFonts w:hint="default" w:ascii="Times New Roman" w:hAnsi="Times New Roman" w:eastAsia="宋体" w:cs="Times New Roman"/>
                <w:color w:val="auto"/>
                <w:sz w:val="15"/>
                <w:szCs w:val="15"/>
              </w:rPr>
            </w:pPr>
            <w:r>
              <w:rPr>
                <w:rFonts w:hint="default" w:ascii="Times New Roman" w:hAnsi="Times New Roman" w:eastAsia="宋体" w:cs="Times New Roman"/>
                <w:color w:val="auto"/>
                <w:sz w:val="15"/>
                <w:szCs w:val="15"/>
              </w:rPr>
              <w:t>通过实例演示，使学生掌握Matplotlib基本绘图方法；分析工程数据可视化案例，引导学生理解可视化在工程问题分析中的价值；布置可视化专项训练，强化学生图表设计能力。</w:t>
            </w:r>
          </w:p>
        </w:tc>
      </w:tr>
      <w:tr w14:paraId="431E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3093" w:hRule="exact"/>
          <w:jc w:val="center"/>
        </w:trPr>
        <w:tc>
          <w:tcPr>
            <w:tcW w:w="809" w:type="dxa"/>
            <w:vMerge w:val="continue"/>
            <w:noWrap w:val="0"/>
            <w:vAlign w:val="center"/>
          </w:tcPr>
          <w:p w14:paraId="3554F0B8">
            <w:pPr>
              <w:snapToGrid w:val="0"/>
              <w:spacing w:line="240" w:lineRule="exact"/>
              <w:jc w:val="center"/>
              <w:rPr>
                <w:rFonts w:hint="default" w:ascii="Times New Roman" w:hAnsi="Times New Roman" w:eastAsia="宋体" w:cs="Times New Roman"/>
                <w:color w:val="auto"/>
                <w:sz w:val="15"/>
                <w:szCs w:val="18"/>
              </w:rPr>
            </w:pPr>
          </w:p>
        </w:tc>
        <w:tc>
          <w:tcPr>
            <w:tcW w:w="4248" w:type="dxa"/>
            <w:noWrap w:val="0"/>
            <w:vAlign w:val="top"/>
          </w:tcPr>
          <w:p w14:paraId="789AD84A">
            <w:pPr>
              <w:spacing w:line="240" w:lineRule="exact"/>
              <w:rPr>
                <w:rFonts w:hint="eastAsia"/>
                <w:color w:val="auto"/>
                <w:kern w:val="2"/>
                <w:sz w:val="15"/>
                <w:szCs w:val="15"/>
                <w:lang w:val="en-US" w:eastAsia="zh-CN" w:bidi="ar-SA"/>
              </w:rPr>
            </w:pPr>
            <w:r>
              <w:rPr>
                <w:rFonts w:hint="eastAsia"/>
                <w:color w:val="auto"/>
                <w:kern w:val="2"/>
                <w:sz w:val="15"/>
                <w:szCs w:val="15"/>
                <w:lang w:val="en-US" w:eastAsia="zh-CN" w:bidi="ar-SA"/>
              </w:rPr>
              <w:t xml:space="preserve">1.6 在学习过程中，要初步且扎实地掌握常见 Python 集成开发环境（IDE）的具体使用方法。这里所说的常见 Python 集成开发环境，涵盖了诸如 PyCharm、Visual Studio Code 等在编程领域广泛应用的工具。不仅要熟悉这些开发环境的基本操作界面，还要深入了解其各项功能，例如代码编辑、调试、运行等功能的具体操作流程。同时，要具备人工智能辅助编程和项目开发的能力，这包括学会利用像 Copilot 等人工智能编程辅助工具来提高编程效率，以及运用人工智能技术为项目开发提供思路和解决方案，从而在实际的编程和项目开发中能够更加高效、准确地完成任务。 </w:t>
            </w:r>
          </w:p>
          <w:p w14:paraId="05ECC0AC">
            <w:pPr>
              <w:spacing w:line="240" w:lineRule="exact"/>
              <w:rPr>
                <w:rFonts w:hint="default" w:ascii="Times New Roman" w:hAnsi="Times New Roman" w:eastAsia="宋体" w:cs="Times New Roman"/>
                <w:color w:val="auto"/>
                <w:sz w:val="15"/>
                <w:szCs w:val="15"/>
                <w:lang w:val="en-US" w:eastAsia="zh-CN"/>
              </w:rPr>
            </w:pPr>
          </w:p>
        </w:tc>
        <w:tc>
          <w:tcPr>
            <w:tcW w:w="4229" w:type="dxa"/>
            <w:noWrap w:val="0"/>
            <w:vAlign w:val="top"/>
          </w:tcPr>
          <w:p w14:paraId="302B05B4">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系统讲解PyCharm与Visual Studio Code的核心功能模块（界面布局、代码编辑、调试工具、版本控制），通过对比演示两种IDE的操作差异；设计阶梯式实操任务（环境配置→代码调试→项目管理），要求学生完成从单文件脚本到多模块项目的开发流程；引入AI辅助工具的使用教学，通过案例演示如何利用AI生成代码片段、优化算法逻辑及解决调试问题；布置"AI辅助项目开发"专项作业，要求学生记录AI工具的使用场景与效率提升数据，撰写技术反思报告。</w:t>
            </w:r>
          </w:p>
          <w:p w14:paraId="7921E5E6">
            <w:pPr>
              <w:spacing w:line="240" w:lineRule="exact"/>
              <w:rPr>
                <w:rFonts w:hint="default" w:ascii="Times New Roman" w:hAnsi="Times New Roman" w:eastAsia="宋体" w:cs="Times New Roman"/>
                <w:color w:val="auto"/>
                <w:sz w:val="15"/>
                <w:szCs w:val="15"/>
              </w:rPr>
            </w:pPr>
          </w:p>
        </w:tc>
      </w:tr>
    </w:tbl>
    <w:p w14:paraId="6CE29624">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6647D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tcMar>
              <w:left w:w="108" w:type="dxa"/>
              <w:right w:w="108" w:type="dxa"/>
            </w:tcMar>
            <w:vAlign w:val="center"/>
          </w:tcPr>
          <w:p w14:paraId="086898D7">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课程</w:t>
            </w:r>
          </w:p>
          <w:p w14:paraId="46CF321D">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总目标</w:t>
            </w:r>
          </w:p>
        </w:tc>
        <w:tc>
          <w:tcPr>
            <w:tcW w:w="4310" w:type="dxa"/>
            <w:noWrap w:val="0"/>
            <w:tcMar>
              <w:left w:w="108" w:type="dxa"/>
              <w:right w:w="108" w:type="dxa"/>
            </w:tcMar>
            <w:vAlign w:val="center"/>
          </w:tcPr>
          <w:p w14:paraId="6B986820">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课程子目标（参考学校定位、培养目标、毕业要求）</w:t>
            </w:r>
          </w:p>
        </w:tc>
        <w:tc>
          <w:tcPr>
            <w:tcW w:w="4457" w:type="dxa"/>
            <w:noWrap w:val="0"/>
            <w:tcMar>
              <w:left w:w="108" w:type="dxa"/>
              <w:right w:w="108" w:type="dxa"/>
            </w:tcMar>
            <w:vAlign w:val="center"/>
          </w:tcPr>
          <w:p w14:paraId="6CFF78F3">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达成方法</w:t>
            </w:r>
          </w:p>
        </w:tc>
      </w:tr>
      <w:tr w14:paraId="7CA8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jc w:val="center"/>
        </w:trPr>
        <w:tc>
          <w:tcPr>
            <w:tcW w:w="977" w:type="dxa"/>
            <w:vMerge w:val="restart"/>
            <w:noWrap w:val="0"/>
            <w:tcMar>
              <w:left w:w="108" w:type="dxa"/>
              <w:right w:w="108" w:type="dxa"/>
            </w:tcMar>
            <w:vAlign w:val="center"/>
          </w:tcPr>
          <w:p w14:paraId="3DFC14A7">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2.能力</w:t>
            </w:r>
          </w:p>
        </w:tc>
        <w:tc>
          <w:tcPr>
            <w:tcW w:w="4310" w:type="dxa"/>
            <w:noWrap w:val="0"/>
            <w:tcMar>
              <w:left w:w="108" w:type="dxa"/>
              <w:right w:w="108" w:type="dxa"/>
            </w:tcMar>
            <w:vAlign w:val="top"/>
          </w:tcPr>
          <w:p w14:paraId="04CDD9A8">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2.1 具备熟练且精准地运用工程问题建模基本方法的能力，能够深入剖析实际工程问题中的各种要素和关系，凭借扎实的专业知识和丰富的实践经验，把复杂多样的实际工程问题逐步进行抽象和提炼，最终将其准确无误地转化为对应的数学模型。 </w:t>
            </w:r>
          </w:p>
        </w:tc>
        <w:tc>
          <w:tcPr>
            <w:tcW w:w="4457" w:type="dxa"/>
            <w:noWrap w:val="0"/>
            <w:tcMar>
              <w:left w:w="108" w:type="dxa"/>
              <w:right w:w="108" w:type="dxa"/>
            </w:tcMar>
            <w:vAlign w:val="top"/>
          </w:tcPr>
          <w:p w14:paraId="4908F30A">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通过对具体且具有代表性的工程案例进行深入分析，详细且系统地讲授工程建模所涉及的基本步骤，包括如何进行问题的界定、数据的收集与整理、模型的选择与构建等；精心布置具有一定针对性和挑战性的工程问题建模任务，运用多样化的引导方式，逐步引导学生将错综复杂的实际问题进行拆解和分析，进而准确地转化为数学模型，帮助学生掌握从实际到理论的转化思维和方法。 </w:t>
            </w:r>
          </w:p>
        </w:tc>
      </w:tr>
      <w:tr w14:paraId="6AF2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5" w:hRule="atLeast"/>
          <w:jc w:val="center"/>
        </w:trPr>
        <w:tc>
          <w:tcPr>
            <w:tcW w:w="977" w:type="dxa"/>
            <w:vMerge w:val="continue"/>
            <w:noWrap w:val="0"/>
            <w:tcMar>
              <w:left w:w="108" w:type="dxa"/>
              <w:right w:w="108" w:type="dxa"/>
            </w:tcMar>
            <w:vAlign w:val="center"/>
          </w:tcPr>
          <w:p w14:paraId="203F72F5"/>
        </w:tc>
        <w:tc>
          <w:tcPr>
            <w:tcW w:w="4310" w:type="dxa"/>
            <w:noWrap w:val="0"/>
            <w:tcMar>
              <w:left w:w="108" w:type="dxa"/>
              <w:right w:w="108" w:type="dxa"/>
            </w:tcMar>
            <w:vAlign w:val="top"/>
          </w:tcPr>
          <w:p w14:paraId="4620A4C4">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2.2 在实际的工程工作场景中，具备十分熟练地运用NumPy和Pandas这两个强大工具来开展有关工程数据的计算与分析工作的能力。NumPy提供了高效的多维数组对象以及对数组进行各种操作的函数，利用这些功能可以方便快捷地处理大规模的工程数据；而Pandas则擅长数据的读取、清洗、转换等操作，能够将杂乱无章的工程数据整理成便于分析的格式。与此同时，还具备运用Scipy进行公式计算与分析的能力。Scipy拥有丰富的科学计算库，涵盖了数值积分、优化、插值等多个领域，能够针对复杂的工程公式进行精确的计算和深入的分析。 </w:t>
            </w:r>
          </w:p>
        </w:tc>
        <w:tc>
          <w:tcPr>
            <w:tcW w:w="4457" w:type="dxa"/>
            <w:noWrap w:val="0"/>
            <w:tcMar>
              <w:left w:w="108" w:type="dxa"/>
              <w:right w:w="108" w:type="dxa"/>
            </w:tcMar>
            <w:vAlign w:val="top"/>
          </w:tcPr>
          <w:p w14:paraId="4633D90B">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通过工程数据计算案例，讲授科学计算方法；布置工程数据处理任务，强化学生数据计算能力。通过讲解NumPy多维数组操作、Pandas数据清洗转换等核心功能，结合工程数据计算案例，引导学生掌握数据计算与分析方法；布置包含大规模工程数据的综合处理任务，强化运用NumPy、Pandas进行数据清洗、转换及Scipy进行公式计算的实践能力，培养工程数据科学处理思维。</w:t>
            </w:r>
          </w:p>
        </w:tc>
      </w:tr>
      <w:tr w14:paraId="0256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3" w:hRule="atLeast"/>
          <w:jc w:val="center"/>
        </w:trPr>
        <w:tc>
          <w:tcPr>
            <w:tcW w:w="977" w:type="dxa"/>
            <w:vMerge w:val="continue"/>
            <w:noWrap w:val="0"/>
            <w:tcMar>
              <w:left w:w="108" w:type="dxa"/>
              <w:right w:w="108" w:type="dxa"/>
            </w:tcMar>
            <w:vAlign w:val="center"/>
          </w:tcPr>
          <w:p w14:paraId="59A012C4"/>
        </w:tc>
        <w:tc>
          <w:tcPr>
            <w:tcW w:w="4310" w:type="dxa"/>
            <w:noWrap w:val="0"/>
            <w:tcMar>
              <w:left w:w="108" w:type="dxa"/>
              <w:right w:w="108" w:type="dxa"/>
            </w:tcMar>
            <w:vAlign w:val="top"/>
          </w:tcPr>
          <w:p w14:paraId="5FB7E529">
            <w:pPr>
              <w:spacing w:line="240" w:lineRule="exact"/>
              <w:rPr>
                <w:rFonts w:hint="eastAsia" w:eastAsia="宋体"/>
                <w:kern w:val="2"/>
                <w:sz w:val="21"/>
                <w:szCs w:val="21"/>
                <w:lang w:val="en-US" w:eastAsia="zh-CN" w:bidi="ar-SA"/>
              </w:rPr>
            </w:pPr>
            <w:r>
              <w:rPr>
                <w:rFonts w:hint="eastAsia"/>
                <w:color w:val="auto"/>
                <w:kern w:val="2"/>
                <w:sz w:val="15"/>
                <w:szCs w:val="15"/>
                <w:lang w:val="en-US" w:eastAsia="zh-CN" w:bidi="ar-SA"/>
              </w:rPr>
              <w:t>2.3 在相关技能方面，具备能够极为熟练地运用 Matplotlib、PyVista 等专业工具的能力。通过经历系统且全面的训练过程，深入掌握了这些工具的具体应用方法。凭借所掌握的技能，可独立自主地完成工程数据的多维度可视化分析工作。在分析过程中，能够从多个不同的维度对工程数据进行细致的剖析和处理。并且，还可以结合科学计算所得到的结果，精准地呈现出其中的关键现象以及内在的规律，为进一步的研究和决策提供有力的支持。 </w:t>
            </w:r>
          </w:p>
        </w:tc>
        <w:tc>
          <w:tcPr>
            <w:tcW w:w="4457" w:type="dxa"/>
            <w:noWrap w:val="0"/>
            <w:tcMar>
              <w:left w:w="108" w:type="dxa"/>
              <w:right w:w="108" w:type="dxa"/>
            </w:tcMar>
            <w:vAlign w:val="top"/>
          </w:tcPr>
          <w:p w14:paraId="77FDE491">
            <w:pPr>
              <w:spacing w:line="240" w:lineRule="exact"/>
              <w:rPr>
                <w:rFonts w:hint="default" w:ascii="Times New Roman" w:hAnsi="Times New Roman" w:eastAsia="宋体" w:cs="Times New Roman"/>
                <w:bCs/>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bidi="ar-SA"/>
              </w:rPr>
              <w:t>首先深入解析Matplotlib基于面向对象的核心架构，涵盖折线图、热力图及速度场矢量图（Quiver Plot）的参数配置与数据映射机制；继而剖析PyVista基于VTK的渲染管线，重点讲解网格数据结构（Unstructured Grid）的处理流程、光照模型设置及三维交互原理。课程将以简单的工程实战案例，演示如何利用Matplotlib绘制二维速度场矢量分布以捕捉局部流动特征，并结合PyVista构建流场三维动态模型，通过流线追踪与等值面渲染直观呈现漩涡形成与演化的时空过程。在此基础上，引导学员开展“从二维数据分布到三维结构展示”的阶梯式实践训练，独立完成从原始数据清洗、多维度图表设计到最终结果解读的全流程，从而全面培养解决复杂工程问题的数据可视化综合应用能力。</w:t>
            </w:r>
          </w:p>
        </w:tc>
      </w:tr>
      <w:tr w14:paraId="0125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977" w:type="dxa"/>
            <w:vMerge w:val="continue"/>
            <w:noWrap w:val="0"/>
            <w:tcMar>
              <w:left w:w="108" w:type="dxa"/>
              <w:right w:w="108" w:type="dxa"/>
            </w:tcMar>
            <w:vAlign w:val="center"/>
          </w:tcPr>
          <w:p w14:paraId="125668DD"/>
        </w:tc>
        <w:tc>
          <w:tcPr>
            <w:tcW w:w="4310" w:type="dxa"/>
            <w:noWrap w:val="0"/>
            <w:tcMar>
              <w:left w:w="108" w:type="dxa"/>
              <w:right w:w="108" w:type="dxa"/>
            </w:tcMar>
            <w:vAlign w:val="center"/>
          </w:tcPr>
          <w:p w14:paraId="15FB41D7">
            <w:pPr>
              <w:spacing w:line="240" w:lineRule="exact"/>
              <w:rPr>
                <w:rFonts w:hint="eastAsia" w:eastAsia="宋体"/>
                <w:kern w:val="2"/>
                <w:sz w:val="21"/>
                <w:szCs w:val="21"/>
                <w:lang w:val="en-US" w:eastAsia="zh-CN" w:bidi="ar-SA"/>
              </w:rPr>
            </w:pPr>
            <w:r>
              <w:rPr>
                <w:rFonts w:hint="eastAsia"/>
                <w:color w:val="auto"/>
                <w:kern w:val="2"/>
                <w:sz w:val="15"/>
                <w:szCs w:val="15"/>
                <w:lang w:val="en-US" w:eastAsia="zh-CN" w:bidi="ar-SA"/>
              </w:rPr>
              <w:t>2.4 具备在短时间内快速学习新知识、新技能，并积极尝试使用Python领域中新工具的能力。在面对实际的工作场景时，能够迅速掌握新工具的使用方法和特点，将其融入到日常的开发工作当中。同时，还能够依据具体的工程需求，主动去探索Python生态系统里种类丰富的扩展库，像Streamlit、MicroPython等这些具有代表性的扩展库。不仅要了解它们的基本功能，还需要深入研究如何将这些扩展库应用到实际的工程项目中，以实现项目的预期目标。此外，要充分理解开源工具在应对和解决复杂工程问题时所具有的独特价值。开源工具往往汇聚了众多开发者的智慧和经验，通过合理地运用这些工具，可以提高开发效率、降低开发成本，为解决复杂工程问题提供更加有效的途径和方法。 </w:t>
            </w:r>
          </w:p>
        </w:tc>
        <w:tc>
          <w:tcPr>
            <w:tcW w:w="4457" w:type="dxa"/>
            <w:noWrap w:val="0"/>
            <w:tcMar>
              <w:left w:w="108" w:type="dxa"/>
              <w:right w:w="108" w:type="dxa"/>
            </w:tcMar>
            <w:vAlign w:val="center"/>
          </w:tcPr>
          <w:p w14:paraId="7E9886CD">
            <w:pPr>
              <w:spacing w:line="240" w:lineRule="exact"/>
              <w:rPr>
                <w:rFonts w:hint="default" w:ascii="Times New Roman" w:hAnsi="Times New Roman" w:cs="Times New Roman"/>
                <w:bCs/>
                <w:color w:val="auto"/>
                <w:kern w:val="2"/>
                <w:sz w:val="15"/>
                <w:szCs w:val="15"/>
                <w:lang w:val="en-US" w:eastAsia="zh-CN" w:bidi="ar-SA"/>
              </w:rPr>
            </w:pPr>
            <w:r>
              <w:rPr>
                <w:rFonts w:hint="default" w:ascii="Times New Roman" w:hAnsi="Times New Roman" w:cs="Times New Roman"/>
                <w:bCs/>
                <w:color w:val="auto"/>
                <w:kern w:val="2"/>
                <w:sz w:val="15"/>
                <w:szCs w:val="15"/>
                <w:lang w:val="en-US" w:eastAsia="zh-CN" w:bidi="ar-SA"/>
              </w:rPr>
              <w:t>通过系统讲解Python生态中快速学习新工具的方法论及开源工具在解决复杂工程问题中的核心价值，举例演示如何依据具体工程需求主动探索并应用Streamlit构建交互式数据看板、利用MicroPython实现嵌入式控制等代表性场景；进而引导学员在面对实际工作场景时，开展从工具特性调研、快速上手实践到融入日常开发流程的阶梯式训练，使其能够迅速掌握新工具的使用方法并将其灵活应用于项目目标达成，最终培养出具备短时间内快速掌握新知识新技能、主动探索Python丰富扩展库以及高效运用开源工具解决复杂工程问题的综合应用能力。</w:t>
            </w:r>
          </w:p>
        </w:tc>
      </w:tr>
      <w:tr w14:paraId="6F25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0" w:hRule="atLeast"/>
          <w:jc w:val="center"/>
        </w:trPr>
        <w:tc>
          <w:tcPr>
            <w:tcW w:w="977" w:type="dxa"/>
            <w:vMerge w:val="continue"/>
            <w:noWrap w:val="0"/>
            <w:tcMar>
              <w:left w:w="108" w:type="dxa"/>
              <w:right w:w="108" w:type="dxa"/>
            </w:tcMar>
            <w:vAlign w:val="center"/>
          </w:tcPr>
          <w:p w14:paraId="0E79CD9C"/>
        </w:tc>
        <w:tc>
          <w:tcPr>
            <w:tcW w:w="4310" w:type="dxa"/>
            <w:noWrap w:val="0"/>
            <w:tcMar>
              <w:left w:w="108" w:type="dxa"/>
              <w:right w:w="108" w:type="dxa"/>
            </w:tcMar>
            <w:vAlign w:val="center"/>
          </w:tcPr>
          <w:p w14:paraId="27F9CC83">
            <w:pPr>
              <w:spacing w:line="240" w:lineRule="exact"/>
              <w:rPr>
                <w:rFonts w:hint="eastAsia" w:eastAsia="宋体"/>
                <w:kern w:val="2"/>
                <w:sz w:val="21"/>
                <w:szCs w:val="21"/>
                <w:lang w:val="en-US" w:eastAsia="zh-CN" w:bidi="ar-SA"/>
              </w:rPr>
            </w:pPr>
            <w:r>
              <w:rPr>
                <w:rFonts w:hint="eastAsia"/>
                <w:color w:val="auto"/>
                <w:kern w:val="2"/>
                <w:sz w:val="15"/>
                <w:szCs w:val="15"/>
                <w:lang w:val="en-US" w:eastAsia="zh-CN" w:bidi="ar-SA"/>
              </w:rPr>
              <w:t>2.5 具备集成先进的AI工具以进行辅助开发与交互学习的显著能力。在实际工作场景中，不仅能够熟练地运用像VSCode这样功能强大的代码编辑工具，还能借助通义千问这类先进的AI大模型工具来开展代码辅助开发工作。在运用这些工具的过程中，采用边用边学、快速迭代的有效方式，不断积累经验、优化方法，进而高效地解决在开发过程中遇到的各种实际问题。通过这样一系列的实践操作，逐步深入掌握交互式学习与开发的科学方法，以更好地适应不断变化的开发需求和技术环境。 </w:t>
            </w:r>
          </w:p>
        </w:tc>
        <w:tc>
          <w:tcPr>
            <w:tcW w:w="4457" w:type="dxa"/>
            <w:noWrap w:val="0"/>
            <w:tcMar>
              <w:left w:w="108" w:type="dxa"/>
              <w:right w:w="108" w:type="dxa"/>
            </w:tcMar>
            <w:vAlign w:val="center"/>
          </w:tcPr>
          <w:p w14:paraId="42A0C6DD">
            <w:pPr>
              <w:spacing w:line="240" w:lineRule="exact"/>
              <w:rPr>
                <w:rFonts w:hint="default" w:ascii="Times New Roman" w:hAnsi="Times New Roman" w:cs="Times New Roman"/>
                <w:bCs/>
                <w:color w:val="auto"/>
                <w:kern w:val="2"/>
                <w:sz w:val="15"/>
                <w:szCs w:val="15"/>
                <w:lang w:val="en-US" w:eastAsia="zh-CN" w:bidi="ar-SA"/>
              </w:rPr>
            </w:pPr>
            <w:r>
              <w:rPr>
                <w:rFonts w:hint="default" w:ascii="Times New Roman" w:hAnsi="Times New Roman" w:cs="Times New Roman"/>
                <w:bCs/>
                <w:color w:val="auto"/>
                <w:kern w:val="2"/>
                <w:sz w:val="15"/>
                <w:szCs w:val="15"/>
                <w:lang w:val="en-US" w:eastAsia="zh-CN" w:bidi="ar-SA"/>
              </w:rPr>
              <w:t>讲解集成先进AI工具进行辅助开发与交互学习的核心方法论，重点剖析VSCode等智能编辑器与通义千问等大模型工具的协同工作机制及“边用边学、快速迭代”的高效开发策略；举例演示在实际编码场景中如何利用AI大模型进行代码自动生成、错误调试及逻辑优化，展示如何通过人机协作高效解决复杂开发难题；进而引导学员开展从工具配置、场景化应用到持续经验积累的阶梯式实践训练，使其熟练掌握交互式学习与开发的科学方法，最终培养出能够灵活集成先进AI工具以适应动态技术环境、高效解决实际工程问题的综合应用能力。</w:t>
            </w:r>
          </w:p>
        </w:tc>
      </w:tr>
    </w:tbl>
    <w:p w14:paraId="04CC38A5"/>
    <w:p w14:paraId="488AF620">
      <w:pPr>
        <w:rPr>
          <w:rFonts w:hint="default" w:ascii="Times New Roman" w:hAnsi="Times New Roman" w:cs="Times New Roman"/>
          <w:color w:val="auto"/>
        </w:rPr>
      </w:pPr>
      <w:r>
        <w:rPr>
          <w:rFonts w:hint="default" w:ascii="Times New Roman" w:hAnsi="Times New Roman" w:cs="Times New Roman"/>
          <w:color w:val="auto"/>
        </w:rPr>
        <w:br w:type="page"/>
      </w:r>
    </w:p>
    <w:tbl>
      <w:tblPr>
        <w:tblStyle w:val="1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
        <w:gridCol w:w="4310"/>
        <w:gridCol w:w="4457"/>
      </w:tblGrid>
      <w:tr w14:paraId="581C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977" w:type="dxa"/>
            <w:noWrap w:val="0"/>
            <w:tcMar>
              <w:left w:w="108" w:type="dxa"/>
              <w:right w:w="108" w:type="dxa"/>
            </w:tcMar>
            <w:vAlign w:val="center"/>
          </w:tcPr>
          <w:p w14:paraId="730C9E7F">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课程</w:t>
            </w:r>
          </w:p>
          <w:p w14:paraId="54017ADA">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总目标</w:t>
            </w:r>
          </w:p>
        </w:tc>
        <w:tc>
          <w:tcPr>
            <w:tcW w:w="4310" w:type="dxa"/>
            <w:noWrap w:val="0"/>
            <w:tcMar>
              <w:left w:w="108" w:type="dxa"/>
              <w:right w:w="108" w:type="dxa"/>
            </w:tcMar>
            <w:vAlign w:val="center"/>
          </w:tcPr>
          <w:p w14:paraId="5AE07A22">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课程子目标（参考学校定位、培养目标、毕业要求）</w:t>
            </w:r>
          </w:p>
        </w:tc>
        <w:tc>
          <w:tcPr>
            <w:tcW w:w="4457" w:type="dxa"/>
            <w:noWrap w:val="0"/>
            <w:tcMar>
              <w:left w:w="108" w:type="dxa"/>
              <w:right w:w="108" w:type="dxa"/>
            </w:tcMar>
            <w:vAlign w:val="center"/>
          </w:tcPr>
          <w:p w14:paraId="2AC3E5F4">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达成方法</w:t>
            </w:r>
          </w:p>
        </w:tc>
      </w:tr>
      <w:tr w14:paraId="569D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jc w:val="center"/>
        </w:trPr>
        <w:tc>
          <w:tcPr>
            <w:tcW w:w="977" w:type="dxa"/>
            <w:vMerge w:val="restart"/>
            <w:noWrap w:val="0"/>
            <w:tcMar>
              <w:left w:w="108" w:type="dxa"/>
              <w:right w:w="108" w:type="dxa"/>
            </w:tcMar>
            <w:vAlign w:val="center"/>
          </w:tcPr>
          <w:p w14:paraId="0272CB00">
            <w:pPr>
              <w:spacing w:line="240" w:lineRule="exact"/>
              <w:jc w:val="center"/>
              <w:rPr>
                <w:b/>
                <w:bCs w:val="0"/>
                <w:color w:val="auto"/>
                <w:kern w:val="2"/>
                <w:sz w:val="18"/>
                <w:szCs w:val="18"/>
                <w:lang w:val="en-US" w:eastAsia="zh-CN" w:bidi="ar-SA"/>
              </w:rPr>
            </w:pPr>
            <w:r>
              <w:rPr>
                <w:rFonts w:hint="eastAsia"/>
                <w:b/>
                <w:bCs w:val="0"/>
                <w:color w:val="auto"/>
                <w:kern w:val="2"/>
                <w:sz w:val="18"/>
                <w:szCs w:val="18"/>
                <w:lang w:val="en-US" w:eastAsia="zh-CN" w:bidi="ar-SA"/>
              </w:rPr>
              <w:t>3.素质</w:t>
            </w:r>
          </w:p>
        </w:tc>
        <w:tc>
          <w:tcPr>
            <w:tcW w:w="4310" w:type="dxa"/>
            <w:noWrap w:val="0"/>
            <w:tcMar>
              <w:left w:w="108" w:type="dxa"/>
              <w:right w:w="108" w:type="dxa"/>
            </w:tcMar>
            <w:vAlign w:val="center"/>
          </w:tcPr>
          <w:p w14:paraId="55EBE54B">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3.1 培养系统化的工程思维，能够从多维度剖析复杂工程问题，理解工程建模中简化与近似的辩证关系，形成严谨的科学计算逻辑。</w:t>
            </w:r>
          </w:p>
        </w:tc>
        <w:tc>
          <w:tcPr>
            <w:tcW w:w="4457" w:type="dxa"/>
            <w:noWrap w:val="0"/>
            <w:tcMar>
              <w:left w:w="108" w:type="dxa"/>
              <w:right w:w="108" w:type="dxa"/>
            </w:tcMar>
            <w:vAlign w:val="center"/>
          </w:tcPr>
          <w:p w14:paraId="12E8214F">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引入典型工程案例（如流体仿真、结构应力分析），组织“问题拆解 - 模型构建 - 结果验证”的全流程研讨；在NumPy/Pandas数据处理环节，强制要求学生先进行物理意义分析再编写代码，通过对比不同建模粒度对计算结果的影响，强化对工程近似本质的理解；利用思维导图工具梳理从实际物理现象到数学模型再到代码实现的逻辑链条。</w:t>
            </w:r>
          </w:p>
        </w:tc>
      </w:tr>
      <w:tr w14:paraId="48A1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0" w:hRule="atLeast"/>
          <w:jc w:val="center"/>
        </w:trPr>
        <w:tc>
          <w:tcPr>
            <w:tcW w:w="977" w:type="dxa"/>
            <w:vMerge w:val="continue"/>
            <w:noWrap w:val="0"/>
            <w:tcMar>
              <w:left w:w="108" w:type="dxa"/>
              <w:right w:w="108" w:type="dxa"/>
            </w:tcMar>
            <w:vAlign w:val="center"/>
          </w:tcPr>
          <w:p w14:paraId="12337730"/>
        </w:tc>
        <w:tc>
          <w:tcPr>
            <w:tcW w:w="4310" w:type="dxa"/>
            <w:noWrap w:val="0"/>
            <w:tcMar>
              <w:left w:w="108" w:type="dxa"/>
              <w:right w:w="108" w:type="dxa"/>
            </w:tcMar>
            <w:vAlign w:val="center"/>
          </w:tcPr>
          <w:p w14:paraId="2F0FF152">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3.2 具备高效的团队协作与沟通能力，能够在跨学科背景的小组项目中明确角色分工，通过版本控制与文档共享机制协同完成复杂工程数据的分析与可视化任务。</w:t>
            </w:r>
          </w:p>
        </w:tc>
        <w:tc>
          <w:tcPr>
            <w:tcW w:w="4457" w:type="dxa"/>
            <w:noWrap w:val="0"/>
            <w:tcMar>
              <w:left w:w="108" w:type="dxa"/>
              <w:right w:w="108" w:type="dxa"/>
            </w:tcMar>
            <w:vAlign w:val="center"/>
          </w:tcPr>
          <w:p w14:paraId="53B4F42A">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实施“小组项目制”教学，将全班分为若干项目组，模拟企业研发团队协作模式；强制使用Git/Gitee进行代码版本管理与协作开发，要求每位成员提交Commit记录作为过程考核依据；设立“代码审查（Code Review）”与“互评答辩”环节，要求学生清晰阐述个人贡献并评价队友工作，培养在技术团队中的沟通表达与协作解决问题的能力。</w:t>
            </w:r>
          </w:p>
        </w:tc>
      </w:tr>
      <w:tr w14:paraId="1499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1" w:hRule="atLeast"/>
          <w:jc w:val="center"/>
        </w:trPr>
        <w:tc>
          <w:tcPr>
            <w:tcW w:w="977" w:type="dxa"/>
            <w:vMerge w:val="continue"/>
            <w:noWrap w:val="0"/>
            <w:tcMar>
              <w:left w:w="108" w:type="dxa"/>
              <w:right w:w="108" w:type="dxa"/>
            </w:tcMar>
            <w:vAlign w:val="center"/>
          </w:tcPr>
          <w:p w14:paraId="2C70B345"/>
        </w:tc>
        <w:tc>
          <w:tcPr>
            <w:tcW w:w="4310" w:type="dxa"/>
            <w:noWrap w:val="0"/>
            <w:tcMar>
              <w:left w:w="108" w:type="dxa"/>
              <w:right w:w="108" w:type="dxa"/>
            </w:tcMar>
            <w:vAlign w:val="center"/>
          </w:tcPr>
          <w:p w14:paraId="7280C048">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3.3 树立数据伦理意识与工程责任感，在数据采集、处理及可视化呈现过程中，严格遵守学术规范，确保数据来源合法、处理过程透明、结果展示客观真实。</w:t>
            </w:r>
          </w:p>
        </w:tc>
        <w:tc>
          <w:tcPr>
            <w:tcW w:w="4457" w:type="dxa"/>
            <w:noWrap w:val="0"/>
            <w:tcMar>
              <w:left w:w="108" w:type="dxa"/>
              <w:right w:w="108" w:type="dxa"/>
            </w:tcMar>
            <w:vAlign w:val="center"/>
          </w:tcPr>
          <w:p w14:paraId="6A432550">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在Pandas数据清洗教学中，专门设置“数据造假与误导可视化”的反面案例讨论，分析篡改数据或选择性展示对工程决策的危害；制定严格的《实验数据诚信公约》，要求所有实验报告附带原始数据日志与处理脚本，对数据篡改行为实行“一票否决”；在Matplotlib可视化教学中，强调坐标轴截断、比例失真等常见误导手法的识别与规避，培养实事求是的工程职业道德。</w:t>
            </w:r>
          </w:p>
        </w:tc>
      </w:tr>
      <w:tr w14:paraId="588B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6" w:hRule="atLeast"/>
          <w:jc w:val="center"/>
        </w:trPr>
        <w:tc>
          <w:tcPr>
            <w:tcW w:w="977" w:type="dxa"/>
            <w:vMerge w:val="continue"/>
            <w:noWrap w:val="0"/>
            <w:tcMar>
              <w:left w:w="108" w:type="dxa"/>
              <w:right w:w="108" w:type="dxa"/>
            </w:tcMar>
            <w:vAlign w:val="center"/>
          </w:tcPr>
          <w:p w14:paraId="034BA3B9"/>
        </w:tc>
        <w:tc>
          <w:tcPr>
            <w:tcW w:w="4310" w:type="dxa"/>
            <w:noWrap w:val="0"/>
            <w:tcMar>
              <w:left w:w="108" w:type="dxa"/>
              <w:right w:w="108" w:type="dxa"/>
            </w:tcMar>
            <w:vAlign w:val="center"/>
          </w:tcPr>
          <w:p w14:paraId="7EABA9F1">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3.4 激发自主创新意识与终身学习能力，主动追踪Python科学计算生态的前沿工具（如AI辅助编程、交互式看板），具备快速迁移知识解决新兴工程问题的素养。</w:t>
            </w:r>
          </w:p>
        </w:tc>
        <w:tc>
          <w:tcPr>
            <w:tcW w:w="4457" w:type="dxa"/>
            <w:noWrap w:val="0"/>
            <w:tcMar>
              <w:left w:w="108" w:type="dxa"/>
              <w:right w:w="108" w:type="dxa"/>
            </w:tcMar>
            <w:vAlign w:val="center"/>
          </w:tcPr>
          <w:p w14:paraId="7559F89A">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设立“新技术探索周”，要求学生分组调研并演示一个课程未涵盖的Python库（如Streamlit、Plotly、Scikit-learn新算法）在工程中的应用；鼓励学生在综合项目中集成AI大模型（如通义千问）辅助代码调试与优化，并撰写“人机协作学习反思报告”；建立课程资源动态更新机制，引导学生关注GitHub开源社区与ArXiv最新论文，培养自主获取新知并转化为生产力的习惯。</w:t>
            </w:r>
          </w:p>
        </w:tc>
      </w:tr>
      <w:tr w14:paraId="4874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jc w:val="center"/>
        </w:trPr>
        <w:tc>
          <w:tcPr>
            <w:tcW w:w="977" w:type="dxa"/>
            <w:vMerge w:val="continue"/>
            <w:noWrap w:val="0"/>
            <w:tcMar>
              <w:left w:w="108" w:type="dxa"/>
              <w:right w:w="108" w:type="dxa"/>
            </w:tcMar>
            <w:vAlign w:val="center"/>
          </w:tcPr>
          <w:p w14:paraId="181769EE"/>
        </w:tc>
        <w:tc>
          <w:tcPr>
            <w:tcW w:w="4310" w:type="dxa"/>
            <w:noWrap w:val="0"/>
            <w:tcMar>
              <w:left w:w="108" w:type="dxa"/>
              <w:right w:w="108" w:type="dxa"/>
            </w:tcMar>
            <w:vAlign w:val="center"/>
          </w:tcPr>
          <w:p w14:paraId="13FB18A5">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3.5 强化精益求精的工匠精神与规范化工程习惯，在代码编写、文档撰写及报告呈现中追求逻辑严密、格式规范、界面美观，体现卓越工程师的职业素养。</w:t>
            </w:r>
          </w:p>
        </w:tc>
        <w:tc>
          <w:tcPr>
            <w:tcW w:w="4457" w:type="dxa"/>
            <w:noWrap w:val="0"/>
            <w:tcMar>
              <w:left w:w="108" w:type="dxa"/>
              <w:right w:w="108" w:type="dxa"/>
            </w:tcMar>
            <w:vAlign w:val="center"/>
          </w:tcPr>
          <w:p w14:paraId="0BD81804">
            <w:pPr>
              <w:spacing w:line="240" w:lineRule="exact"/>
              <w:rPr>
                <w:rFonts w:hint="default" w:ascii="Times New Roman" w:hAnsi="Times New Roman" w:cs="Times New Roman"/>
                <w:bCs/>
                <w:color w:val="auto"/>
                <w:kern w:val="2"/>
                <w:sz w:val="15"/>
                <w:szCs w:val="15"/>
                <w:lang w:val="en-US" w:eastAsia="zh-CN" w:bidi="ar-SA"/>
              </w:rPr>
            </w:pPr>
            <w:r>
              <w:rPr>
                <w:rFonts w:hint="eastAsia"/>
                <w:color w:val="auto"/>
                <w:kern w:val="2"/>
                <w:sz w:val="15"/>
                <w:szCs w:val="15"/>
                <w:lang w:val="en-US" w:eastAsia="zh-CN" w:bidi="ar-SA"/>
              </w:rPr>
              <w:t>推行PEP8代码规范标准，将代码缩进、命名规范、注释完整性纳入平时成绩考核，使用Lint工具自动检测代码质量；制定统一的《工程分析报告撰写模板》，对图表标题、单位标注、误差分析等细节提出严格量化要求；在期末答辩中设立“最佳工程实践奖”，表彰在代码重构、可视化美学及文档规范性方面表现突出的学生，树立高质量工程交付的标杆。</w:t>
            </w:r>
          </w:p>
        </w:tc>
      </w:tr>
    </w:tbl>
    <w:p w14:paraId="506AAB26"/>
    <w:p w14:paraId="5BFC7F16">
      <w:pPr>
        <w:pStyle w:val="14"/>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rPr>
          <w:rFonts w:ascii="黑体" w:hAnsi="黑体" w:eastAsia="黑体"/>
          <w:color w:val="auto"/>
          <w:sz w:val="28"/>
          <w:szCs w:val="28"/>
        </w:rPr>
      </w:pPr>
      <w:r>
        <w:rPr>
          <w:rFonts w:hint="default" w:ascii="Times New Roman" w:hAnsi="Times New Roman" w:cs="Times New Roman"/>
          <w:color w:val="auto"/>
          <w:sz w:val="21"/>
          <w:szCs w:val="21"/>
        </w:rPr>
        <w:br w:type="page"/>
      </w:r>
      <w:r>
        <w:rPr>
          <w:rFonts w:hint="eastAsia" w:ascii="黑体" w:hAnsi="黑体" w:eastAsia="黑体"/>
          <w:color w:val="auto"/>
          <w:sz w:val="28"/>
          <w:szCs w:val="28"/>
        </w:rPr>
        <w:t>三、理论教学环节及基本要求</w:t>
      </w:r>
      <w:r>
        <w:commentReference w:id="3"/>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58"/>
        <w:gridCol w:w="704"/>
        <w:gridCol w:w="4893"/>
        <w:gridCol w:w="1135"/>
      </w:tblGrid>
      <w:tr w14:paraId="763C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noWrap w:val="0"/>
            <w:tcMar>
              <w:left w:w="108" w:type="dxa"/>
              <w:right w:w="108" w:type="dxa"/>
            </w:tcMar>
            <w:vAlign w:val="center"/>
          </w:tcPr>
          <w:p w14:paraId="1DBFBCD5">
            <w:pPr>
              <w:spacing w:line="300" w:lineRule="auto"/>
              <w:jc w:val="center"/>
            </w:pPr>
            <w:r>
              <w:rPr>
                <w:rFonts w:hint="eastAsia"/>
                <w:b/>
                <w:color w:val="auto"/>
                <w:kern w:val="2"/>
                <w:sz w:val="21"/>
                <w:szCs w:val="21"/>
                <w:lang w:val="en-US" w:eastAsia="zh-CN" w:bidi="ar-SA"/>
              </w:rPr>
              <w:t>单元标题</w:t>
            </w:r>
          </w:p>
        </w:tc>
        <w:tc>
          <w:tcPr>
            <w:tcW w:w="785" w:type="pct"/>
            <w:noWrap w:val="0"/>
            <w:tcMar>
              <w:left w:w="108" w:type="dxa"/>
              <w:right w:w="108" w:type="dxa"/>
            </w:tcMar>
            <w:vAlign w:val="center"/>
          </w:tcPr>
          <w:p w14:paraId="79772EEC">
            <w:pPr>
              <w:spacing w:line="300" w:lineRule="auto"/>
              <w:jc w:val="center"/>
            </w:pPr>
            <w:r>
              <w:rPr>
                <w:rFonts w:hint="eastAsia"/>
                <w:b/>
                <w:color w:val="auto"/>
                <w:kern w:val="2"/>
                <w:sz w:val="21"/>
                <w:szCs w:val="21"/>
                <w:lang w:val="en-US" w:eastAsia="zh-CN" w:bidi="ar-SA"/>
              </w:rPr>
              <w:t>教学内容</w:t>
            </w:r>
          </w:p>
        </w:tc>
        <w:tc>
          <w:tcPr>
            <w:tcW w:w="379" w:type="pct"/>
            <w:noWrap w:val="0"/>
            <w:tcMar>
              <w:left w:w="108" w:type="dxa"/>
              <w:right w:w="108" w:type="dxa"/>
            </w:tcMar>
            <w:vAlign w:val="center"/>
          </w:tcPr>
          <w:p w14:paraId="1177BCAF">
            <w:pPr>
              <w:spacing w:line="300" w:lineRule="auto"/>
              <w:jc w:val="center"/>
            </w:pPr>
            <w:r>
              <w:rPr>
                <w:rFonts w:hint="eastAsia"/>
                <w:b/>
                <w:color w:val="auto"/>
                <w:kern w:val="2"/>
                <w:sz w:val="21"/>
                <w:szCs w:val="21"/>
                <w:lang w:val="en-US" w:eastAsia="zh-CN" w:bidi="ar-SA"/>
              </w:rPr>
              <w:t>学时</w:t>
            </w:r>
          </w:p>
        </w:tc>
        <w:tc>
          <w:tcPr>
            <w:tcW w:w="2634" w:type="pct"/>
            <w:noWrap w:val="0"/>
            <w:tcMar>
              <w:left w:w="108" w:type="dxa"/>
              <w:right w:w="108" w:type="dxa"/>
            </w:tcMar>
            <w:vAlign w:val="center"/>
          </w:tcPr>
          <w:p w14:paraId="5C9E0E3C">
            <w:pPr>
              <w:spacing w:line="300" w:lineRule="auto"/>
              <w:jc w:val="center"/>
            </w:pPr>
            <w:r>
              <w:rPr>
                <w:rFonts w:hint="eastAsia"/>
                <w:b/>
                <w:color w:val="auto"/>
                <w:kern w:val="2"/>
                <w:sz w:val="21"/>
                <w:szCs w:val="21"/>
                <w:lang w:val="en-US" w:eastAsia="zh-CN" w:bidi="ar-SA"/>
              </w:rPr>
              <w:t>课程要求</w:t>
            </w:r>
          </w:p>
        </w:tc>
        <w:tc>
          <w:tcPr>
            <w:tcW w:w="611" w:type="pct"/>
            <w:noWrap w:val="0"/>
            <w:tcMar>
              <w:left w:w="108" w:type="dxa"/>
              <w:right w:w="108" w:type="dxa"/>
            </w:tcMar>
            <w:vAlign w:val="center"/>
          </w:tcPr>
          <w:p w14:paraId="12211A96">
            <w:pPr>
              <w:spacing w:line="300" w:lineRule="auto"/>
              <w:jc w:val="center"/>
            </w:pPr>
            <w:r>
              <w:rPr>
                <w:rFonts w:hint="eastAsia"/>
                <w:b/>
                <w:color w:val="auto"/>
                <w:kern w:val="2"/>
                <w:sz w:val="21"/>
                <w:szCs w:val="21"/>
                <w:lang w:val="en-US" w:eastAsia="zh-CN" w:bidi="ar-SA"/>
              </w:rPr>
              <w:t>课程目标</w:t>
            </w:r>
          </w:p>
        </w:tc>
      </w:tr>
      <w:tr w14:paraId="427A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restart"/>
            <w:noWrap w:val="0"/>
            <w:tcMar>
              <w:left w:w="108" w:type="dxa"/>
              <w:right w:w="108" w:type="dxa"/>
            </w:tcMar>
            <w:vAlign w:val="center"/>
          </w:tcPr>
          <w:p w14:paraId="4D38891B">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r>
              <w:rPr>
                <w:rFonts w:hint="eastAsia"/>
                <w:b/>
                <w:bCs w:val="0"/>
                <w:color w:val="auto"/>
                <w:kern w:val="2"/>
                <w:sz w:val="18"/>
                <w:szCs w:val="18"/>
                <w:lang w:val="en-US" w:eastAsia="zh-CN" w:bidi="ar-SA"/>
              </w:rPr>
              <w:t>第一单元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课程导论与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工程建模思维</w:t>
            </w:r>
          </w:p>
        </w:tc>
        <w:tc>
          <w:tcPr>
            <w:tcW w:w="785" w:type="pct"/>
            <w:noWrap w:val="0"/>
            <w:tcMar>
              <w:left w:w="108" w:type="dxa"/>
              <w:right w:w="108" w:type="dxa"/>
            </w:tcMar>
            <w:vAlign w:val="center"/>
          </w:tcPr>
          <w:p w14:paraId="52A5CF83">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1.1 工程建模的基本范式</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（问题定义→假设简化→数学模型→求解验证）</w:t>
            </w:r>
          </w:p>
        </w:tc>
        <w:tc>
          <w:tcPr>
            <w:tcW w:w="379" w:type="pct"/>
            <w:noWrap w:val="0"/>
            <w:tcMar>
              <w:left w:w="108" w:type="dxa"/>
              <w:right w:w="108" w:type="dxa"/>
            </w:tcMar>
            <w:vAlign w:val="center"/>
          </w:tcPr>
          <w:p w14:paraId="530B3CD1">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1</w:t>
            </w:r>
          </w:p>
        </w:tc>
        <w:tc>
          <w:tcPr>
            <w:tcW w:w="2634" w:type="pct"/>
            <w:noWrap w:val="0"/>
            <w:tcMar>
              <w:left w:w="108" w:type="dxa"/>
              <w:right w:w="108" w:type="dxa"/>
            </w:tcMar>
            <w:vAlign w:val="center"/>
          </w:tcPr>
          <w:p w14:paraId="56347615">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通过大国重器中的计算案例，激发科技报国情怀；强调数据真实性，树立工程伦理意识。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知识层面：理解建模流程与课程体系。</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能力层面：具备初步的工程问题拆解能力。</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素养层面：建立严谨的科学态度与伦理底线。</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案例讲授、小组研讨、思维导图构建</w:t>
            </w:r>
          </w:p>
        </w:tc>
        <w:tc>
          <w:tcPr>
            <w:tcW w:w="611" w:type="pct"/>
            <w:vMerge w:val="restart"/>
            <w:noWrap w:val="0"/>
            <w:tcMar>
              <w:left w:w="108" w:type="dxa"/>
              <w:right w:w="108" w:type="dxa"/>
            </w:tcMar>
            <w:vAlign w:val="center"/>
          </w:tcPr>
          <w:p w14:paraId="470ED049">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1.1</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3.1</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3.3</w:t>
            </w:r>
          </w:p>
          <w:p w14:paraId="2594EC97">
            <w:pPr>
              <w:spacing w:line="200" w:lineRule="exact"/>
              <w:jc w:val="both"/>
              <w:rPr>
                <w:b/>
                <w:bCs/>
                <w:color w:val="auto"/>
                <w:kern w:val="2"/>
                <w:sz w:val="21"/>
                <w:szCs w:val="21"/>
                <w:lang w:val="en-US" w:eastAsia="zh-CN" w:bidi="ar-SA"/>
              </w:rPr>
            </w:pPr>
          </w:p>
        </w:tc>
      </w:tr>
      <w:tr w14:paraId="323A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0" w:type="pct"/>
            <w:vMerge w:val="continue"/>
            <w:noWrap w:val="0"/>
            <w:tcMar>
              <w:left w:w="108" w:type="dxa"/>
              <w:right w:w="108" w:type="dxa"/>
            </w:tcMar>
            <w:vAlign w:val="center"/>
          </w:tcPr>
          <w:p w14:paraId="79834B57">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2188EF8A">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1.2 课程规范与学术诚信</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（代码规范、数据伦理、学术造假案例）</w:t>
            </w:r>
          </w:p>
        </w:tc>
        <w:tc>
          <w:tcPr>
            <w:tcW w:w="379" w:type="pct"/>
            <w:noWrap w:val="0"/>
            <w:tcMar>
              <w:left w:w="108" w:type="dxa"/>
              <w:right w:w="108" w:type="dxa"/>
            </w:tcMar>
            <w:vAlign w:val="center"/>
          </w:tcPr>
          <w:p w14:paraId="54EBB7C3">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1</w:t>
            </w:r>
          </w:p>
        </w:tc>
        <w:tc>
          <w:tcPr>
            <w:tcW w:w="2634" w:type="pct"/>
            <w:noWrap w:val="0"/>
            <w:tcMar>
              <w:left w:w="108" w:type="dxa"/>
              <w:right w:w="108" w:type="dxa"/>
            </w:tcMar>
            <w:vAlign w:val="center"/>
          </w:tcPr>
          <w:p w14:paraId="064C9274">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通过学术造假反面案例，强化诚信意识；通过代码规范介绍，培养工匠精神。</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知识层面：熟知成绩评定规则与课堂规范。</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能力层面：能识别基本的数据伦理风险。</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素养层面：形成遵守规范、诚实守信的职业操守。</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案例警示、规范解读、承诺签署</w:t>
            </w:r>
          </w:p>
        </w:tc>
        <w:tc>
          <w:tcPr>
            <w:tcW w:w="611" w:type="pct"/>
            <w:vMerge w:val="continue"/>
            <w:noWrap w:val="0"/>
            <w:tcMar>
              <w:left w:w="108" w:type="dxa"/>
              <w:right w:w="108" w:type="dxa"/>
            </w:tcMar>
            <w:vAlign w:val="center"/>
          </w:tcPr>
          <w:p w14:paraId="0C918C2A">
            <w:pPr>
              <w:spacing w:line="200" w:lineRule="exact"/>
              <w:jc w:val="center"/>
              <w:rPr>
                <w:b/>
                <w:bCs/>
                <w:color w:val="auto"/>
                <w:kern w:val="2"/>
                <w:sz w:val="21"/>
                <w:szCs w:val="21"/>
                <w:lang w:val="en-US" w:eastAsia="zh-CN" w:bidi="ar-SA"/>
              </w:rPr>
            </w:pPr>
          </w:p>
        </w:tc>
      </w:tr>
      <w:tr w14:paraId="096B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tcMar>
              <w:left w:w="108" w:type="dxa"/>
              <w:right w:w="108" w:type="dxa"/>
            </w:tcMar>
            <w:vAlign w:val="center"/>
          </w:tcPr>
          <w:p w14:paraId="746FE4A4">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r>
              <w:rPr>
                <w:rFonts w:hint="eastAsia"/>
                <w:b/>
                <w:bCs w:val="0"/>
                <w:color w:val="auto"/>
                <w:kern w:val="2"/>
                <w:sz w:val="18"/>
                <w:szCs w:val="18"/>
                <w:lang w:val="en-US" w:eastAsia="zh-CN" w:bidi="ar-SA"/>
              </w:rPr>
              <w:t>第二单元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Python 编程基础</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与计算逻辑</w:t>
            </w:r>
          </w:p>
        </w:tc>
        <w:tc>
          <w:tcPr>
            <w:tcW w:w="785" w:type="pct"/>
            <w:noWrap w:val="0"/>
            <w:tcMar>
              <w:left w:w="108" w:type="dxa"/>
              <w:right w:w="108" w:type="dxa"/>
            </w:tcMar>
            <w:vAlign w:val="center"/>
          </w:tcPr>
          <w:p w14:paraId="2DA70C6C">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2.1 Python 语言特性与生态</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（发展历史、应用领域、扩展库体系）</w:t>
            </w:r>
          </w:p>
        </w:tc>
        <w:tc>
          <w:tcPr>
            <w:tcW w:w="379" w:type="pct"/>
            <w:noWrap w:val="0"/>
            <w:tcMar>
              <w:left w:w="108" w:type="dxa"/>
              <w:right w:w="108" w:type="dxa"/>
            </w:tcMar>
            <w:vAlign w:val="center"/>
          </w:tcPr>
          <w:p w14:paraId="5D1958E7">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1</w:t>
            </w:r>
          </w:p>
        </w:tc>
        <w:tc>
          <w:tcPr>
            <w:tcW w:w="2634" w:type="pct"/>
            <w:noWrap w:val="0"/>
            <w:tcMar>
              <w:left w:w="108" w:type="dxa"/>
              <w:right w:w="108" w:type="dxa"/>
            </w:tcMar>
            <w:vAlign w:val="center"/>
          </w:tcPr>
          <w:p w14:paraId="31B69CD0">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通过开源生态介绍，培养开放共享精神；通过国产 Python 社区发展，增强文化自信。</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知识层面：了解 Python 优势及生态体系。</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能力层面：能搭建开发环境并运行首个程序。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素养层面：养成关注技术前沿的习惯。</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演示教学、环境搭建指导、社区浏览</w:t>
            </w:r>
          </w:p>
        </w:tc>
        <w:tc>
          <w:tcPr>
            <w:tcW w:w="611" w:type="pct"/>
            <w:vMerge w:val="restart"/>
            <w:noWrap w:val="0"/>
            <w:tcMar>
              <w:left w:w="108" w:type="dxa"/>
              <w:right w:w="108" w:type="dxa"/>
            </w:tcMar>
            <w:vAlign w:val="center"/>
          </w:tcPr>
          <w:p w14:paraId="6870A3A6">
            <w:pPr>
              <w:spacing w:line="200" w:lineRule="exact"/>
              <w:jc w:val="center"/>
              <w:rPr>
                <w:b/>
                <w:bCs/>
                <w:color w:val="auto"/>
                <w:kern w:val="2"/>
                <w:sz w:val="21"/>
                <w:szCs w:val="21"/>
                <w:lang w:val="en-US" w:eastAsia="zh-CN" w:bidi="ar-SA"/>
              </w:rPr>
            </w:pPr>
            <w:r>
              <w:rPr>
                <w:rFonts w:hint="default" w:ascii="Times New Roman" w:hAnsi="Times New Roman" w:eastAsia="宋体" w:cs="Times New Roman"/>
                <w:color w:val="auto"/>
                <w:kern w:val="2"/>
                <w:sz w:val="18"/>
                <w:szCs w:val="18"/>
                <w:lang w:val="en-US" w:eastAsia="zh-CN" w:bidi="ar-SA"/>
              </w:rPr>
              <w:t>目标 1.2</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2.4</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3.5</w:t>
            </w:r>
          </w:p>
        </w:tc>
      </w:tr>
      <w:tr w14:paraId="2255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tcMar>
              <w:left w:w="108" w:type="dxa"/>
              <w:right w:w="108" w:type="dxa"/>
            </w:tcMar>
            <w:vAlign w:val="center"/>
          </w:tcPr>
          <w:p w14:paraId="3C03C370">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6C3B3E96">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2.2 数据结构与控制逻辑</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（数据类型、流程控制、函数封装、模块化）</w:t>
            </w:r>
          </w:p>
        </w:tc>
        <w:tc>
          <w:tcPr>
            <w:tcW w:w="379" w:type="pct"/>
            <w:noWrap w:val="0"/>
            <w:tcMar>
              <w:left w:w="108" w:type="dxa"/>
              <w:right w:w="108" w:type="dxa"/>
            </w:tcMar>
            <w:vAlign w:val="center"/>
          </w:tcPr>
          <w:p w14:paraId="74162133">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3</w:t>
            </w:r>
          </w:p>
        </w:tc>
        <w:tc>
          <w:tcPr>
            <w:tcW w:w="2634" w:type="pct"/>
            <w:noWrap w:val="0"/>
            <w:tcMar>
              <w:left w:w="108" w:type="dxa"/>
              <w:right w:w="108" w:type="dxa"/>
            </w:tcMar>
            <w:vAlign w:val="center"/>
          </w:tcPr>
          <w:p w14:paraId="33A595F3">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通过逻辑结构训练，培养条理清晰的思维方式；通过函数复用，强调效率意识。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知识层面：掌握基础语法与数据结构内存模型。</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能力层面：能编写规范、模块化的基础程序。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素养层面：养成规范 coding 习惯与协作意识。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对比教学、代码纠错、规范演示、课堂练习</w:t>
            </w:r>
          </w:p>
        </w:tc>
        <w:tc>
          <w:tcPr>
            <w:tcW w:w="611" w:type="pct"/>
            <w:vMerge w:val="continue"/>
            <w:noWrap w:val="0"/>
            <w:tcMar>
              <w:left w:w="108" w:type="dxa"/>
              <w:right w:w="108" w:type="dxa"/>
            </w:tcMar>
            <w:vAlign w:val="center"/>
          </w:tcPr>
          <w:p w14:paraId="432B796C">
            <w:pPr>
              <w:spacing w:line="200" w:lineRule="exact"/>
              <w:jc w:val="center"/>
              <w:rPr>
                <w:b/>
                <w:bCs/>
                <w:color w:val="auto"/>
                <w:kern w:val="2"/>
                <w:sz w:val="21"/>
                <w:szCs w:val="21"/>
                <w:lang w:val="en-US" w:eastAsia="zh-CN" w:bidi="ar-SA"/>
              </w:rPr>
            </w:pPr>
          </w:p>
        </w:tc>
      </w:tr>
      <w:tr w14:paraId="62D6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tcMar>
              <w:left w:w="108" w:type="dxa"/>
              <w:right w:w="108" w:type="dxa"/>
            </w:tcMar>
            <w:vAlign w:val="center"/>
          </w:tcPr>
          <w:p w14:paraId="5311730E">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kern w:val="2"/>
                <w:sz w:val="18"/>
                <w:szCs w:val="18"/>
                <w:lang w:val="en-US" w:eastAsia="zh-CN" w:bidi="ar-SA"/>
              </w:rPr>
            </w:pPr>
            <w:r>
              <w:rPr>
                <w:rFonts w:hint="eastAsia"/>
                <w:b/>
                <w:bCs w:val="0"/>
                <w:color w:val="auto"/>
                <w:kern w:val="2"/>
                <w:sz w:val="18"/>
                <w:szCs w:val="18"/>
                <w:lang w:val="en-US" w:eastAsia="zh-CN" w:bidi="ar-SA"/>
              </w:rPr>
              <w:t>第三单元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科学计算核心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与数据处理</w:t>
            </w:r>
          </w:p>
          <w:p w14:paraId="36D0AD31">
            <w:pPr>
              <w:keepNext w:val="0"/>
              <w:keepLines w:val="0"/>
              <w:pageBreakBefore w:val="0"/>
              <w:kinsoku/>
              <w:wordWrap/>
              <w:overflowPunct/>
              <w:topLinePunct w:val="0"/>
              <w:autoSpaceDE/>
              <w:autoSpaceDN/>
              <w:bidi w:val="0"/>
              <w:adjustRightInd/>
              <w:snapToGrid/>
              <w:spacing w:line="240" w:lineRule="exact"/>
              <w:jc w:val="both"/>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371E02FE">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3.1 NumPy 数组与向量化运算</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（多维数组、广播机制、线性代数基础）</w:t>
            </w:r>
          </w:p>
        </w:tc>
        <w:tc>
          <w:tcPr>
            <w:tcW w:w="379" w:type="pct"/>
            <w:noWrap w:val="0"/>
            <w:tcMar>
              <w:left w:w="108" w:type="dxa"/>
              <w:right w:w="108" w:type="dxa"/>
            </w:tcMar>
            <w:vAlign w:val="center"/>
          </w:tcPr>
          <w:p w14:paraId="4846D676">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2</w:t>
            </w:r>
          </w:p>
        </w:tc>
        <w:tc>
          <w:tcPr>
            <w:tcW w:w="2634" w:type="pct"/>
            <w:noWrap w:val="0"/>
            <w:tcMar>
              <w:left w:w="108" w:type="dxa"/>
              <w:right w:w="108" w:type="dxa"/>
            </w:tcMar>
            <w:vAlign w:val="center"/>
          </w:tcPr>
          <w:p w14:paraId="4B1E8F5D">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通过效率优化案例，培养追求卓越的性能意识；通过数学原理推导，强化逻辑严密性。</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知识层面：掌握数组操作与向量化原理。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能力层面：能高效实现大规模数值计算。</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素养层面：形成数据敏感性与逻辑严密性。</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原理推导、性能对比实验、代码重构演示</w:t>
            </w:r>
          </w:p>
        </w:tc>
        <w:tc>
          <w:tcPr>
            <w:tcW w:w="611" w:type="pct"/>
            <w:vMerge w:val="restart"/>
            <w:noWrap w:val="0"/>
            <w:tcMar>
              <w:left w:w="108" w:type="dxa"/>
              <w:right w:w="108" w:type="dxa"/>
            </w:tcMar>
            <w:vAlign w:val="center"/>
          </w:tcPr>
          <w:p w14:paraId="2900FBC1">
            <w:pPr>
              <w:spacing w:line="200" w:lineRule="exact"/>
              <w:jc w:val="center"/>
              <w:rPr>
                <w:b/>
                <w:bCs/>
                <w:color w:val="auto"/>
                <w:kern w:val="2"/>
                <w:sz w:val="21"/>
                <w:szCs w:val="21"/>
                <w:lang w:val="en-US" w:eastAsia="zh-CN" w:bidi="ar-SA"/>
              </w:rPr>
            </w:pPr>
            <w:r>
              <w:rPr>
                <w:rFonts w:hint="default" w:ascii="Times New Roman" w:hAnsi="Times New Roman" w:eastAsia="宋体" w:cs="Times New Roman"/>
                <w:color w:val="auto"/>
                <w:kern w:val="2"/>
                <w:sz w:val="18"/>
                <w:szCs w:val="18"/>
                <w:lang w:val="en-US" w:eastAsia="zh-CN" w:bidi="ar-SA"/>
              </w:rPr>
              <w:t>目标 1.3</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2.2</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3.1</w:t>
            </w:r>
          </w:p>
        </w:tc>
      </w:tr>
      <w:tr w14:paraId="7C0C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tcMar>
              <w:left w:w="108" w:type="dxa"/>
              <w:right w:w="108" w:type="dxa"/>
            </w:tcMar>
            <w:vAlign w:val="center"/>
          </w:tcPr>
          <w:p w14:paraId="7FE7D10B">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0CCECD75">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3.2 Pandas 数据清洗与聚合</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（数据导入、缺失值处理、分组聚合、多表关联）</w:t>
            </w:r>
          </w:p>
        </w:tc>
        <w:tc>
          <w:tcPr>
            <w:tcW w:w="379" w:type="pct"/>
            <w:noWrap w:val="0"/>
            <w:tcMar>
              <w:left w:w="108" w:type="dxa"/>
              <w:right w:w="108" w:type="dxa"/>
            </w:tcMar>
            <w:vAlign w:val="center"/>
          </w:tcPr>
          <w:p w14:paraId="1555CABE">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2</w:t>
            </w:r>
          </w:p>
        </w:tc>
        <w:tc>
          <w:tcPr>
            <w:tcW w:w="2634" w:type="pct"/>
            <w:noWrap w:val="0"/>
            <w:tcMar>
              <w:left w:w="108" w:type="dxa"/>
              <w:right w:w="108" w:type="dxa"/>
            </w:tcMar>
            <w:vAlign w:val="center"/>
          </w:tcPr>
          <w:p w14:paraId="674F827E">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通过“垃圾进垃圾出”案例，强调实事求是；通过数据清洗过程，培养耐心细致的作风。</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知识层面：掌握数据清洗策略与聚合逻辑。</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能力层面：能高效处理大规模工程数据。</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素养层面：形成对数据质量负责的态度。</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实例演示、反面案例警示、数据集实战</w:t>
            </w:r>
          </w:p>
        </w:tc>
        <w:tc>
          <w:tcPr>
            <w:tcW w:w="611" w:type="pct"/>
            <w:vMerge w:val="continue"/>
            <w:noWrap w:val="0"/>
            <w:tcMar>
              <w:left w:w="108" w:type="dxa"/>
              <w:right w:w="108" w:type="dxa"/>
            </w:tcMar>
            <w:vAlign w:val="center"/>
          </w:tcPr>
          <w:p w14:paraId="52B012DD">
            <w:pPr>
              <w:spacing w:line="200" w:lineRule="exact"/>
              <w:jc w:val="center"/>
              <w:rPr>
                <w:b/>
                <w:bCs/>
                <w:color w:val="auto"/>
                <w:kern w:val="2"/>
                <w:sz w:val="21"/>
                <w:szCs w:val="21"/>
                <w:lang w:val="en-US" w:eastAsia="zh-CN" w:bidi="ar-SA"/>
              </w:rPr>
            </w:pPr>
          </w:p>
        </w:tc>
      </w:tr>
      <w:tr w14:paraId="7464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tcMar>
              <w:left w:w="108" w:type="dxa"/>
              <w:right w:w="108" w:type="dxa"/>
            </w:tcMar>
            <w:vAlign w:val="center"/>
          </w:tcPr>
          <w:p w14:paraId="50EDF043">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kern w:val="2"/>
                <w:sz w:val="18"/>
                <w:szCs w:val="18"/>
                <w:lang w:val="en-US" w:eastAsia="zh-CN" w:bidi="ar-SA"/>
              </w:rPr>
            </w:pPr>
            <w:r>
              <w:rPr>
                <w:rFonts w:hint="eastAsia"/>
                <w:b/>
                <w:bCs w:val="0"/>
                <w:color w:val="auto"/>
                <w:kern w:val="2"/>
                <w:sz w:val="18"/>
                <w:szCs w:val="18"/>
                <w:lang w:val="en-US" w:eastAsia="zh-CN" w:bidi="ar-SA"/>
              </w:rPr>
              <w:t>第四单元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数据可视化</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设计与表达</w:t>
            </w:r>
          </w:p>
          <w:p w14:paraId="5E122690">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0332185D">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4.1 可视化原理与图表规范</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（图表选择逻辑、图形语法、坐标轴规范）</w:t>
            </w:r>
          </w:p>
        </w:tc>
        <w:tc>
          <w:tcPr>
            <w:tcW w:w="379" w:type="pct"/>
            <w:noWrap w:val="0"/>
            <w:tcMar>
              <w:left w:w="108" w:type="dxa"/>
              <w:right w:w="108" w:type="dxa"/>
            </w:tcMar>
            <w:vAlign w:val="center"/>
          </w:tcPr>
          <w:p w14:paraId="0A49D9B6">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2</w:t>
            </w:r>
          </w:p>
        </w:tc>
        <w:tc>
          <w:tcPr>
            <w:tcW w:w="2634" w:type="pct"/>
            <w:noWrap w:val="0"/>
            <w:tcMar>
              <w:left w:w="108" w:type="dxa"/>
              <w:right w:w="108" w:type="dxa"/>
            </w:tcMar>
            <w:vAlign w:val="center"/>
          </w:tcPr>
          <w:p w14:paraId="25347D20">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通过识别误导性图表，培养客观公正的职业操守；通过美学设计，提升工程审美素养。</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知识层面：理解可视化原理与图表规范。</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能力层面：能选择合适的图表表达数据。</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素养层面：具备信息准确传达的责任感。</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实例演示、图表找错、设计实战、互评</w:t>
            </w:r>
          </w:p>
        </w:tc>
        <w:tc>
          <w:tcPr>
            <w:tcW w:w="611" w:type="pct"/>
            <w:vMerge w:val="restart"/>
            <w:noWrap w:val="0"/>
            <w:tcMar>
              <w:left w:w="108" w:type="dxa"/>
              <w:right w:w="108" w:type="dxa"/>
            </w:tcMar>
            <w:vAlign w:val="center"/>
          </w:tcPr>
          <w:p w14:paraId="47C17801">
            <w:pPr>
              <w:spacing w:line="200" w:lineRule="exact"/>
              <w:jc w:val="center"/>
              <w:rPr>
                <w:b/>
                <w:bCs/>
                <w:color w:val="auto"/>
                <w:kern w:val="2"/>
                <w:sz w:val="21"/>
                <w:szCs w:val="21"/>
                <w:lang w:val="en-US" w:eastAsia="zh-CN" w:bidi="ar-SA"/>
              </w:rPr>
            </w:pPr>
            <w:r>
              <w:rPr>
                <w:rFonts w:hint="default" w:ascii="Times New Roman" w:hAnsi="Times New Roman" w:eastAsia="宋体" w:cs="Times New Roman"/>
                <w:color w:val="auto"/>
                <w:kern w:val="2"/>
                <w:sz w:val="18"/>
                <w:szCs w:val="18"/>
                <w:lang w:val="en-US" w:eastAsia="zh-CN" w:bidi="ar-SA"/>
              </w:rPr>
              <w:t>目标 1.5</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2.3</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3.3</w:t>
            </w:r>
          </w:p>
        </w:tc>
      </w:tr>
      <w:tr w14:paraId="2185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tcMar>
              <w:left w:w="108" w:type="dxa"/>
              <w:right w:w="108" w:type="dxa"/>
            </w:tcMar>
            <w:vAlign w:val="center"/>
          </w:tcPr>
          <w:p w14:paraId="626EC082">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005F747B">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4.2 Matplotlib 高级绘图技巧</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（子图布局、样式定制、三维绘图简介）</w:t>
            </w:r>
          </w:p>
        </w:tc>
        <w:tc>
          <w:tcPr>
            <w:tcW w:w="379" w:type="pct"/>
            <w:noWrap w:val="0"/>
            <w:tcMar>
              <w:left w:w="108" w:type="dxa"/>
              <w:right w:w="108" w:type="dxa"/>
            </w:tcMar>
            <w:vAlign w:val="center"/>
          </w:tcPr>
          <w:p w14:paraId="2D204A31">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2</w:t>
            </w:r>
          </w:p>
        </w:tc>
        <w:tc>
          <w:tcPr>
            <w:tcW w:w="2634" w:type="pct"/>
            <w:noWrap w:val="0"/>
            <w:tcMar>
              <w:left w:w="108" w:type="dxa"/>
              <w:right w:w="108" w:type="dxa"/>
            </w:tcMar>
            <w:vAlign w:val="center"/>
          </w:tcPr>
          <w:p w14:paraId="777F6F9C">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通过复杂图表实现，培养攻坚克难的意志；通过成果展示，增强自信心。</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知识层面：掌握高级图表绘制与定制方法。</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能力层面：能绘制准确、美观的工程图表。</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素养层面：追求精益求精的表达效果。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案例复现、风格定制练习、作品展示</w:t>
            </w:r>
          </w:p>
        </w:tc>
        <w:tc>
          <w:tcPr>
            <w:tcW w:w="611" w:type="pct"/>
            <w:vMerge w:val="continue"/>
            <w:noWrap w:val="0"/>
            <w:tcMar>
              <w:left w:w="108" w:type="dxa"/>
              <w:right w:w="108" w:type="dxa"/>
            </w:tcMar>
            <w:vAlign w:val="center"/>
          </w:tcPr>
          <w:p w14:paraId="735B5D0A">
            <w:pPr>
              <w:spacing w:line="200" w:lineRule="exact"/>
              <w:jc w:val="center"/>
              <w:rPr>
                <w:b/>
                <w:bCs/>
                <w:color w:val="auto"/>
                <w:kern w:val="2"/>
                <w:sz w:val="21"/>
                <w:szCs w:val="21"/>
                <w:lang w:val="en-US" w:eastAsia="zh-CN" w:bidi="ar-SA"/>
              </w:rPr>
            </w:pPr>
          </w:p>
        </w:tc>
      </w:tr>
      <w:tr w14:paraId="002C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restart"/>
            <w:noWrap w:val="0"/>
            <w:tcMar>
              <w:left w:w="108" w:type="dxa"/>
              <w:right w:w="108" w:type="dxa"/>
            </w:tcMar>
            <w:vAlign w:val="center"/>
          </w:tcPr>
          <w:p w14:paraId="39D94905">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r>
              <w:rPr>
                <w:rFonts w:hint="eastAsia"/>
                <w:b/>
                <w:bCs w:val="0"/>
                <w:color w:val="auto"/>
                <w:kern w:val="2"/>
                <w:sz w:val="18"/>
                <w:szCs w:val="18"/>
                <w:lang w:val="en-US" w:eastAsia="zh-CN" w:bidi="ar-SA"/>
              </w:rPr>
              <w:t>第五单元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综合建模与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前沿工具应用</w:t>
            </w:r>
          </w:p>
        </w:tc>
        <w:tc>
          <w:tcPr>
            <w:tcW w:w="785" w:type="pct"/>
            <w:noWrap w:val="0"/>
            <w:tcMar>
              <w:left w:w="108" w:type="dxa"/>
              <w:right w:w="108" w:type="dxa"/>
            </w:tcMar>
            <w:vAlign w:val="center"/>
          </w:tcPr>
          <w:p w14:paraId="48229A9F">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5.1 综合工程案例拆解</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（SciPy 简介、从物理现象到代码实现）</w:t>
            </w:r>
          </w:p>
        </w:tc>
        <w:tc>
          <w:tcPr>
            <w:tcW w:w="379" w:type="pct"/>
            <w:noWrap w:val="0"/>
            <w:tcMar>
              <w:left w:w="108" w:type="dxa"/>
              <w:right w:w="108" w:type="dxa"/>
            </w:tcMar>
            <w:vAlign w:val="center"/>
          </w:tcPr>
          <w:p w14:paraId="204174D4">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1</w:t>
            </w:r>
          </w:p>
        </w:tc>
        <w:tc>
          <w:tcPr>
            <w:tcW w:w="2634" w:type="pct"/>
            <w:noWrap w:val="0"/>
            <w:tcMar>
              <w:left w:w="108" w:type="dxa"/>
              <w:right w:w="108" w:type="dxa"/>
            </w:tcMar>
            <w:vAlign w:val="center"/>
          </w:tcPr>
          <w:p w14:paraId="0EF127DF">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通过复杂问题解决，培养系统思维；通过跨学科案例，拓宽工程视野。</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知识层面：了解科学计算库与建模全流程。</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能力层面：具备综合建模与问题求解能力。</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素养层面：形成系统化解决工程问题的意识。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项目启动、案例拆解、分组讨论</w:t>
            </w:r>
          </w:p>
        </w:tc>
        <w:tc>
          <w:tcPr>
            <w:tcW w:w="611" w:type="pct"/>
            <w:vMerge w:val="restart"/>
            <w:noWrap w:val="0"/>
            <w:tcMar>
              <w:left w:w="108" w:type="dxa"/>
              <w:right w:w="108" w:type="dxa"/>
            </w:tcMar>
            <w:vAlign w:val="center"/>
          </w:tcPr>
          <w:p w14:paraId="7B6E6923">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1.6</w:t>
            </w:r>
          </w:p>
          <w:p w14:paraId="13B3C408">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2.5</w:t>
            </w:r>
          </w:p>
          <w:p w14:paraId="783A1201">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3.4</w:t>
            </w:r>
          </w:p>
        </w:tc>
      </w:tr>
      <w:tr w14:paraId="5430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590" w:type="pct"/>
            <w:vMerge w:val="continue"/>
            <w:noWrap w:val="0"/>
            <w:tcMar>
              <w:left w:w="108" w:type="dxa"/>
              <w:right w:w="108" w:type="dxa"/>
            </w:tcMar>
            <w:vAlign w:val="center"/>
          </w:tcPr>
          <w:p w14:paraId="601119A6">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color w:val="auto"/>
                <w:kern w:val="2"/>
                <w:sz w:val="18"/>
                <w:szCs w:val="18"/>
                <w:lang w:val="en-US" w:eastAsia="zh-CN" w:bidi="ar-SA"/>
              </w:rPr>
            </w:pPr>
          </w:p>
        </w:tc>
        <w:tc>
          <w:tcPr>
            <w:tcW w:w="785" w:type="pct"/>
            <w:noWrap w:val="0"/>
            <w:tcMar>
              <w:left w:w="108" w:type="dxa"/>
              <w:right w:w="108" w:type="dxa"/>
            </w:tcMar>
            <w:vAlign w:val="center"/>
          </w:tcPr>
          <w:p w14:paraId="4E0C161B">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5.2 AI 辅助编程与终身学习</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（AI 工具使用规范、新技术探索方法论）</w:t>
            </w:r>
          </w:p>
        </w:tc>
        <w:tc>
          <w:tcPr>
            <w:tcW w:w="379" w:type="pct"/>
            <w:noWrap w:val="0"/>
            <w:tcMar>
              <w:left w:w="108" w:type="dxa"/>
              <w:right w:w="108" w:type="dxa"/>
            </w:tcMar>
            <w:vAlign w:val="center"/>
          </w:tcPr>
          <w:p w14:paraId="12AB5458">
            <w:pPr>
              <w:spacing w:line="200" w:lineRule="exact"/>
              <w:jc w:val="center"/>
              <w:rPr>
                <w:rFonts w:hint="eastAsia"/>
                <w:b/>
                <w:bCs/>
                <w:color w:val="auto"/>
                <w:kern w:val="2"/>
                <w:sz w:val="18"/>
                <w:szCs w:val="18"/>
                <w:lang w:val="en-US" w:eastAsia="zh-CN" w:bidi="ar-SA"/>
              </w:rPr>
            </w:pPr>
            <w:r>
              <w:rPr>
                <w:rFonts w:hint="eastAsia"/>
                <w:b/>
                <w:bCs w:val="0"/>
                <w:color w:val="auto"/>
                <w:kern w:val="2"/>
                <w:sz w:val="18"/>
                <w:szCs w:val="18"/>
                <w:lang w:val="en-US" w:eastAsia="zh-CN" w:bidi="ar-SA"/>
              </w:rPr>
              <w:t>1</w:t>
            </w:r>
          </w:p>
        </w:tc>
        <w:tc>
          <w:tcPr>
            <w:tcW w:w="2634" w:type="pct"/>
            <w:noWrap w:val="0"/>
            <w:tcMar>
              <w:left w:w="108" w:type="dxa"/>
              <w:right w:w="108" w:type="dxa"/>
            </w:tcMar>
            <w:vAlign w:val="center"/>
          </w:tcPr>
          <w:p w14:paraId="5EFD54CE">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 AI 工具边界讨论，树立技术主体意识；通过新技术探索，培养创新进取精神。</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知识层面：了解 AI 工具原理与使用边界。</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能力层面：具备人机协作与快速学习能力。</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 素养层面：形成终身学习与技术创新意识。</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教学方式：</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人机协作演示、前沿讲座、反思报告</w:t>
            </w:r>
          </w:p>
        </w:tc>
        <w:tc>
          <w:tcPr>
            <w:tcW w:w="611" w:type="pct"/>
            <w:vMerge w:val="continue"/>
            <w:noWrap w:val="0"/>
            <w:tcMar>
              <w:left w:w="108" w:type="dxa"/>
              <w:right w:w="108" w:type="dxa"/>
            </w:tcMar>
            <w:vAlign w:val="center"/>
          </w:tcPr>
          <w:p w14:paraId="4C6EE607">
            <w:pPr>
              <w:spacing w:line="200" w:lineRule="exact"/>
              <w:jc w:val="center"/>
              <w:rPr>
                <w:b/>
                <w:bCs/>
                <w:color w:val="auto"/>
                <w:kern w:val="2"/>
                <w:sz w:val="21"/>
                <w:szCs w:val="21"/>
                <w:lang w:val="en-US" w:eastAsia="zh-CN" w:bidi="ar-SA"/>
              </w:rPr>
            </w:pPr>
          </w:p>
        </w:tc>
      </w:tr>
      <w:tr w14:paraId="5645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1754" w:type="pct"/>
            <w:gridSpan w:val="3"/>
            <w:noWrap w:val="0"/>
            <w:tcMar>
              <w:left w:w="108" w:type="dxa"/>
              <w:right w:w="108" w:type="dxa"/>
            </w:tcMar>
            <w:vAlign w:val="center"/>
          </w:tcPr>
          <w:p w14:paraId="4FE64F92">
            <w:pPr>
              <w:spacing w:line="200" w:lineRule="exact"/>
              <w:jc w:val="center"/>
              <w:rPr>
                <w:rFonts w:hint="eastAsia"/>
                <w:b/>
                <w:bCs/>
                <w:color w:val="auto"/>
                <w:kern w:val="2"/>
                <w:sz w:val="18"/>
                <w:szCs w:val="18"/>
                <w:lang w:val="en-US" w:eastAsia="zh-CN" w:bidi="ar-SA"/>
              </w:rPr>
            </w:pPr>
            <w:r>
              <w:rPr>
                <w:rFonts w:hint="eastAsia"/>
                <w:b/>
                <w:bCs/>
                <w:color w:val="auto"/>
                <w:sz w:val="18"/>
                <w:szCs w:val="18"/>
              </w:rPr>
              <w:t>实践总学时</w:t>
            </w:r>
          </w:p>
        </w:tc>
        <w:tc>
          <w:tcPr>
            <w:tcW w:w="3245" w:type="pct"/>
            <w:gridSpan w:val="2"/>
            <w:noWrap w:val="0"/>
            <w:tcMar>
              <w:left w:w="108" w:type="dxa"/>
              <w:right w:w="108" w:type="dxa"/>
            </w:tcMar>
            <w:vAlign w:val="center"/>
          </w:tcPr>
          <w:p w14:paraId="12FC0BA0">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eastAsia"/>
                <w:color w:val="auto"/>
                <w:kern w:val="2"/>
                <w:sz w:val="15"/>
                <w:szCs w:val="15"/>
                <w:lang w:val="en-US" w:eastAsia="zh-CN" w:bidi="ar-SA"/>
              </w:rPr>
              <w:t>16</w:t>
            </w:r>
          </w:p>
        </w:tc>
      </w:tr>
    </w:tbl>
    <w:p w14:paraId="65BA5298">
      <w:pPr>
        <w:rPr>
          <w:rFonts w:hint="eastAsia"/>
          <w:color w:val="auto"/>
        </w:rPr>
      </w:pPr>
    </w:p>
    <w:p w14:paraId="5E488843">
      <w:pPr>
        <w:pStyle w:val="14"/>
        <w:spacing w:after="240" w:line="300" w:lineRule="auto"/>
        <w:jc w:val="left"/>
        <w:rPr>
          <w:rFonts w:hint="eastAsia" w:ascii="黑体" w:hAnsi="黑体" w:eastAsia="黑体"/>
          <w:color w:val="auto"/>
          <w:sz w:val="28"/>
          <w:szCs w:val="28"/>
        </w:rPr>
      </w:pPr>
      <w:commentRangeStart w:id="4"/>
      <w:r>
        <w:rPr>
          <w:rFonts w:hint="eastAsia" w:ascii="黑体" w:hAnsi="黑体" w:eastAsia="黑体"/>
          <w:color w:val="auto"/>
          <w:sz w:val="28"/>
          <w:szCs w:val="28"/>
        </w:rPr>
        <w:t>四</w:t>
      </w:r>
      <w:r>
        <w:rPr>
          <w:rFonts w:ascii="黑体" w:hAnsi="黑体" w:eastAsia="黑体"/>
          <w:color w:val="auto"/>
          <w:sz w:val="28"/>
          <w:szCs w:val="28"/>
        </w:rPr>
        <w:t>、</w:t>
      </w:r>
      <w:r>
        <w:rPr>
          <w:rFonts w:hint="eastAsia" w:ascii="黑体" w:hAnsi="黑体" w:eastAsia="黑体"/>
          <w:color w:val="auto"/>
          <w:sz w:val="28"/>
          <w:szCs w:val="28"/>
          <w:lang w:val="en-US" w:eastAsia="zh-CN"/>
        </w:rPr>
        <w:t>上机</w:t>
      </w:r>
      <w:r>
        <w:rPr>
          <w:rFonts w:hint="eastAsia" w:ascii="黑体" w:hAnsi="黑体" w:eastAsia="黑体"/>
          <w:color w:val="auto"/>
          <w:sz w:val="28"/>
          <w:szCs w:val="28"/>
        </w:rPr>
        <w:t>教学环节及基本要求</w:t>
      </w:r>
      <w:commentRangeEnd w:id="4"/>
      <w:r>
        <w:commentReference w:id="4"/>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1440"/>
        <w:gridCol w:w="726"/>
        <w:gridCol w:w="5086"/>
        <w:gridCol w:w="946"/>
      </w:tblGrid>
      <w:tr w14:paraId="7F6AC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586"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677F00FD">
            <w:pPr>
              <w:jc w:val="center"/>
              <w:rPr>
                <w:rFonts w:hint="default" w:eastAsia="宋体"/>
                <w:b/>
                <w:color w:val="auto"/>
                <w:kern w:val="2"/>
                <w:sz w:val="21"/>
                <w:szCs w:val="21"/>
                <w:lang w:val="en-US" w:eastAsia="zh-CN" w:bidi="ar-SA"/>
              </w:rPr>
            </w:pPr>
            <w:r>
              <w:rPr>
                <w:rFonts w:hint="eastAsia"/>
                <w:b/>
                <w:color w:val="auto"/>
                <w:kern w:val="2"/>
                <w:sz w:val="21"/>
                <w:szCs w:val="21"/>
                <w:lang w:val="en-US" w:eastAsia="zh-CN" w:bidi="ar-SA"/>
              </w:rPr>
              <w:t>单元标题</w:t>
            </w:r>
          </w:p>
        </w:tc>
        <w:tc>
          <w:tcPr>
            <w:tcW w:w="775" w:type="pct"/>
            <w:tcBorders>
              <w:top w:val="single" w:color="auto" w:sz="4" w:space="0"/>
              <w:left w:val="nil"/>
              <w:bottom w:val="single" w:color="auto" w:sz="4" w:space="0"/>
              <w:right w:val="single" w:color="auto" w:sz="4" w:space="0"/>
            </w:tcBorders>
            <w:noWrap w:val="0"/>
            <w:tcMar>
              <w:left w:w="108" w:type="dxa"/>
              <w:right w:w="108" w:type="dxa"/>
            </w:tcMar>
            <w:vAlign w:val="center"/>
          </w:tcPr>
          <w:p w14:paraId="0107DB49">
            <w:pPr>
              <w:jc w:val="center"/>
              <w:rPr>
                <w:rFonts w:hint="default" w:eastAsia="宋体"/>
                <w:b/>
                <w:color w:val="auto"/>
                <w:kern w:val="2"/>
                <w:sz w:val="21"/>
                <w:szCs w:val="21"/>
                <w:lang w:val="en-US" w:eastAsia="zh-CN" w:bidi="ar-SA"/>
              </w:rPr>
            </w:pPr>
            <w:r>
              <w:rPr>
                <w:rFonts w:hint="eastAsia"/>
                <w:b/>
                <w:color w:val="auto"/>
                <w:kern w:val="2"/>
                <w:sz w:val="21"/>
                <w:szCs w:val="21"/>
                <w:lang w:val="en-US" w:eastAsia="zh-CN" w:bidi="ar-SA"/>
              </w:rPr>
              <w:t>上机内容</w:t>
            </w:r>
          </w:p>
        </w:tc>
        <w:tc>
          <w:tcPr>
            <w:tcW w:w="38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362D1920">
            <w:pPr>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学时</w:t>
            </w:r>
          </w:p>
        </w:tc>
        <w:tc>
          <w:tcPr>
            <w:tcW w:w="2738"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9EBC095">
            <w:pPr>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上机要求</w:t>
            </w:r>
          </w:p>
        </w:tc>
        <w:tc>
          <w:tcPr>
            <w:tcW w:w="50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56B20FBD">
            <w:pPr>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课程目标</w:t>
            </w:r>
          </w:p>
        </w:tc>
      </w:tr>
      <w:tr w14:paraId="6CCA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86"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7267AA5">
            <w:pPr>
              <w:spacing w:line="240" w:lineRule="exact"/>
              <w:rPr>
                <w:color w:val="auto"/>
                <w:kern w:val="2"/>
                <w:sz w:val="18"/>
                <w:szCs w:val="18"/>
                <w:lang w:val="en-US" w:eastAsia="zh-CN" w:bidi="ar-SA"/>
              </w:rPr>
            </w:pPr>
            <w:r>
              <w:rPr>
                <w:rFonts w:hint="eastAsia"/>
                <w:b/>
                <w:bCs w:val="0"/>
                <w:color w:val="auto"/>
                <w:kern w:val="2"/>
                <w:sz w:val="18"/>
                <w:szCs w:val="18"/>
                <w:lang w:val="en-US" w:eastAsia="zh-CN" w:bidi="ar-SA"/>
              </w:rPr>
              <w:t>第二单元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Python基础与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蒙特卡罗π计算</w:t>
            </w:r>
          </w:p>
        </w:tc>
        <w:tc>
          <w:tcPr>
            <w:tcW w:w="775" w:type="pct"/>
            <w:tcBorders>
              <w:top w:val="single" w:color="auto" w:sz="4" w:space="0"/>
              <w:left w:val="nil"/>
              <w:bottom w:val="single" w:color="auto" w:sz="4" w:space="0"/>
              <w:right w:val="single" w:color="auto" w:sz="4" w:space="0"/>
            </w:tcBorders>
            <w:noWrap w:val="0"/>
            <w:tcMar>
              <w:left w:w="108" w:type="dxa"/>
              <w:right w:w="108" w:type="dxa"/>
            </w:tcMar>
            <w:vAlign w:val="center"/>
          </w:tcPr>
          <w:p w14:paraId="5A644988">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环境配置、数据类型、控制结构、随机模拟、精度分析</w:t>
            </w:r>
          </w:p>
        </w:tc>
        <w:tc>
          <w:tcPr>
            <w:tcW w:w="38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3BF2C97F">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3</w:t>
            </w:r>
          </w:p>
        </w:tc>
        <w:tc>
          <w:tcPr>
            <w:tcW w:w="2738"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6006ECE">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实验类型：验证</w:t>
            </w:r>
            <w:r>
              <w:rPr>
                <w:rFonts w:hint="eastAsia"/>
                <w:color w:val="auto"/>
                <w:kern w:val="2"/>
                <w:sz w:val="15"/>
                <w:szCs w:val="15"/>
                <w:lang w:val="en-US" w:eastAsia="zh-CN" w:bidi="ar-SA"/>
              </w:rPr>
              <w:br w:type="textWrapping"/>
            </w:r>
          </w:p>
          <w:p w14:paraId="7E97E93D">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介绍蒙特卡罗方法历史背景，培养科学探索精神；进行精度分析，强化“数据真实性是工程计算底线”的诚信意识；开展代码规范检查，树立严谨细致的工程作风。</w:t>
            </w:r>
            <w:r>
              <w:rPr>
                <w:rFonts w:hint="eastAsia"/>
                <w:color w:val="auto"/>
                <w:kern w:val="2"/>
                <w:sz w:val="15"/>
                <w:szCs w:val="15"/>
                <w:lang w:val="en-US" w:eastAsia="zh-CN" w:bidi="ar-SA"/>
              </w:rPr>
              <w:br w:type="textWrapping"/>
            </w:r>
          </w:p>
          <w:p w14:paraId="3A9A513F">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p>
          <w:p w14:paraId="2A59CD28">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知识层面：掌握Python开发环境配置方法，理解蒙特卡罗算法基本原理与收敛特性，熟悉Python基本数据类型与控制结构语法规则。</w:t>
            </w:r>
            <w:r>
              <w:rPr>
                <w:rFonts w:hint="eastAsia"/>
                <w:color w:val="auto"/>
                <w:kern w:val="2"/>
                <w:sz w:val="15"/>
                <w:szCs w:val="15"/>
                <w:lang w:val="en-US" w:eastAsia="zh-CN" w:bidi="ar-SA"/>
              </w:rPr>
              <w:br w:type="textWrapping"/>
            </w:r>
          </w:p>
          <w:p w14:paraId="13CB0784">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能力层面：能规范操作Jupyter Notebook开发环境，独立完成蒙特卡罗π计算程序的编写与调试，分析采样次数对计算精度的影响并撰写分析报告。</w:t>
            </w:r>
            <w:r>
              <w:rPr>
                <w:rFonts w:hint="eastAsia"/>
                <w:color w:val="auto"/>
                <w:kern w:val="2"/>
                <w:sz w:val="15"/>
                <w:szCs w:val="15"/>
                <w:lang w:val="en-US" w:eastAsia="zh-CN" w:bidi="ar-SA"/>
              </w:rPr>
              <w:br w:type="textWrapping"/>
            </w:r>
          </w:p>
          <w:p w14:paraId="7F88F003">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xml:space="preserve">• 素养层面：培养严谨求实、精益求精的科学态度，建立“计算精度需要足够样本支撑”的工程意识，形成规范编程、注重代码可读性的职业习惯。 </w:t>
            </w:r>
          </w:p>
        </w:tc>
        <w:tc>
          <w:tcPr>
            <w:tcW w:w="50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1477B14A">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1.1,</w:t>
            </w:r>
          </w:p>
          <w:p w14:paraId="686DF1A3">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1.2,</w:t>
            </w:r>
          </w:p>
          <w:p w14:paraId="74A1B308">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2.1</w:t>
            </w:r>
          </w:p>
        </w:tc>
      </w:tr>
      <w:tr w14:paraId="03EF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86"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6AF65651">
            <w:pPr>
              <w:spacing w:line="240" w:lineRule="exact"/>
              <w:rPr>
                <w:color w:val="auto"/>
                <w:kern w:val="2"/>
                <w:sz w:val="18"/>
                <w:szCs w:val="18"/>
                <w:lang w:val="en-US" w:eastAsia="zh-CN" w:bidi="ar-SA"/>
              </w:rPr>
            </w:pPr>
            <w:r>
              <w:rPr>
                <w:rFonts w:hint="eastAsia"/>
                <w:b/>
                <w:bCs w:val="0"/>
                <w:color w:val="auto"/>
                <w:kern w:val="2"/>
                <w:sz w:val="18"/>
                <w:szCs w:val="18"/>
                <w:lang w:val="en-US" w:eastAsia="zh-CN" w:bidi="ar-SA"/>
              </w:rPr>
              <w:t>第三单元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NumPy数值计算</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与矩阵操作</w:t>
            </w:r>
          </w:p>
        </w:tc>
        <w:tc>
          <w:tcPr>
            <w:tcW w:w="775" w:type="pct"/>
            <w:tcBorders>
              <w:top w:val="single" w:color="auto" w:sz="4" w:space="0"/>
              <w:left w:val="nil"/>
              <w:bottom w:val="single" w:color="auto" w:sz="4" w:space="0"/>
              <w:right w:val="single" w:color="auto" w:sz="4" w:space="0"/>
            </w:tcBorders>
            <w:noWrap w:val="0"/>
            <w:tcMar>
              <w:left w:w="108" w:type="dxa"/>
              <w:right w:w="108" w:type="dxa"/>
            </w:tcMar>
            <w:vAlign w:val="center"/>
          </w:tcPr>
          <w:p w14:paraId="1FD20A55">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数组运算、线性代数、向量化效率对比、误差分析</w:t>
            </w:r>
          </w:p>
        </w:tc>
        <w:tc>
          <w:tcPr>
            <w:tcW w:w="38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4F1DB715">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4</w:t>
            </w:r>
          </w:p>
        </w:tc>
        <w:tc>
          <w:tcPr>
            <w:tcW w:w="2738"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52810A52">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实验类型：验证+设计型</w:t>
            </w:r>
            <w:r>
              <w:rPr>
                <w:rFonts w:hint="eastAsia"/>
                <w:color w:val="auto"/>
                <w:kern w:val="2"/>
                <w:sz w:val="15"/>
                <w:szCs w:val="15"/>
                <w:lang w:val="en-US" w:eastAsia="zh-CN" w:bidi="ar-SA"/>
              </w:rPr>
              <w:br w:type="textWrapping"/>
            </w:r>
          </w:p>
          <w:p w14:paraId="7007A95C">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通过向量化与循环效率对比，培养“效率优化是工程师责任”意识；通过数值误差分析，强化“计算结果需误差评估”态度；通过开源库学习，树立技术共享与协作精神。</w:t>
            </w:r>
            <w:r>
              <w:rPr>
                <w:rFonts w:hint="eastAsia"/>
                <w:color w:val="auto"/>
                <w:kern w:val="2"/>
                <w:sz w:val="15"/>
                <w:szCs w:val="15"/>
                <w:lang w:val="en-US" w:eastAsia="zh-CN" w:bidi="ar-SA"/>
              </w:rPr>
              <w:br w:type="textWrapping"/>
            </w:r>
          </w:p>
          <w:p w14:paraId="2937F768">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p>
          <w:p w14:paraId="0526E6D0">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知识层面：掌握NumPy数组创建、索引与切片操作，理解向量化计算原理与优势，熟悉常用线性代数运算函数用法。</w:t>
            </w:r>
            <w:r>
              <w:rPr>
                <w:rFonts w:hint="eastAsia"/>
                <w:color w:val="auto"/>
                <w:kern w:val="2"/>
                <w:sz w:val="15"/>
                <w:szCs w:val="15"/>
                <w:lang w:val="en-US" w:eastAsia="zh-CN" w:bidi="ar-SA"/>
              </w:rPr>
              <w:br w:type="textWrapping"/>
            </w:r>
          </w:p>
          <w:p w14:paraId="2EC62D65">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能力层面：能规范操作NumPy库完成多维数组运算，能设计对比实验验证向量化与循环效率差异，能进行数值误差分析并解释来源。</w:t>
            </w:r>
            <w:r>
              <w:rPr>
                <w:rFonts w:hint="eastAsia"/>
                <w:color w:val="auto"/>
                <w:kern w:val="2"/>
                <w:sz w:val="15"/>
                <w:szCs w:val="15"/>
                <w:lang w:val="en-US" w:eastAsia="zh-CN" w:bidi="ar-SA"/>
              </w:rPr>
              <w:br w:type="textWrapping"/>
            </w:r>
          </w:p>
          <w:p w14:paraId="193B48F1">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xml:space="preserve">• 素养层面：培养追求高效、注重性能的工程思维，建立“数值计算必须评估误差”的科学意识，形成善用工具、持续优化的学习习惯。 </w:t>
            </w:r>
          </w:p>
        </w:tc>
        <w:tc>
          <w:tcPr>
            <w:tcW w:w="509" w:type="pct"/>
            <w:tcBorders>
              <w:top w:val="single" w:color="auto" w:sz="4" w:space="0"/>
              <w:left w:val="nil"/>
              <w:right w:val="single" w:color="auto" w:sz="4" w:space="0"/>
            </w:tcBorders>
            <w:noWrap w:val="0"/>
            <w:tcMar>
              <w:left w:w="108" w:type="dxa"/>
              <w:right w:w="108" w:type="dxa"/>
            </w:tcMar>
            <w:vAlign w:val="center"/>
          </w:tcPr>
          <w:p w14:paraId="1AA60A87">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目标1.3,</w:t>
            </w:r>
          </w:p>
          <w:p w14:paraId="3404A45A">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目标2.2,目标4.1</w:t>
            </w:r>
          </w:p>
        </w:tc>
      </w:tr>
      <w:tr w14:paraId="2210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86"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AAC2049">
            <w:pPr>
              <w:spacing w:line="240" w:lineRule="exact"/>
              <w:rPr>
                <w:color w:val="auto"/>
                <w:kern w:val="2"/>
                <w:sz w:val="18"/>
                <w:szCs w:val="18"/>
                <w:lang w:val="en-US" w:eastAsia="zh-CN" w:bidi="ar-SA"/>
              </w:rPr>
            </w:pPr>
            <w:r>
              <w:rPr>
                <w:rFonts w:hint="eastAsia"/>
                <w:b/>
                <w:bCs w:val="0"/>
                <w:color w:val="auto"/>
                <w:kern w:val="2"/>
                <w:sz w:val="18"/>
                <w:szCs w:val="18"/>
                <w:lang w:val="en-US" w:eastAsia="zh-CN" w:bidi="ar-SA"/>
              </w:rPr>
              <w:t>第四单元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平面连杆机械臂</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运动学仿真</w:t>
            </w:r>
          </w:p>
        </w:tc>
        <w:tc>
          <w:tcPr>
            <w:tcW w:w="775" w:type="pct"/>
            <w:tcBorders>
              <w:top w:val="single" w:color="auto" w:sz="4" w:space="0"/>
              <w:left w:val="nil"/>
              <w:bottom w:val="single" w:color="auto" w:sz="4" w:space="0"/>
              <w:right w:val="single" w:color="auto" w:sz="4" w:space="0"/>
            </w:tcBorders>
            <w:noWrap w:val="0"/>
            <w:tcMar>
              <w:left w:w="108" w:type="dxa"/>
              <w:right w:w="108" w:type="dxa"/>
            </w:tcMar>
            <w:vAlign w:val="center"/>
          </w:tcPr>
          <w:p w14:paraId="08F7DBE8">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坐标变换、正运动学、轨迹绘制、工作空间蒙特卡罗分析</w:t>
            </w:r>
          </w:p>
        </w:tc>
        <w:tc>
          <w:tcPr>
            <w:tcW w:w="38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58F6B9EF">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5</w:t>
            </w:r>
          </w:p>
        </w:tc>
        <w:tc>
          <w:tcPr>
            <w:tcW w:w="2738"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B1353CA">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实验类型：设计型</w:t>
            </w:r>
            <w:r>
              <w:rPr>
                <w:rFonts w:hint="eastAsia"/>
                <w:color w:val="auto"/>
                <w:kern w:val="2"/>
                <w:sz w:val="15"/>
                <w:szCs w:val="15"/>
                <w:lang w:val="en-US" w:eastAsia="zh-CN" w:bidi="ar-SA"/>
              </w:rPr>
              <w:br w:type="textWrapping"/>
            </w:r>
          </w:p>
          <w:p w14:paraId="76E210DA">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机械臂建模培养“理论联系实际”工程思维，工作空间分析强化“设计需考虑边界条件”安全意识，中国机器人发展案例激发科技报国使命担当。</w:t>
            </w:r>
            <w:r>
              <w:rPr>
                <w:rFonts w:hint="eastAsia"/>
                <w:color w:val="auto"/>
                <w:kern w:val="2"/>
                <w:sz w:val="15"/>
                <w:szCs w:val="15"/>
                <w:lang w:val="en-US" w:eastAsia="zh-CN" w:bidi="ar-SA"/>
              </w:rPr>
              <w:br w:type="textWrapping"/>
            </w:r>
          </w:p>
          <w:p w14:paraId="33E666EA">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预期学习成果：</w:t>
            </w:r>
            <w:r>
              <w:rPr>
                <w:rFonts w:hint="eastAsia"/>
                <w:color w:val="auto"/>
                <w:kern w:val="2"/>
                <w:sz w:val="15"/>
                <w:szCs w:val="15"/>
                <w:lang w:val="en-US" w:eastAsia="zh-CN" w:bidi="ar-SA"/>
              </w:rPr>
              <w:br w:type="textWrapping"/>
            </w:r>
          </w:p>
          <w:p w14:paraId="388D0643">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知识层面：掌握坐标变换矩阵推导计算方法，理解正运动学建模原理，熟悉蒙特卡罗法分析工作空间技术路线。</w:t>
            </w:r>
            <w:r>
              <w:rPr>
                <w:rFonts w:hint="eastAsia"/>
                <w:color w:val="auto"/>
                <w:kern w:val="2"/>
                <w:sz w:val="15"/>
                <w:szCs w:val="15"/>
                <w:lang w:val="en-US" w:eastAsia="zh-CN" w:bidi="ar-SA"/>
              </w:rPr>
              <w:br w:type="textWrapping"/>
            </w:r>
          </w:p>
          <w:p w14:paraId="0CA3228D">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能力层面：能独立完成平面连杆机械臂正运动学建模，绘制机械臂末端执行器运动轨迹，运用蒙特卡罗法分析工作空间范围。</w:t>
            </w:r>
            <w:r>
              <w:rPr>
                <w:rFonts w:hint="eastAsia"/>
                <w:color w:val="auto"/>
                <w:kern w:val="2"/>
                <w:sz w:val="15"/>
                <w:szCs w:val="15"/>
                <w:lang w:val="en-US" w:eastAsia="zh-CN" w:bidi="ar-SA"/>
              </w:rPr>
              <w:br w:type="textWrapping"/>
            </w:r>
          </w:p>
          <w:p w14:paraId="46DAB251">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xml:space="preserve">• 素养层面：培养系统思维与建模能力，建立“工程设计需验证边界条件”安全意识，形成追求卓越、勇于创新的工程素养。 </w:t>
            </w:r>
          </w:p>
        </w:tc>
        <w:tc>
          <w:tcPr>
            <w:tcW w:w="509" w:type="pct"/>
            <w:tcBorders>
              <w:top w:val="single" w:color="auto" w:sz="4" w:space="0"/>
              <w:left w:val="nil"/>
              <w:right w:val="single" w:color="auto" w:sz="4" w:space="0"/>
            </w:tcBorders>
            <w:noWrap w:val="0"/>
            <w:tcMar>
              <w:left w:w="108" w:type="dxa"/>
              <w:right w:w="108" w:type="dxa"/>
            </w:tcMar>
            <w:vAlign w:val="center"/>
          </w:tcPr>
          <w:p w14:paraId="63D9BD66">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目标1.5,目标 2.1,目标3.1</w:t>
            </w:r>
          </w:p>
        </w:tc>
      </w:tr>
      <w:tr w14:paraId="7B28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586"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383D5EA">
            <w:pPr>
              <w:spacing w:line="240" w:lineRule="exact"/>
              <w:rPr>
                <w:color w:val="auto"/>
                <w:kern w:val="2"/>
                <w:sz w:val="18"/>
                <w:szCs w:val="18"/>
                <w:lang w:val="en-US" w:eastAsia="zh-CN" w:bidi="ar-SA"/>
              </w:rPr>
            </w:pPr>
            <w:r>
              <w:rPr>
                <w:rFonts w:hint="eastAsia"/>
                <w:b/>
                <w:bCs w:val="0"/>
                <w:color w:val="auto"/>
                <w:kern w:val="2"/>
                <w:sz w:val="18"/>
                <w:szCs w:val="18"/>
                <w:lang w:val="en-US" w:eastAsia="zh-CN" w:bidi="ar-SA"/>
              </w:rPr>
              <w:t>第五单元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双轮小车轨迹控制</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与综合可视化</w:t>
            </w:r>
          </w:p>
        </w:tc>
        <w:tc>
          <w:tcPr>
            <w:tcW w:w="775" w:type="pct"/>
            <w:tcBorders>
              <w:top w:val="single" w:color="auto" w:sz="4" w:space="0"/>
              <w:left w:val="nil"/>
              <w:bottom w:val="single" w:color="auto" w:sz="4" w:space="0"/>
              <w:right w:val="single" w:color="auto" w:sz="4" w:space="0"/>
            </w:tcBorders>
            <w:noWrap w:val="0"/>
            <w:tcMar>
              <w:left w:w="108" w:type="dxa"/>
              <w:right w:w="108" w:type="dxa"/>
            </w:tcMar>
            <w:vAlign w:val="center"/>
          </w:tcPr>
          <w:p w14:paraId="57CA7A60">
            <w:pPr>
              <w:spacing w:line="200" w:lineRule="exac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状态更新、控制逻辑、Pandas数据记录、动态可视化</w:t>
            </w:r>
          </w:p>
        </w:tc>
        <w:tc>
          <w:tcPr>
            <w:tcW w:w="38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55F69B15">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4</w:t>
            </w:r>
          </w:p>
        </w:tc>
        <w:tc>
          <w:tcPr>
            <w:tcW w:w="2738" w:type="pc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68BB5A4">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实验类型：综合型</w:t>
            </w:r>
          </w:p>
          <w:p w14:paraId="1CC3830D">
            <w:pPr>
              <w:spacing w:line="200" w:lineRule="exact"/>
              <w:rPr>
                <w:rFonts w:hint="eastAsia" w:eastAsia="宋体"/>
                <w:lang w:eastAsia="zh-CN"/>
              </w:rPr>
            </w:pPr>
            <w:r>
              <w:rPr>
                <w:rFonts w:hint="eastAsia"/>
                <w:color w:val="auto"/>
                <w:kern w:val="2"/>
                <w:sz w:val="15"/>
                <w:szCs w:val="15"/>
                <w:lang w:val="en-US" w:eastAsia="zh-CN" w:bidi="ar-SA"/>
              </w:rPr>
              <w:t>思政融入点：</w:t>
            </w:r>
            <w:r>
              <w:rPr>
                <w:rFonts w:hint="eastAsia"/>
                <w:color w:val="auto"/>
                <w:kern w:val="2"/>
                <w:sz w:val="15"/>
                <w:szCs w:val="15"/>
                <w:lang w:val="en-US" w:eastAsia="zh-CN" w:bidi="ar-SA"/>
              </w:rPr>
              <w:br w:type="textWrapping"/>
            </w:r>
            <w:r>
              <w:rPr>
                <w:rFonts w:hint="eastAsia"/>
                <w:color w:val="auto"/>
                <w:kern w:val="2"/>
                <w:sz w:val="15"/>
                <w:szCs w:val="15"/>
                <w:lang w:val="en-US" w:eastAsia="zh-CN" w:bidi="ar-SA"/>
              </w:rPr>
              <w:t>通过控制策略对比培养实证精神，强化职业操守，提升工程表达与沟通能力。</w:t>
            </w:r>
          </w:p>
          <w:p w14:paraId="107B84E5">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预期学习成果：</w:t>
            </w:r>
          </w:p>
          <w:p w14:paraId="5C7261BF">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知识层面：掌握双轮小车运动学模型与状态更新方法，理解Pandas数据记录与动态可视化要点，熟悉不同控制策略原理与适用场景。</w:t>
            </w:r>
          </w:p>
          <w:p w14:paraId="506AFFAD">
            <w:pPr>
              <w:spacing w:line="200" w:lineRule="exact"/>
              <w:rPr>
                <w:rFonts w:hint="eastAsia" w:eastAsia="宋体"/>
                <w:lang w:eastAsia="zh-CN"/>
              </w:rPr>
            </w:pPr>
            <w:r>
              <w:rPr>
                <w:rFonts w:hint="eastAsia"/>
                <w:color w:val="auto"/>
                <w:kern w:val="2"/>
                <w:sz w:val="15"/>
                <w:szCs w:val="15"/>
                <w:lang w:val="en-US" w:eastAsia="zh-CN" w:bidi="ar-SA"/>
              </w:rPr>
              <w:t>• 能力层面：能独立编写双轮小车轨迹控制程序，规范使用Pandas记录分析实验数据，运用Matplotlib制作动态可视化图表展示控制效果。</w:t>
            </w:r>
          </w:p>
          <w:p w14:paraId="2C480F06">
            <w:pPr>
              <w:spacing w:line="200" w:lineRule="exact"/>
              <w:rPr>
                <w:rFonts w:hint="eastAsia"/>
                <w:color w:val="auto"/>
                <w:kern w:val="2"/>
                <w:sz w:val="15"/>
                <w:szCs w:val="15"/>
                <w:lang w:val="en-US" w:eastAsia="zh-CN" w:bidi="ar-SA"/>
              </w:rPr>
            </w:pPr>
            <w:r>
              <w:rPr>
                <w:rFonts w:hint="eastAsia"/>
                <w:color w:val="auto"/>
                <w:kern w:val="2"/>
                <w:sz w:val="15"/>
                <w:szCs w:val="15"/>
                <w:lang w:val="en-US" w:eastAsia="zh-CN" w:bidi="ar-SA"/>
              </w:rPr>
              <w:t xml:space="preserve">• 素养层面：培养综合分析、系统集成能力，建立科学规范，形成工程素养。 </w:t>
            </w:r>
          </w:p>
        </w:tc>
        <w:tc>
          <w:tcPr>
            <w:tcW w:w="509" w:type="pct"/>
            <w:tcBorders>
              <w:top w:val="single" w:color="auto" w:sz="4" w:space="0"/>
              <w:left w:val="nil"/>
              <w:bottom w:val="single" w:color="auto" w:sz="4" w:space="0"/>
              <w:right w:val="single" w:color="auto" w:sz="4" w:space="0"/>
            </w:tcBorders>
            <w:noWrap w:val="0"/>
            <w:tcMar>
              <w:left w:w="108" w:type="dxa"/>
              <w:right w:w="108" w:type="dxa"/>
            </w:tcMar>
            <w:vAlign w:val="center"/>
          </w:tcPr>
          <w:p w14:paraId="6E0B4607">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目标1.4,目标2.3,目标5.1,</w:t>
            </w:r>
          </w:p>
          <w:p w14:paraId="040AB8FA">
            <w:pPr>
              <w:spacing w:line="200" w:lineRule="exact"/>
              <w:jc w:val="center"/>
              <w:rPr>
                <w:rFonts w:hint="default" w:eastAsia="宋体"/>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目标10.1</w:t>
            </w:r>
          </w:p>
        </w:tc>
      </w:tr>
      <w:tr w14:paraId="724C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752" w:type="pct"/>
            <w:gridSpan w:val="3"/>
            <w:tcBorders>
              <w:top w:val="single" w:color="auto" w:sz="4" w:space="0"/>
              <w:left w:val="single" w:color="auto" w:sz="4" w:space="0"/>
              <w:right w:val="single" w:color="auto" w:sz="4" w:space="0"/>
            </w:tcBorders>
            <w:noWrap w:val="0"/>
            <w:tcMar>
              <w:left w:w="108" w:type="dxa"/>
              <w:right w:w="108" w:type="dxa"/>
            </w:tcMar>
            <w:vAlign w:val="center"/>
          </w:tcPr>
          <w:p w14:paraId="161F11EF">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eastAsia"/>
                <w:b/>
                <w:bCs/>
                <w:color w:val="auto"/>
                <w:sz w:val="18"/>
                <w:szCs w:val="18"/>
              </w:rPr>
              <w:t>实践总学时</w:t>
            </w:r>
          </w:p>
        </w:tc>
        <w:tc>
          <w:tcPr>
            <w:tcW w:w="3247" w:type="pct"/>
            <w:gridSpan w:val="2"/>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7784EC9">
            <w:pPr>
              <w:spacing w:line="200" w:lineRule="exact"/>
              <w:jc w:val="center"/>
              <w:rPr>
                <w:rFonts w:hint="default" w:ascii="Times New Roman" w:hAnsi="Times New Roman" w:eastAsia="宋体" w:cs="Times New Roman"/>
                <w:color w:val="auto"/>
                <w:kern w:val="2"/>
                <w:sz w:val="18"/>
                <w:szCs w:val="18"/>
                <w:lang w:val="en-US" w:eastAsia="zh-CN" w:bidi="ar-SA"/>
              </w:rPr>
            </w:pPr>
            <w:r>
              <w:rPr>
                <w:rFonts w:hint="eastAsia"/>
                <w:color w:val="auto"/>
                <w:kern w:val="2"/>
                <w:sz w:val="15"/>
                <w:szCs w:val="15"/>
                <w:lang w:val="en-US" w:eastAsia="zh-CN" w:bidi="ar-SA"/>
              </w:rPr>
              <w:t>16</w:t>
            </w:r>
          </w:p>
        </w:tc>
      </w:tr>
    </w:tbl>
    <w:p w14:paraId="7ACF37D3"/>
    <w:p w14:paraId="516B52BE">
      <w:pPr>
        <w:pStyle w:val="14"/>
        <w:spacing w:after="240" w:line="300" w:lineRule="auto"/>
        <w:jc w:val="left"/>
        <w:rPr>
          <w:color w:val="auto"/>
        </w:rPr>
      </w:pPr>
      <w:r>
        <w:rPr>
          <w:rFonts w:hint="eastAsia" w:ascii="黑体" w:hAnsi="黑体" w:eastAsia="黑体"/>
          <w:color w:val="auto"/>
          <w:sz w:val="28"/>
          <w:szCs w:val="28"/>
        </w:rPr>
        <w:t>五、课程评价</w:t>
      </w:r>
    </w:p>
    <w:p w14:paraId="110D714F">
      <w:pPr>
        <w:spacing w:line="480" w:lineRule="auto"/>
        <w:rPr>
          <w:b/>
          <w:color w:val="auto"/>
          <w:sz w:val="24"/>
          <w:szCs w:val="24"/>
        </w:rPr>
      </w:pPr>
      <w:r>
        <w:rPr>
          <w:rFonts w:hint="eastAsia"/>
          <w:b/>
          <w:color w:val="auto"/>
          <w:sz w:val="24"/>
          <w:szCs w:val="24"/>
        </w:rPr>
        <w:t>（一）考核内容、考核</w:t>
      </w:r>
      <w:r>
        <w:rPr>
          <w:rFonts w:hint="eastAsia"/>
          <w:b/>
          <w:color w:val="auto"/>
          <w:sz w:val="24"/>
          <w:szCs w:val="24"/>
          <w:lang w:val="en-US" w:eastAsia="zh-CN"/>
        </w:rPr>
        <w:t>方式</w:t>
      </w:r>
      <w:r>
        <w:rPr>
          <w:rFonts w:hint="eastAsia"/>
          <w:b/>
          <w:color w:val="auto"/>
          <w:sz w:val="24"/>
          <w:szCs w:val="24"/>
        </w:rPr>
        <w:t>与课程目标对应关系</w:t>
      </w:r>
    </w:p>
    <w:tbl>
      <w:tblPr>
        <w:tblStyle w:val="1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4"/>
        <w:gridCol w:w="860"/>
        <w:gridCol w:w="691"/>
        <w:gridCol w:w="646"/>
        <w:gridCol w:w="1236"/>
        <w:gridCol w:w="2237"/>
        <w:gridCol w:w="1320"/>
        <w:gridCol w:w="1205"/>
      </w:tblGrid>
      <w:tr w14:paraId="3836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restart"/>
            <w:tcBorders>
              <w:top w:val="single" w:color="auto" w:sz="4" w:space="0"/>
              <w:left w:val="single" w:color="auto" w:sz="4" w:space="0"/>
              <w:right w:val="single" w:color="auto" w:sz="4" w:space="0"/>
            </w:tcBorders>
            <w:noWrap w:val="0"/>
            <w:vAlign w:val="center"/>
          </w:tcPr>
          <w:p w14:paraId="37206019">
            <w:pPr>
              <w:spacing w:line="240" w:lineRule="exact"/>
              <w:jc w:val="center"/>
              <w:rPr>
                <w:b/>
                <w:bCs/>
                <w:color w:val="auto"/>
              </w:rPr>
            </w:pPr>
            <w:r>
              <w:rPr>
                <w:b/>
                <w:bCs/>
                <w:color w:val="auto"/>
              </w:rPr>
              <w:t>考核内容</w:t>
            </w:r>
          </w:p>
        </w:tc>
        <w:tc>
          <w:tcPr>
            <w:tcW w:w="463" w:type="pct"/>
            <w:vMerge w:val="restart"/>
            <w:tcBorders>
              <w:top w:val="single" w:color="auto" w:sz="4" w:space="0"/>
              <w:left w:val="single" w:color="auto" w:sz="4" w:space="0"/>
              <w:right w:val="single" w:color="auto" w:sz="4" w:space="0"/>
            </w:tcBorders>
            <w:noWrap w:val="0"/>
            <w:vAlign w:val="center"/>
          </w:tcPr>
          <w:p w14:paraId="41635FD2">
            <w:pPr>
              <w:spacing w:line="240" w:lineRule="exact"/>
              <w:jc w:val="center"/>
              <w:rPr>
                <w:b/>
                <w:bCs/>
                <w:color w:val="auto"/>
              </w:rPr>
            </w:pPr>
            <w:r>
              <w:rPr>
                <w:rFonts w:hint="eastAsia"/>
                <w:b/>
                <w:bCs/>
                <w:color w:val="auto"/>
                <w:lang w:val="en-US" w:eastAsia="zh-CN"/>
              </w:rPr>
              <w:t>总</w:t>
            </w:r>
            <w:r>
              <w:rPr>
                <w:b/>
                <w:bCs/>
                <w:color w:val="auto"/>
              </w:rPr>
              <w:t>学时</w:t>
            </w:r>
          </w:p>
        </w:tc>
        <w:tc>
          <w:tcPr>
            <w:tcW w:w="372" w:type="pct"/>
            <w:vMerge w:val="restart"/>
            <w:tcBorders>
              <w:top w:val="single" w:color="auto" w:sz="4" w:space="0"/>
              <w:left w:val="single" w:color="auto" w:sz="4" w:space="0"/>
              <w:right w:val="single" w:color="auto" w:sz="4" w:space="0"/>
            </w:tcBorders>
            <w:noWrap w:val="0"/>
            <w:vAlign w:val="center"/>
          </w:tcPr>
          <w:p w14:paraId="0774F7EF">
            <w:pPr>
              <w:spacing w:line="240" w:lineRule="exact"/>
              <w:jc w:val="center"/>
              <w:rPr>
                <w:rFonts w:hint="eastAsia" w:eastAsia="宋体"/>
                <w:b/>
                <w:bCs/>
                <w:color w:val="auto"/>
                <w:lang w:val="en-US" w:eastAsia="zh-CN"/>
              </w:rPr>
            </w:pPr>
            <w:r>
              <w:rPr>
                <w:rFonts w:hint="eastAsia"/>
                <w:b/>
                <w:bCs/>
                <w:color w:val="auto"/>
                <w:lang w:val="en-US" w:eastAsia="zh-CN"/>
              </w:rPr>
              <w:t>理论学时</w:t>
            </w:r>
          </w:p>
        </w:tc>
        <w:tc>
          <w:tcPr>
            <w:tcW w:w="348" w:type="pct"/>
            <w:vMerge w:val="restart"/>
            <w:tcBorders>
              <w:top w:val="single" w:color="auto" w:sz="4" w:space="0"/>
              <w:left w:val="single" w:color="auto" w:sz="4" w:space="0"/>
              <w:right w:val="single" w:color="auto" w:sz="4" w:space="0"/>
            </w:tcBorders>
            <w:noWrap w:val="0"/>
            <w:vAlign w:val="center"/>
          </w:tcPr>
          <w:p w14:paraId="66F56C03">
            <w:pPr>
              <w:spacing w:line="240" w:lineRule="exact"/>
              <w:jc w:val="center"/>
              <w:rPr>
                <w:rFonts w:hint="default" w:eastAsia="宋体"/>
                <w:b/>
                <w:bCs/>
                <w:color w:val="auto"/>
                <w:lang w:val="en-US" w:eastAsia="zh-CN"/>
              </w:rPr>
            </w:pPr>
            <w:r>
              <w:rPr>
                <w:rFonts w:hint="eastAsia"/>
                <w:b/>
                <w:bCs/>
                <w:color w:val="auto"/>
                <w:lang w:val="en-US" w:eastAsia="zh-CN"/>
              </w:rPr>
              <w:t>上机学时</w:t>
            </w:r>
          </w:p>
        </w:tc>
        <w:tc>
          <w:tcPr>
            <w:tcW w:w="2582" w:type="pct"/>
            <w:gridSpan w:val="3"/>
            <w:tcBorders>
              <w:top w:val="single" w:color="auto" w:sz="4" w:space="0"/>
              <w:left w:val="single" w:color="auto" w:sz="4" w:space="0"/>
              <w:right w:val="single" w:color="auto" w:sz="4" w:space="0"/>
            </w:tcBorders>
            <w:noWrap w:val="0"/>
            <w:vAlign w:val="center"/>
          </w:tcPr>
          <w:p w14:paraId="75EF6D2C">
            <w:pPr>
              <w:spacing w:line="240" w:lineRule="exact"/>
              <w:jc w:val="center"/>
              <w:rPr>
                <w:b/>
                <w:bCs/>
                <w:color w:val="auto"/>
              </w:rPr>
            </w:pPr>
            <w:r>
              <w:rPr>
                <w:b/>
                <w:bCs/>
                <w:color w:val="auto"/>
              </w:rPr>
              <w:t>考核</w:t>
            </w:r>
            <w:r>
              <w:rPr>
                <w:rFonts w:hint="eastAsia"/>
                <w:b/>
                <w:bCs/>
                <w:color w:val="auto"/>
                <w:lang w:val="en-US" w:eastAsia="zh-CN"/>
              </w:rPr>
              <w:t>方式</w:t>
            </w:r>
            <w:r>
              <w:rPr>
                <w:b/>
                <w:bCs/>
                <w:color w:val="auto"/>
              </w:rPr>
              <w:t>及占比（100%）</w:t>
            </w:r>
          </w:p>
        </w:tc>
        <w:tc>
          <w:tcPr>
            <w:tcW w:w="649" w:type="pct"/>
            <w:vMerge w:val="restart"/>
            <w:tcBorders>
              <w:top w:val="single" w:color="auto" w:sz="4" w:space="0"/>
              <w:left w:val="single" w:color="auto" w:sz="4" w:space="0"/>
              <w:right w:val="single" w:color="auto" w:sz="4" w:space="0"/>
            </w:tcBorders>
            <w:noWrap w:val="0"/>
            <w:vAlign w:val="center"/>
          </w:tcPr>
          <w:p w14:paraId="3A317889">
            <w:pPr>
              <w:spacing w:line="240" w:lineRule="exact"/>
              <w:jc w:val="center"/>
              <w:rPr>
                <w:b/>
                <w:bCs/>
                <w:color w:val="auto"/>
              </w:rPr>
            </w:pPr>
            <w:r>
              <w:rPr>
                <w:b/>
                <w:bCs/>
                <w:color w:val="auto"/>
              </w:rPr>
              <w:t>课程</w:t>
            </w:r>
          </w:p>
          <w:p w14:paraId="1BBAFA76">
            <w:pPr>
              <w:spacing w:line="240" w:lineRule="exact"/>
              <w:jc w:val="center"/>
              <w:rPr>
                <w:b/>
                <w:bCs/>
                <w:color w:val="auto"/>
              </w:rPr>
            </w:pPr>
            <w:r>
              <w:rPr>
                <w:b/>
                <w:bCs/>
                <w:color w:val="auto"/>
              </w:rPr>
              <w:t>目标</w:t>
            </w:r>
          </w:p>
        </w:tc>
      </w:tr>
      <w:tr w14:paraId="4F7C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vMerge w:val="continue"/>
            <w:tcBorders>
              <w:left w:val="single" w:color="auto" w:sz="4" w:space="0"/>
              <w:right w:val="single" w:color="auto" w:sz="4" w:space="0"/>
            </w:tcBorders>
            <w:noWrap w:val="0"/>
            <w:vAlign w:val="center"/>
          </w:tcPr>
          <w:p w14:paraId="3D3C70AC">
            <w:pPr>
              <w:spacing w:line="240" w:lineRule="exact"/>
              <w:rPr>
                <w:b/>
                <w:bCs/>
                <w:color w:val="auto"/>
              </w:rPr>
            </w:pPr>
          </w:p>
        </w:tc>
        <w:tc>
          <w:tcPr>
            <w:tcW w:w="463" w:type="pct"/>
            <w:vMerge w:val="continue"/>
            <w:tcBorders>
              <w:left w:val="single" w:color="auto" w:sz="4" w:space="0"/>
              <w:right w:val="single" w:color="auto" w:sz="4" w:space="0"/>
            </w:tcBorders>
            <w:noWrap w:val="0"/>
            <w:vAlign w:val="center"/>
          </w:tcPr>
          <w:p w14:paraId="36C721CE">
            <w:pPr>
              <w:spacing w:line="240" w:lineRule="exact"/>
              <w:jc w:val="center"/>
              <w:rPr>
                <w:b/>
                <w:bCs/>
                <w:color w:val="auto"/>
              </w:rPr>
            </w:pPr>
          </w:p>
        </w:tc>
        <w:tc>
          <w:tcPr>
            <w:tcW w:w="372" w:type="pct"/>
            <w:vMerge w:val="continue"/>
            <w:tcBorders>
              <w:left w:val="single" w:color="auto" w:sz="4" w:space="0"/>
              <w:right w:val="single" w:color="auto" w:sz="4" w:space="0"/>
            </w:tcBorders>
            <w:noWrap w:val="0"/>
            <w:vAlign w:val="center"/>
          </w:tcPr>
          <w:p w14:paraId="56A54BBA">
            <w:pPr>
              <w:spacing w:line="240" w:lineRule="exact"/>
              <w:jc w:val="center"/>
              <w:rPr>
                <w:b/>
                <w:bCs/>
                <w:color w:val="auto"/>
              </w:rPr>
            </w:pPr>
          </w:p>
        </w:tc>
        <w:tc>
          <w:tcPr>
            <w:tcW w:w="348" w:type="pct"/>
            <w:vMerge w:val="continue"/>
            <w:tcBorders>
              <w:left w:val="single" w:color="auto" w:sz="4" w:space="0"/>
              <w:right w:val="single" w:color="auto" w:sz="4" w:space="0"/>
            </w:tcBorders>
            <w:noWrap w:val="0"/>
            <w:vAlign w:val="center"/>
          </w:tcPr>
          <w:p w14:paraId="244600A3">
            <w:pPr>
              <w:spacing w:line="240" w:lineRule="exact"/>
              <w:jc w:val="center"/>
              <w:rPr>
                <w:b/>
                <w:bCs/>
                <w:color w:val="auto"/>
              </w:rPr>
            </w:pPr>
          </w:p>
        </w:tc>
        <w:tc>
          <w:tcPr>
            <w:tcW w:w="666" w:type="pct"/>
            <w:tcBorders>
              <w:top w:val="single" w:color="auto" w:sz="4" w:space="0"/>
              <w:left w:val="single" w:color="auto" w:sz="4" w:space="0"/>
              <w:right w:val="single" w:color="auto" w:sz="4" w:space="0"/>
            </w:tcBorders>
            <w:noWrap w:val="0"/>
            <w:vAlign w:val="center"/>
          </w:tcPr>
          <w:p w14:paraId="3AD1F0D5">
            <w:pPr>
              <w:spacing w:line="240" w:lineRule="exact"/>
              <w:jc w:val="center"/>
              <w:rPr>
                <w:b/>
                <w:bCs/>
                <w:color w:val="auto"/>
                <w:sz w:val="18"/>
                <w:szCs w:val="18"/>
              </w:rPr>
            </w:pPr>
            <w:r>
              <w:rPr>
                <w:b/>
                <w:bCs/>
                <w:color w:val="auto"/>
                <w:sz w:val="18"/>
                <w:szCs w:val="18"/>
              </w:rPr>
              <w:t>平时表现</w:t>
            </w:r>
          </w:p>
          <w:p w14:paraId="7979B4CB">
            <w:pPr>
              <w:spacing w:line="240" w:lineRule="exact"/>
              <w:jc w:val="center"/>
              <w:rPr>
                <w:rFonts w:hint="eastAsia"/>
                <w:b/>
                <w:bCs/>
                <w:color w:val="auto"/>
                <w:sz w:val="18"/>
                <w:szCs w:val="18"/>
              </w:rPr>
            </w:pPr>
            <w:r>
              <w:rPr>
                <w:b/>
                <w:bCs/>
                <w:color w:val="auto"/>
                <w:sz w:val="18"/>
                <w:szCs w:val="18"/>
              </w:rPr>
              <w:t>（</w:t>
            </w:r>
            <w:r>
              <w:rPr>
                <w:rFonts w:hint="eastAsia"/>
                <w:b/>
                <w:bCs/>
                <w:color w:val="auto"/>
                <w:sz w:val="18"/>
                <w:szCs w:val="18"/>
              </w:rPr>
              <w:t>2</w:t>
            </w:r>
            <w:r>
              <w:rPr>
                <w:b/>
                <w:bCs/>
                <w:color w:val="auto"/>
                <w:sz w:val="18"/>
                <w:szCs w:val="18"/>
              </w:rPr>
              <w:t>0%）</w:t>
            </w:r>
          </w:p>
        </w:tc>
        <w:tc>
          <w:tcPr>
            <w:tcW w:w="1205" w:type="pct"/>
            <w:tcBorders>
              <w:top w:val="single" w:color="auto" w:sz="4" w:space="0"/>
              <w:left w:val="single" w:color="auto" w:sz="4" w:space="0"/>
              <w:right w:val="single" w:color="auto" w:sz="4" w:space="0"/>
            </w:tcBorders>
            <w:noWrap w:val="0"/>
            <w:vAlign w:val="center"/>
          </w:tcPr>
          <w:p w14:paraId="0A679B42">
            <w:pPr>
              <w:spacing w:line="240" w:lineRule="exact"/>
              <w:jc w:val="center"/>
              <w:rPr>
                <w:b/>
                <w:bCs/>
                <w:color w:val="auto"/>
                <w:sz w:val="18"/>
                <w:szCs w:val="18"/>
              </w:rPr>
            </w:pPr>
            <w:r>
              <w:rPr>
                <w:b/>
                <w:bCs/>
                <w:color w:val="auto"/>
                <w:sz w:val="18"/>
                <w:szCs w:val="18"/>
              </w:rPr>
              <w:t>课程作业</w:t>
            </w:r>
          </w:p>
          <w:p w14:paraId="1DE70CDA">
            <w:pPr>
              <w:spacing w:line="240" w:lineRule="exact"/>
              <w:jc w:val="center"/>
              <w:rPr>
                <w:b/>
                <w:bCs/>
                <w:color w:val="auto"/>
                <w:sz w:val="18"/>
                <w:szCs w:val="18"/>
              </w:rPr>
            </w:pPr>
            <w:r>
              <w:rPr>
                <w:b/>
                <w:bCs/>
                <w:color w:val="auto"/>
                <w:sz w:val="18"/>
                <w:szCs w:val="18"/>
              </w:rPr>
              <w:t>（</w:t>
            </w:r>
            <w:r>
              <w:rPr>
                <w:rFonts w:hint="eastAsia"/>
                <w:b/>
                <w:bCs/>
                <w:color w:val="auto"/>
                <w:sz w:val="18"/>
                <w:szCs w:val="18"/>
              </w:rPr>
              <w:t>1</w:t>
            </w:r>
            <w:r>
              <w:rPr>
                <w:b/>
                <w:bCs/>
                <w:color w:val="auto"/>
                <w:sz w:val="18"/>
                <w:szCs w:val="18"/>
              </w:rPr>
              <w:t>0%）</w:t>
            </w:r>
          </w:p>
        </w:tc>
        <w:tc>
          <w:tcPr>
            <w:tcW w:w="711" w:type="pct"/>
            <w:tcBorders>
              <w:top w:val="single" w:color="auto" w:sz="4" w:space="0"/>
              <w:left w:val="single" w:color="auto" w:sz="4" w:space="0"/>
              <w:right w:val="single" w:color="auto" w:sz="4" w:space="0"/>
            </w:tcBorders>
            <w:noWrap w:val="0"/>
            <w:vAlign w:val="center"/>
          </w:tcPr>
          <w:p w14:paraId="3608F2EE">
            <w:pPr>
              <w:spacing w:line="240" w:lineRule="exact"/>
              <w:jc w:val="center"/>
              <w:rPr>
                <w:rFonts w:hint="eastAsia" w:eastAsia="宋体"/>
                <w:b/>
                <w:bCs/>
                <w:color w:val="auto"/>
                <w:sz w:val="18"/>
                <w:szCs w:val="18"/>
                <w:lang w:val="en-US" w:eastAsia="zh-CN"/>
              </w:rPr>
            </w:pPr>
            <w:r>
              <w:rPr>
                <w:rFonts w:hint="eastAsia"/>
                <w:b/>
                <w:bCs/>
                <w:color w:val="auto"/>
                <w:sz w:val="18"/>
                <w:szCs w:val="18"/>
              </w:rPr>
              <w:t>期末</w:t>
            </w:r>
            <w:r>
              <w:rPr>
                <w:rFonts w:hint="eastAsia"/>
                <w:b/>
                <w:bCs/>
                <w:color w:val="auto"/>
                <w:sz w:val="18"/>
                <w:szCs w:val="18"/>
                <w:lang w:val="en-US" w:eastAsia="zh-CN"/>
              </w:rPr>
              <w:t>考查</w:t>
            </w:r>
          </w:p>
          <w:p w14:paraId="66727FEF">
            <w:pPr>
              <w:spacing w:line="240" w:lineRule="exact"/>
              <w:jc w:val="center"/>
              <w:rPr>
                <w:b/>
                <w:bCs/>
                <w:color w:val="auto"/>
                <w:sz w:val="18"/>
                <w:szCs w:val="18"/>
              </w:rPr>
            </w:pPr>
            <w:r>
              <w:rPr>
                <w:b/>
                <w:bCs/>
                <w:color w:val="auto"/>
                <w:sz w:val="18"/>
                <w:szCs w:val="18"/>
              </w:rPr>
              <w:t>（60%）</w:t>
            </w:r>
          </w:p>
        </w:tc>
        <w:tc>
          <w:tcPr>
            <w:tcW w:w="649" w:type="pct"/>
            <w:vMerge w:val="continue"/>
            <w:tcBorders>
              <w:left w:val="single" w:color="auto" w:sz="4" w:space="0"/>
              <w:right w:val="single" w:color="auto" w:sz="4" w:space="0"/>
            </w:tcBorders>
            <w:noWrap w:val="0"/>
            <w:vAlign w:val="center"/>
          </w:tcPr>
          <w:p w14:paraId="48BC128E">
            <w:pPr>
              <w:spacing w:line="240" w:lineRule="exact"/>
              <w:jc w:val="center"/>
              <w:rPr>
                <w:b/>
                <w:bCs/>
                <w:color w:val="auto"/>
              </w:rPr>
            </w:pPr>
          </w:p>
        </w:tc>
      </w:tr>
      <w:tr w14:paraId="7309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84" w:type="pct"/>
            <w:tcBorders>
              <w:top w:val="single" w:color="auto" w:sz="4" w:space="0"/>
              <w:left w:val="single" w:color="auto" w:sz="4" w:space="0"/>
              <w:right w:val="single" w:color="auto" w:sz="4" w:space="0"/>
            </w:tcBorders>
            <w:noWrap w:val="0"/>
            <w:vAlign w:val="center"/>
          </w:tcPr>
          <w:p w14:paraId="7FE7999C">
            <w:pPr>
              <w:keepNext w:val="0"/>
              <w:keepLines w:val="0"/>
              <w:pageBreakBefore w:val="0"/>
              <w:kinsoku/>
              <w:wordWrap/>
              <w:overflowPunct/>
              <w:topLinePunct w:val="0"/>
              <w:autoSpaceDE/>
              <w:autoSpaceDN/>
              <w:bidi w:val="0"/>
              <w:adjustRightInd/>
              <w:snapToGrid/>
              <w:spacing w:line="240" w:lineRule="exact"/>
              <w:jc w:val="center"/>
              <w:textAlignment w:val="auto"/>
              <w:rPr>
                <w:color w:val="auto"/>
                <w:sz w:val="18"/>
                <w:szCs w:val="18"/>
              </w:rPr>
            </w:pPr>
            <w:r>
              <w:rPr>
                <w:rFonts w:hint="eastAsia"/>
                <w:b/>
                <w:bCs w:val="0"/>
                <w:color w:val="auto"/>
                <w:kern w:val="2"/>
                <w:sz w:val="18"/>
                <w:szCs w:val="18"/>
                <w:lang w:val="en-US" w:eastAsia="zh-CN" w:bidi="ar-SA"/>
              </w:rPr>
              <w:t>第一单元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课程导论与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工程建模思维</w:t>
            </w:r>
          </w:p>
        </w:tc>
        <w:tc>
          <w:tcPr>
            <w:tcW w:w="463" w:type="pct"/>
            <w:tcBorders>
              <w:top w:val="single" w:color="auto" w:sz="4" w:space="0"/>
              <w:left w:val="single" w:color="auto" w:sz="4" w:space="0"/>
              <w:right w:val="single" w:color="auto" w:sz="4" w:space="0"/>
            </w:tcBorders>
            <w:noWrap w:val="0"/>
            <w:vAlign w:val="center"/>
          </w:tcPr>
          <w:p w14:paraId="04D1E94C">
            <w:pPr>
              <w:spacing w:line="240" w:lineRule="exact"/>
              <w:jc w:val="center"/>
              <w:rPr>
                <w:rFonts w:hint="eastAsia" w:eastAsia="宋体"/>
                <w:color w:val="auto"/>
                <w:lang w:val="en-US" w:eastAsia="zh-CN"/>
              </w:rPr>
            </w:pPr>
            <w:r>
              <w:rPr>
                <w:rFonts w:hint="eastAsia"/>
                <w:color w:val="auto"/>
                <w:lang w:val="en-US" w:eastAsia="zh-CN"/>
              </w:rPr>
              <w:t>2</w:t>
            </w:r>
          </w:p>
        </w:tc>
        <w:tc>
          <w:tcPr>
            <w:tcW w:w="372" w:type="pct"/>
            <w:tcBorders>
              <w:top w:val="single" w:color="auto" w:sz="4" w:space="0"/>
              <w:left w:val="single" w:color="auto" w:sz="4" w:space="0"/>
              <w:right w:val="single" w:color="auto" w:sz="4" w:space="0"/>
            </w:tcBorders>
            <w:noWrap w:val="0"/>
            <w:vAlign w:val="center"/>
          </w:tcPr>
          <w:p w14:paraId="4DDEF2B8">
            <w:pPr>
              <w:spacing w:line="240" w:lineRule="exact"/>
              <w:jc w:val="center"/>
              <w:rPr>
                <w:color w:val="auto"/>
              </w:rPr>
            </w:pPr>
            <w:r>
              <w:rPr>
                <w:color w:val="auto"/>
              </w:rPr>
              <w:t>2</w:t>
            </w:r>
          </w:p>
        </w:tc>
        <w:tc>
          <w:tcPr>
            <w:tcW w:w="348" w:type="pct"/>
            <w:tcBorders>
              <w:top w:val="single" w:color="auto" w:sz="4" w:space="0"/>
              <w:left w:val="single" w:color="auto" w:sz="4" w:space="0"/>
              <w:right w:val="single" w:color="auto" w:sz="4" w:space="0"/>
            </w:tcBorders>
            <w:noWrap w:val="0"/>
            <w:vAlign w:val="center"/>
          </w:tcPr>
          <w:p w14:paraId="0E217B43">
            <w:pPr>
              <w:spacing w:line="240" w:lineRule="exact"/>
              <w:jc w:val="center"/>
              <w:rPr>
                <w:rFonts w:hint="eastAsia" w:eastAsia="宋体"/>
                <w:color w:val="auto"/>
                <w:lang w:val="en-US" w:eastAsia="zh-CN"/>
              </w:rPr>
            </w:pPr>
          </w:p>
        </w:tc>
        <w:tc>
          <w:tcPr>
            <w:tcW w:w="666" w:type="pct"/>
            <w:vMerge w:val="restart"/>
            <w:tcBorders>
              <w:top w:val="single" w:color="auto" w:sz="4" w:space="0"/>
              <w:left w:val="single" w:color="auto" w:sz="4" w:space="0"/>
              <w:right w:val="single" w:color="auto" w:sz="4" w:space="0"/>
            </w:tcBorders>
            <w:noWrap w:val="0"/>
            <w:vAlign w:val="center"/>
          </w:tcPr>
          <w:p w14:paraId="41AB9892">
            <w:pPr>
              <w:spacing w:line="240" w:lineRule="exact"/>
              <w:jc w:val="center"/>
              <w:rPr>
                <w:rFonts w:hint="eastAsia"/>
                <w:color w:val="auto"/>
                <w:sz w:val="18"/>
                <w:szCs w:val="18"/>
              </w:rPr>
            </w:pPr>
            <w:r>
              <w:rPr>
                <w:rFonts w:hint="eastAsia"/>
                <w:color w:val="auto"/>
                <w:sz w:val="18"/>
                <w:szCs w:val="18"/>
              </w:rPr>
              <w:t>平时表现不按考核内容区分占比，按照考勤、课堂表现记录，详见“平时表现评分标准”。</w:t>
            </w:r>
          </w:p>
        </w:tc>
        <w:tc>
          <w:tcPr>
            <w:tcW w:w="1205" w:type="pct"/>
            <w:tcBorders>
              <w:top w:val="single" w:color="auto" w:sz="4" w:space="0"/>
              <w:left w:val="single" w:color="auto" w:sz="4" w:space="0"/>
              <w:right w:val="single" w:color="auto" w:sz="4" w:space="0"/>
            </w:tcBorders>
            <w:noWrap w:val="0"/>
            <w:vAlign w:val="center"/>
          </w:tcPr>
          <w:p w14:paraId="3C758DCD">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10%</w:t>
            </w:r>
          </w:p>
        </w:tc>
        <w:tc>
          <w:tcPr>
            <w:tcW w:w="1320" w:type="dxa"/>
            <w:tcBorders>
              <w:top w:val="single" w:color="auto" w:sz="4" w:space="0"/>
              <w:left w:val="single" w:color="auto" w:sz="4" w:space="0"/>
              <w:right w:val="single" w:color="auto" w:sz="4" w:space="0"/>
            </w:tcBorders>
            <w:noWrap w:val="0"/>
            <w:vAlign w:val="center"/>
          </w:tcPr>
          <w:p w14:paraId="05DFF01C">
            <w:pPr>
              <w:keepNext w:val="0"/>
              <w:keepLines w:val="0"/>
              <w:widowControl/>
              <w:suppressLineNumbers w:val="0"/>
              <w:jc w:val="center"/>
              <w:textAlignment w:val="center"/>
              <w:rPr>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20%</w:t>
            </w:r>
          </w:p>
        </w:tc>
        <w:tc>
          <w:tcPr>
            <w:tcW w:w="649" w:type="pct"/>
            <w:tcBorders>
              <w:top w:val="single" w:color="auto" w:sz="4" w:space="0"/>
              <w:left w:val="single" w:color="auto" w:sz="4" w:space="0"/>
              <w:right w:val="single" w:color="auto" w:sz="4" w:space="0"/>
            </w:tcBorders>
            <w:noWrap w:val="0"/>
            <w:vAlign w:val="center"/>
          </w:tcPr>
          <w:p w14:paraId="416A7DB7">
            <w:pPr>
              <w:spacing w:line="240" w:lineRule="exact"/>
              <w:jc w:val="center"/>
              <w:rPr>
                <w:color w:val="auto"/>
              </w:rPr>
            </w:pPr>
            <w:r>
              <w:rPr>
                <w:rFonts w:hint="eastAsia"/>
                <w:bCs/>
                <w:color w:val="auto"/>
                <w:sz w:val="18"/>
                <w:szCs w:val="18"/>
              </w:rPr>
              <w:t>目标1.1，2.1，3.1</w:t>
            </w:r>
          </w:p>
        </w:tc>
      </w:tr>
      <w:tr w14:paraId="21F70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75EFCAE6">
            <w:pPr>
              <w:keepNext w:val="0"/>
              <w:keepLines w:val="0"/>
              <w:pageBreakBefore w:val="0"/>
              <w:kinsoku/>
              <w:wordWrap/>
              <w:overflowPunct/>
              <w:topLinePunct w:val="0"/>
              <w:autoSpaceDE/>
              <w:autoSpaceDN/>
              <w:bidi w:val="0"/>
              <w:adjustRightInd/>
              <w:snapToGrid/>
              <w:spacing w:line="240" w:lineRule="exact"/>
              <w:jc w:val="center"/>
              <w:textAlignment w:val="auto"/>
              <w:rPr>
                <w:color w:val="auto"/>
              </w:rPr>
            </w:pPr>
            <w:r>
              <w:rPr>
                <w:rFonts w:hint="eastAsia"/>
                <w:b/>
                <w:bCs w:val="0"/>
                <w:color w:val="auto"/>
                <w:kern w:val="2"/>
                <w:sz w:val="18"/>
                <w:szCs w:val="18"/>
                <w:lang w:val="en-US" w:eastAsia="zh-CN" w:bidi="ar-SA"/>
              </w:rPr>
              <w:t>第二单元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Python 编程基础</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与计算逻辑</w:t>
            </w:r>
          </w:p>
        </w:tc>
        <w:tc>
          <w:tcPr>
            <w:tcW w:w="463" w:type="pct"/>
            <w:tcBorders>
              <w:left w:val="single" w:color="auto" w:sz="4" w:space="0"/>
              <w:bottom w:val="single" w:color="auto" w:sz="4" w:space="0"/>
              <w:right w:val="single" w:color="auto" w:sz="4" w:space="0"/>
            </w:tcBorders>
            <w:noWrap w:val="0"/>
            <w:vAlign w:val="center"/>
          </w:tcPr>
          <w:p w14:paraId="2E20074D">
            <w:pPr>
              <w:spacing w:line="240" w:lineRule="exact"/>
              <w:jc w:val="center"/>
              <w:rPr>
                <w:rFonts w:hint="eastAsia" w:eastAsia="宋体"/>
                <w:color w:val="auto"/>
                <w:lang w:val="en-US" w:eastAsia="zh-CN"/>
              </w:rPr>
            </w:pPr>
            <w:r>
              <w:rPr>
                <w:rFonts w:hint="eastAsia"/>
                <w:color w:val="auto"/>
                <w:lang w:val="en-US" w:eastAsia="zh-CN"/>
              </w:rPr>
              <w:t>7</w:t>
            </w:r>
          </w:p>
        </w:tc>
        <w:tc>
          <w:tcPr>
            <w:tcW w:w="372" w:type="pct"/>
            <w:tcBorders>
              <w:left w:val="single" w:color="auto" w:sz="4" w:space="0"/>
              <w:right w:val="single" w:color="auto" w:sz="4" w:space="0"/>
            </w:tcBorders>
            <w:noWrap w:val="0"/>
            <w:vAlign w:val="center"/>
          </w:tcPr>
          <w:p w14:paraId="22B5281F">
            <w:pPr>
              <w:spacing w:line="240" w:lineRule="exact"/>
              <w:jc w:val="center"/>
              <w:rPr>
                <w:rFonts w:hint="eastAsia"/>
                <w:color w:val="auto"/>
              </w:rPr>
            </w:pPr>
            <w:r>
              <w:rPr>
                <w:rFonts w:hint="eastAsia"/>
                <w:color w:val="auto"/>
              </w:rPr>
              <w:t>4</w:t>
            </w:r>
          </w:p>
        </w:tc>
        <w:tc>
          <w:tcPr>
            <w:tcW w:w="348" w:type="pct"/>
            <w:tcBorders>
              <w:left w:val="single" w:color="auto" w:sz="4" w:space="0"/>
              <w:right w:val="single" w:color="auto" w:sz="4" w:space="0"/>
            </w:tcBorders>
            <w:noWrap w:val="0"/>
            <w:vAlign w:val="center"/>
          </w:tcPr>
          <w:p w14:paraId="37ADDBE2">
            <w:pPr>
              <w:spacing w:line="240" w:lineRule="exact"/>
              <w:jc w:val="center"/>
              <w:rPr>
                <w:rFonts w:hint="default" w:eastAsia="宋体"/>
                <w:color w:val="auto"/>
                <w:lang w:val="en-US" w:eastAsia="zh-CN"/>
              </w:rPr>
            </w:pPr>
            <w:r>
              <w:rPr>
                <w:rFonts w:hint="eastAsia"/>
                <w:color w:val="auto"/>
                <w:lang w:val="en-US" w:eastAsia="zh-CN"/>
              </w:rPr>
              <w:t>3</w:t>
            </w:r>
          </w:p>
        </w:tc>
        <w:tc>
          <w:tcPr>
            <w:tcW w:w="666" w:type="pct"/>
            <w:vMerge w:val="continue"/>
            <w:tcBorders>
              <w:left w:val="single" w:color="auto" w:sz="4" w:space="0"/>
              <w:right w:val="single" w:color="auto" w:sz="4" w:space="0"/>
            </w:tcBorders>
            <w:noWrap w:val="0"/>
            <w:vAlign w:val="center"/>
          </w:tcPr>
          <w:p w14:paraId="291A70BC">
            <w:pPr>
              <w:spacing w:line="240" w:lineRule="exact"/>
              <w:jc w:val="center"/>
              <w:rPr>
                <w:rFonts w:hint="eastAsia"/>
                <w:color w:val="auto"/>
                <w:sz w:val="18"/>
                <w:szCs w:val="18"/>
              </w:rPr>
            </w:pPr>
          </w:p>
        </w:tc>
        <w:tc>
          <w:tcPr>
            <w:tcW w:w="1205" w:type="pct"/>
            <w:tcBorders>
              <w:left w:val="single" w:color="auto" w:sz="4" w:space="0"/>
              <w:bottom w:val="single" w:color="auto" w:sz="4" w:space="0"/>
              <w:right w:val="single" w:color="auto" w:sz="4" w:space="0"/>
            </w:tcBorders>
            <w:noWrap w:val="0"/>
            <w:vAlign w:val="center"/>
          </w:tcPr>
          <w:p w14:paraId="045DC08A">
            <w:pPr>
              <w:keepNext w:val="0"/>
              <w:keepLines w:val="0"/>
              <w:widowControl/>
              <w:suppressLineNumbers w:val="0"/>
              <w:jc w:val="center"/>
              <w:textAlignment w:val="center"/>
              <w:rPr>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20%</w:t>
            </w:r>
          </w:p>
        </w:tc>
        <w:tc>
          <w:tcPr>
            <w:tcW w:w="1320" w:type="dxa"/>
            <w:tcBorders>
              <w:left w:val="single" w:color="auto" w:sz="4" w:space="0"/>
              <w:bottom w:val="single" w:color="auto" w:sz="4" w:space="0"/>
              <w:right w:val="single" w:color="auto" w:sz="4" w:space="0"/>
            </w:tcBorders>
            <w:noWrap w:val="0"/>
            <w:vAlign w:val="center"/>
          </w:tcPr>
          <w:p w14:paraId="20C02FE8">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10%</w:t>
            </w:r>
          </w:p>
        </w:tc>
        <w:tc>
          <w:tcPr>
            <w:tcW w:w="649" w:type="pct"/>
            <w:tcBorders>
              <w:left w:val="single" w:color="auto" w:sz="4" w:space="0"/>
              <w:bottom w:val="single" w:color="auto" w:sz="4" w:space="0"/>
              <w:right w:val="single" w:color="auto" w:sz="4" w:space="0"/>
            </w:tcBorders>
            <w:noWrap w:val="0"/>
            <w:vAlign w:val="center"/>
          </w:tcPr>
          <w:p w14:paraId="4D7FCC26">
            <w:pPr>
              <w:spacing w:line="240" w:lineRule="exact"/>
              <w:jc w:val="center"/>
              <w:rPr>
                <w:color w:val="auto"/>
              </w:rPr>
            </w:pPr>
            <w:r>
              <w:rPr>
                <w:rFonts w:hint="eastAsia"/>
                <w:bCs/>
                <w:color w:val="auto"/>
                <w:sz w:val="18"/>
                <w:szCs w:val="18"/>
              </w:rPr>
              <w:t>目标1.2，2.2，3.2</w:t>
            </w:r>
          </w:p>
        </w:tc>
      </w:tr>
      <w:tr w14:paraId="10F0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42658038">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kern w:val="2"/>
                <w:sz w:val="18"/>
                <w:szCs w:val="18"/>
                <w:lang w:val="en-US" w:eastAsia="zh-CN" w:bidi="ar-SA"/>
              </w:rPr>
            </w:pPr>
            <w:r>
              <w:rPr>
                <w:rFonts w:hint="eastAsia"/>
                <w:b/>
                <w:bCs w:val="0"/>
                <w:color w:val="auto"/>
                <w:kern w:val="2"/>
                <w:sz w:val="18"/>
                <w:szCs w:val="18"/>
                <w:lang w:val="en-US" w:eastAsia="zh-CN" w:bidi="ar-SA"/>
              </w:rPr>
              <w:t>第三单元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科学计算核心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与数据处理</w:t>
            </w:r>
          </w:p>
          <w:p w14:paraId="4ACDCCF1">
            <w:pPr>
              <w:keepNext w:val="0"/>
              <w:keepLines w:val="0"/>
              <w:pageBreakBefore w:val="0"/>
              <w:kinsoku/>
              <w:wordWrap/>
              <w:overflowPunct/>
              <w:topLinePunct w:val="0"/>
              <w:autoSpaceDE/>
              <w:autoSpaceDN/>
              <w:bidi w:val="0"/>
              <w:adjustRightInd/>
              <w:snapToGrid/>
              <w:spacing w:line="240" w:lineRule="exact"/>
              <w:jc w:val="both"/>
              <w:textAlignment w:val="auto"/>
              <w:rPr>
                <w:color w:val="auto"/>
              </w:rPr>
            </w:pPr>
          </w:p>
        </w:tc>
        <w:tc>
          <w:tcPr>
            <w:tcW w:w="463" w:type="pct"/>
            <w:tcBorders>
              <w:left w:val="single" w:color="auto" w:sz="4" w:space="0"/>
              <w:right w:val="single" w:color="auto" w:sz="4" w:space="0"/>
            </w:tcBorders>
            <w:noWrap w:val="0"/>
            <w:vAlign w:val="center"/>
          </w:tcPr>
          <w:p w14:paraId="36DBFF9C">
            <w:pPr>
              <w:spacing w:line="240" w:lineRule="exact"/>
              <w:jc w:val="center"/>
              <w:rPr>
                <w:rFonts w:hint="default" w:eastAsia="宋体"/>
                <w:color w:val="auto"/>
                <w:lang w:val="en-US" w:eastAsia="zh-CN"/>
              </w:rPr>
            </w:pPr>
            <w:r>
              <w:rPr>
                <w:rFonts w:hint="eastAsia"/>
                <w:color w:val="auto"/>
                <w:lang w:val="en-US" w:eastAsia="zh-CN"/>
              </w:rPr>
              <w:t>8</w:t>
            </w:r>
          </w:p>
        </w:tc>
        <w:tc>
          <w:tcPr>
            <w:tcW w:w="372" w:type="pct"/>
            <w:tcBorders>
              <w:left w:val="single" w:color="auto" w:sz="4" w:space="0"/>
              <w:right w:val="single" w:color="auto" w:sz="4" w:space="0"/>
            </w:tcBorders>
            <w:noWrap w:val="0"/>
            <w:vAlign w:val="center"/>
          </w:tcPr>
          <w:p w14:paraId="5460B9C6">
            <w:pPr>
              <w:spacing w:line="240" w:lineRule="exact"/>
              <w:jc w:val="center"/>
              <w:rPr>
                <w:rFonts w:hint="eastAsia"/>
                <w:color w:val="auto"/>
              </w:rPr>
            </w:pPr>
            <w:r>
              <w:rPr>
                <w:rFonts w:hint="eastAsia"/>
                <w:color w:val="auto"/>
                <w:lang w:val="en-US" w:eastAsia="zh-CN"/>
              </w:rPr>
              <w:t>4</w:t>
            </w:r>
          </w:p>
        </w:tc>
        <w:tc>
          <w:tcPr>
            <w:tcW w:w="348" w:type="pct"/>
            <w:tcBorders>
              <w:left w:val="single" w:color="auto" w:sz="4" w:space="0"/>
              <w:right w:val="single" w:color="auto" w:sz="4" w:space="0"/>
            </w:tcBorders>
            <w:noWrap w:val="0"/>
            <w:vAlign w:val="center"/>
          </w:tcPr>
          <w:p w14:paraId="76C77A2B">
            <w:pPr>
              <w:spacing w:line="240" w:lineRule="exact"/>
              <w:jc w:val="center"/>
              <w:rPr>
                <w:rFonts w:hint="eastAsia" w:eastAsia="宋体"/>
                <w:color w:val="auto"/>
                <w:lang w:val="en-US" w:eastAsia="zh-CN"/>
              </w:rPr>
            </w:pPr>
            <w:r>
              <w:rPr>
                <w:rFonts w:hint="eastAsia"/>
                <w:color w:val="auto"/>
                <w:lang w:val="en-US" w:eastAsia="zh-CN"/>
              </w:rPr>
              <w:t>4</w:t>
            </w:r>
          </w:p>
        </w:tc>
        <w:tc>
          <w:tcPr>
            <w:tcW w:w="666" w:type="pct"/>
            <w:vMerge w:val="continue"/>
            <w:tcBorders>
              <w:left w:val="single" w:color="auto" w:sz="4" w:space="0"/>
              <w:right w:val="single" w:color="auto" w:sz="4" w:space="0"/>
            </w:tcBorders>
            <w:noWrap w:val="0"/>
            <w:vAlign w:val="center"/>
          </w:tcPr>
          <w:p w14:paraId="07256E0F">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4953A019">
            <w:pPr>
              <w:keepNext w:val="0"/>
              <w:keepLines w:val="0"/>
              <w:widowControl/>
              <w:suppressLineNumbers w:val="0"/>
              <w:jc w:val="center"/>
              <w:textAlignment w:val="center"/>
              <w:rPr>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30%</w:t>
            </w:r>
          </w:p>
        </w:tc>
        <w:tc>
          <w:tcPr>
            <w:tcW w:w="1320" w:type="dxa"/>
            <w:tcBorders>
              <w:left w:val="single" w:color="auto" w:sz="4" w:space="0"/>
              <w:right w:val="single" w:color="auto" w:sz="4" w:space="0"/>
            </w:tcBorders>
            <w:noWrap w:val="0"/>
            <w:vAlign w:val="center"/>
          </w:tcPr>
          <w:p w14:paraId="1150142F">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15%</w:t>
            </w:r>
          </w:p>
        </w:tc>
        <w:tc>
          <w:tcPr>
            <w:tcW w:w="649" w:type="pct"/>
            <w:tcBorders>
              <w:left w:val="single" w:color="auto" w:sz="4" w:space="0"/>
              <w:right w:val="single" w:color="auto" w:sz="4" w:space="0"/>
            </w:tcBorders>
            <w:noWrap w:val="0"/>
            <w:vAlign w:val="center"/>
          </w:tcPr>
          <w:p w14:paraId="53E0F2B8">
            <w:pPr>
              <w:spacing w:line="240" w:lineRule="exact"/>
              <w:jc w:val="center"/>
              <w:rPr>
                <w:color w:val="auto"/>
              </w:rPr>
            </w:pPr>
            <w:r>
              <w:rPr>
                <w:rFonts w:hint="eastAsia"/>
                <w:bCs/>
                <w:color w:val="auto"/>
                <w:sz w:val="18"/>
                <w:szCs w:val="18"/>
              </w:rPr>
              <w:t>目标1.3，2.3，3.3</w:t>
            </w:r>
          </w:p>
        </w:tc>
      </w:tr>
      <w:tr w14:paraId="6D5C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3DFA9009">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
                <w:bCs w:val="0"/>
                <w:color w:val="auto"/>
                <w:kern w:val="2"/>
                <w:sz w:val="18"/>
                <w:szCs w:val="18"/>
                <w:lang w:val="en-US" w:eastAsia="zh-CN" w:bidi="ar-SA"/>
              </w:rPr>
            </w:pPr>
            <w:r>
              <w:rPr>
                <w:rFonts w:hint="eastAsia"/>
                <w:b/>
                <w:bCs w:val="0"/>
                <w:color w:val="auto"/>
                <w:kern w:val="2"/>
                <w:sz w:val="18"/>
                <w:szCs w:val="18"/>
                <w:lang w:val="en-US" w:eastAsia="zh-CN" w:bidi="ar-SA"/>
              </w:rPr>
              <w:t>第四单元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数据可视化</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设计与表达</w:t>
            </w:r>
          </w:p>
          <w:p w14:paraId="17D0E9D0">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p>
        </w:tc>
        <w:tc>
          <w:tcPr>
            <w:tcW w:w="463" w:type="pct"/>
            <w:tcBorders>
              <w:left w:val="single" w:color="auto" w:sz="4" w:space="0"/>
              <w:right w:val="single" w:color="auto" w:sz="4" w:space="0"/>
            </w:tcBorders>
            <w:noWrap w:val="0"/>
            <w:vAlign w:val="center"/>
          </w:tcPr>
          <w:p w14:paraId="3818BCB3">
            <w:pPr>
              <w:spacing w:line="240" w:lineRule="exact"/>
              <w:jc w:val="center"/>
              <w:rPr>
                <w:rFonts w:hint="eastAsia" w:eastAsia="宋体"/>
                <w:color w:val="auto"/>
                <w:lang w:val="en-US" w:eastAsia="zh-CN"/>
              </w:rPr>
            </w:pPr>
            <w:r>
              <w:rPr>
                <w:rFonts w:hint="eastAsia"/>
                <w:color w:val="auto"/>
                <w:lang w:val="en-US" w:eastAsia="zh-CN"/>
              </w:rPr>
              <w:t>9</w:t>
            </w:r>
          </w:p>
        </w:tc>
        <w:tc>
          <w:tcPr>
            <w:tcW w:w="372" w:type="pct"/>
            <w:tcBorders>
              <w:left w:val="single" w:color="auto" w:sz="4" w:space="0"/>
              <w:right w:val="single" w:color="auto" w:sz="4" w:space="0"/>
            </w:tcBorders>
            <w:noWrap w:val="0"/>
            <w:vAlign w:val="center"/>
          </w:tcPr>
          <w:p w14:paraId="762CF85D">
            <w:pPr>
              <w:spacing w:line="240" w:lineRule="exact"/>
              <w:jc w:val="center"/>
              <w:rPr>
                <w:rFonts w:hint="eastAsia" w:eastAsia="宋体"/>
                <w:color w:val="auto"/>
                <w:lang w:eastAsia="zh-CN"/>
              </w:rPr>
            </w:pPr>
            <w:r>
              <w:rPr>
                <w:rFonts w:hint="eastAsia"/>
                <w:color w:val="auto"/>
              </w:rPr>
              <w:t>4</w:t>
            </w:r>
          </w:p>
        </w:tc>
        <w:tc>
          <w:tcPr>
            <w:tcW w:w="348" w:type="pct"/>
            <w:tcBorders>
              <w:left w:val="single" w:color="auto" w:sz="4" w:space="0"/>
              <w:right w:val="single" w:color="auto" w:sz="4" w:space="0"/>
            </w:tcBorders>
            <w:noWrap w:val="0"/>
            <w:vAlign w:val="center"/>
          </w:tcPr>
          <w:p w14:paraId="64408A8E">
            <w:pPr>
              <w:spacing w:line="240" w:lineRule="exact"/>
              <w:jc w:val="center"/>
              <w:rPr>
                <w:rFonts w:hint="default" w:eastAsia="宋体"/>
                <w:color w:val="auto"/>
                <w:lang w:val="en-US" w:eastAsia="zh-CN"/>
              </w:rPr>
            </w:pPr>
            <w:r>
              <w:rPr>
                <w:rFonts w:hint="eastAsia" w:eastAsia="宋体"/>
                <w:color w:val="auto"/>
                <w:lang w:val="en-US" w:eastAsia="zh-CN"/>
              </w:rPr>
              <w:t>5</w:t>
            </w:r>
          </w:p>
        </w:tc>
        <w:tc>
          <w:tcPr>
            <w:tcW w:w="666" w:type="pct"/>
            <w:vMerge w:val="continue"/>
            <w:tcBorders>
              <w:left w:val="single" w:color="auto" w:sz="4" w:space="0"/>
              <w:right w:val="single" w:color="auto" w:sz="4" w:space="0"/>
            </w:tcBorders>
            <w:noWrap w:val="0"/>
            <w:vAlign w:val="center"/>
          </w:tcPr>
          <w:p w14:paraId="071BD0E3">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514F2438">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20%</w:t>
            </w:r>
          </w:p>
        </w:tc>
        <w:tc>
          <w:tcPr>
            <w:tcW w:w="1320" w:type="dxa"/>
            <w:tcBorders>
              <w:left w:val="single" w:color="auto" w:sz="4" w:space="0"/>
              <w:right w:val="single" w:color="auto" w:sz="4" w:space="0"/>
            </w:tcBorders>
            <w:noWrap w:val="0"/>
            <w:vAlign w:val="center"/>
          </w:tcPr>
          <w:p w14:paraId="17AFC70D">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30%</w:t>
            </w:r>
          </w:p>
        </w:tc>
        <w:tc>
          <w:tcPr>
            <w:tcW w:w="649" w:type="pct"/>
            <w:tcBorders>
              <w:left w:val="single" w:color="auto" w:sz="4" w:space="0"/>
              <w:right w:val="single" w:color="auto" w:sz="4" w:space="0"/>
            </w:tcBorders>
            <w:noWrap w:val="0"/>
            <w:vAlign w:val="center"/>
          </w:tcPr>
          <w:p w14:paraId="257172D2">
            <w:pPr>
              <w:spacing w:line="240" w:lineRule="exact"/>
              <w:jc w:val="center"/>
              <w:rPr>
                <w:color w:val="auto"/>
              </w:rPr>
            </w:pPr>
            <w:r>
              <w:rPr>
                <w:rFonts w:hint="eastAsia"/>
                <w:bCs/>
                <w:color w:val="auto"/>
                <w:sz w:val="18"/>
                <w:szCs w:val="18"/>
              </w:rPr>
              <w:t>目标1.4，2.4，3.4</w:t>
            </w:r>
          </w:p>
        </w:tc>
      </w:tr>
      <w:tr w14:paraId="4665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right w:val="single" w:color="auto" w:sz="4" w:space="0"/>
            </w:tcBorders>
            <w:noWrap w:val="0"/>
            <w:vAlign w:val="center"/>
          </w:tcPr>
          <w:p w14:paraId="343237BA">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bCs/>
                <w:color w:val="auto"/>
                <w:sz w:val="18"/>
                <w:szCs w:val="18"/>
              </w:rPr>
            </w:pPr>
            <w:r>
              <w:rPr>
                <w:rFonts w:hint="eastAsia"/>
                <w:b/>
                <w:bCs w:val="0"/>
                <w:color w:val="auto"/>
                <w:kern w:val="2"/>
                <w:sz w:val="18"/>
                <w:szCs w:val="18"/>
                <w:lang w:val="en-US" w:eastAsia="zh-CN" w:bidi="ar-SA"/>
              </w:rPr>
              <w:t>第五单元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综合建模与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前沿工具应用</w:t>
            </w:r>
          </w:p>
        </w:tc>
        <w:tc>
          <w:tcPr>
            <w:tcW w:w="463" w:type="pct"/>
            <w:tcBorders>
              <w:left w:val="single" w:color="auto" w:sz="4" w:space="0"/>
              <w:right w:val="single" w:color="auto" w:sz="4" w:space="0"/>
            </w:tcBorders>
            <w:noWrap w:val="0"/>
            <w:vAlign w:val="center"/>
          </w:tcPr>
          <w:p w14:paraId="589405FE">
            <w:pPr>
              <w:spacing w:line="240" w:lineRule="exact"/>
              <w:jc w:val="center"/>
              <w:rPr>
                <w:rFonts w:hint="default" w:eastAsia="宋体"/>
                <w:color w:val="auto"/>
                <w:lang w:val="en-US" w:eastAsia="zh-CN"/>
              </w:rPr>
            </w:pPr>
            <w:r>
              <w:rPr>
                <w:rFonts w:hint="eastAsia"/>
                <w:color w:val="auto"/>
                <w:lang w:val="en-US" w:eastAsia="zh-CN"/>
              </w:rPr>
              <w:t>6</w:t>
            </w:r>
          </w:p>
        </w:tc>
        <w:tc>
          <w:tcPr>
            <w:tcW w:w="372" w:type="pct"/>
            <w:tcBorders>
              <w:left w:val="single" w:color="auto" w:sz="4" w:space="0"/>
              <w:right w:val="single" w:color="auto" w:sz="4" w:space="0"/>
            </w:tcBorders>
            <w:noWrap w:val="0"/>
            <w:vAlign w:val="center"/>
          </w:tcPr>
          <w:p w14:paraId="0558F6B0">
            <w:pPr>
              <w:spacing w:line="240" w:lineRule="exact"/>
              <w:jc w:val="center"/>
              <w:rPr>
                <w:rFonts w:hint="eastAsia" w:eastAsia="宋体"/>
                <w:color w:val="auto"/>
                <w:lang w:eastAsia="zh-CN"/>
              </w:rPr>
            </w:pPr>
            <w:r>
              <w:rPr>
                <w:rFonts w:hint="eastAsia"/>
                <w:color w:val="auto"/>
                <w:lang w:val="en-US" w:eastAsia="zh-CN"/>
              </w:rPr>
              <w:t>2</w:t>
            </w:r>
          </w:p>
        </w:tc>
        <w:tc>
          <w:tcPr>
            <w:tcW w:w="348" w:type="pct"/>
            <w:tcBorders>
              <w:left w:val="single" w:color="auto" w:sz="4" w:space="0"/>
              <w:right w:val="single" w:color="auto" w:sz="4" w:space="0"/>
            </w:tcBorders>
            <w:noWrap w:val="0"/>
            <w:vAlign w:val="center"/>
          </w:tcPr>
          <w:p w14:paraId="60B05699">
            <w:pPr>
              <w:spacing w:line="240" w:lineRule="exact"/>
              <w:jc w:val="center"/>
              <w:rPr>
                <w:rFonts w:hint="default" w:eastAsia="宋体"/>
                <w:color w:val="auto"/>
                <w:lang w:val="en-US" w:eastAsia="zh-CN"/>
              </w:rPr>
            </w:pPr>
            <w:r>
              <w:rPr>
                <w:rFonts w:hint="eastAsia" w:eastAsia="宋体"/>
                <w:color w:val="auto"/>
                <w:lang w:val="en-US" w:eastAsia="zh-CN"/>
              </w:rPr>
              <w:t>4</w:t>
            </w:r>
          </w:p>
        </w:tc>
        <w:tc>
          <w:tcPr>
            <w:tcW w:w="666" w:type="pct"/>
            <w:vMerge w:val="continue"/>
            <w:tcBorders>
              <w:left w:val="single" w:color="auto" w:sz="4" w:space="0"/>
              <w:right w:val="single" w:color="auto" w:sz="4" w:space="0"/>
            </w:tcBorders>
            <w:noWrap w:val="0"/>
            <w:vAlign w:val="center"/>
          </w:tcPr>
          <w:p w14:paraId="73BFD228">
            <w:pPr>
              <w:spacing w:line="240" w:lineRule="exact"/>
              <w:jc w:val="center"/>
              <w:rPr>
                <w:rFonts w:hint="eastAsia"/>
                <w:color w:val="auto"/>
                <w:sz w:val="18"/>
                <w:szCs w:val="18"/>
              </w:rPr>
            </w:pPr>
          </w:p>
        </w:tc>
        <w:tc>
          <w:tcPr>
            <w:tcW w:w="1205" w:type="pct"/>
            <w:tcBorders>
              <w:left w:val="single" w:color="auto" w:sz="4" w:space="0"/>
              <w:right w:val="single" w:color="auto" w:sz="4" w:space="0"/>
            </w:tcBorders>
            <w:noWrap w:val="0"/>
            <w:vAlign w:val="center"/>
          </w:tcPr>
          <w:p w14:paraId="27496DEF">
            <w:pPr>
              <w:keepNext w:val="0"/>
              <w:keepLines w:val="0"/>
              <w:widowControl/>
              <w:suppressLineNumbers w:val="0"/>
              <w:jc w:val="center"/>
              <w:textAlignment w:val="center"/>
              <w:rPr>
                <w:rFonts w:hint="default" w:eastAsia="宋体"/>
                <w:color w:val="auto"/>
                <w:sz w:val="18"/>
                <w:szCs w:val="18"/>
                <w:lang w:val="en-US" w:eastAsia="zh-CN"/>
              </w:rPr>
            </w:pPr>
            <w:r>
              <w:rPr>
                <w:rFonts w:hint="default" w:ascii="Times New Roman" w:hAnsi="Times New Roman" w:eastAsia="宋体" w:cs="Times New Roman"/>
                <w:i w:val="0"/>
                <w:iCs w:val="0"/>
                <w:color w:val="000000"/>
                <w:kern w:val="0"/>
                <w:sz w:val="18"/>
                <w:szCs w:val="18"/>
                <w:u w:val="none"/>
                <w:lang w:val="en-US" w:eastAsia="zh-CN" w:bidi="ar"/>
              </w:rPr>
              <w:t>20%</w:t>
            </w:r>
          </w:p>
        </w:tc>
        <w:tc>
          <w:tcPr>
            <w:tcW w:w="1320" w:type="dxa"/>
            <w:tcBorders>
              <w:left w:val="single" w:color="auto" w:sz="4" w:space="0"/>
              <w:right w:val="single" w:color="auto" w:sz="4" w:space="0"/>
            </w:tcBorders>
            <w:noWrap w:val="0"/>
            <w:vAlign w:val="center"/>
          </w:tcPr>
          <w:p w14:paraId="67A8014C">
            <w:pPr>
              <w:keepNext w:val="0"/>
              <w:keepLines w:val="0"/>
              <w:widowControl/>
              <w:suppressLineNumbers w:val="0"/>
              <w:jc w:val="center"/>
              <w:textAlignment w:val="center"/>
              <w:rPr>
                <w:rFonts w:hint="eastAsia"/>
                <w:color w:val="auto"/>
                <w:sz w:val="18"/>
                <w:szCs w:val="18"/>
              </w:rPr>
            </w:pPr>
            <w:r>
              <w:rPr>
                <w:rFonts w:hint="default" w:ascii="Times New Roman" w:hAnsi="Times New Roman" w:eastAsia="宋体" w:cs="Times New Roman"/>
                <w:i w:val="0"/>
                <w:iCs w:val="0"/>
                <w:color w:val="000000"/>
                <w:kern w:val="0"/>
                <w:sz w:val="18"/>
                <w:szCs w:val="18"/>
                <w:u w:val="none"/>
                <w:lang w:val="en-US" w:eastAsia="zh-CN" w:bidi="ar"/>
              </w:rPr>
              <w:t>25%</w:t>
            </w:r>
          </w:p>
        </w:tc>
        <w:tc>
          <w:tcPr>
            <w:tcW w:w="649" w:type="pct"/>
            <w:tcBorders>
              <w:left w:val="single" w:color="auto" w:sz="4" w:space="0"/>
              <w:right w:val="single" w:color="auto" w:sz="4" w:space="0"/>
            </w:tcBorders>
            <w:noWrap w:val="0"/>
            <w:vAlign w:val="center"/>
          </w:tcPr>
          <w:p w14:paraId="6A4D5284">
            <w:pPr>
              <w:spacing w:line="240" w:lineRule="exact"/>
              <w:jc w:val="center"/>
              <w:rPr>
                <w:color w:val="auto"/>
              </w:rPr>
            </w:pPr>
            <w:r>
              <w:rPr>
                <w:rFonts w:hint="eastAsia"/>
                <w:bCs/>
                <w:color w:val="auto"/>
                <w:sz w:val="18"/>
                <w:szCs w:val="18"/>
              </w:rPr>
              <w:t>目标1.5，2.5，3.5</w:t>
            </w:r>
          </w:p>
        </w:tc>
      </w:tr>
      <w:tr w14:paraId="232A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584" w:type="pct"/>
            <w:tcBorders>
              <w:left w:val="single" w:color="auto" w:sz="4" w:space="0"/>
              <w:bottom w:val="single" w:color="auto" w:sz="4" w:space="0"/>
              <w:right w:val="single" w:color="auto" w:sz="4" w:space="0"/>
            </w:tcBorders>
            <w:noWrap w:val="0"/>
            <w:vAlign w:val="center"/>
          </w:tcPr>
          <w:p w14:paraId="521AC4AD">
            <w:pPr>
              <w:spacing w:line="240" w:lineRule="exact"/>
              <w:jc w:val="center"/>
              <w:rPr>
                <w:rFonts w:hint="eastAsia"/>
                <w:b/>
                <w:color w:val="auto"/>
              </w:rPr>
            </w:pPr>
            <w:r>
              <w:rPr>
                <w:rFonts w:hint="eastAsia"/>
                <w:b/>
                <w:color w:val="auto"/>
              </w:rPr>
              <w:t>合计</w:t>
            </w:r>
          </w:p>
        </w:tc>
        <w:tc>
          <w:tcPr>
            <w:tcW w:w="463" w:type="pct"/>
            <w:tcBorders>
              <w:left w:val="single" w:color="auto" w:sz="4" w:space="0"/>
              <w:bottom w:val="single" w:color="auto" w:sz="4" w:space="0"/>
              <w:right w:val="single" w:color="auto" w:sz="4" w:space="0"/>
            </w:tcBorders>
            <w:noWrap w:val="0"/>
            <w:vAlign w:val="center"/>
          </w:tcPr>
          <w:p w14:paraId="4C4DE43F">
            <w:pPr>
              <w:spacing w:line="240" w:lineRule="exact"/>
              <w:jc w:val="center"/>
              <w:rPr>
                <w:rFonts w:hint="default" w:eastAsia="宋体"/>
                <w:b/>
                <w:color w:val="auto"/>
                <w:lang w:val="en-US" w:eastAsia="zh-CN"/>
              </w:rPr>
            </w:pPr>
            <w:r>
              <w:rPr>
                <w:rFonts w:hint="eastAsia"/>
                <w:b/>
                <w:color w:val="auto"/>
                <w:lang w:val="en-US" w:eastAsia="zh-CN"/>
              </w:rPr>
              <w:t>32</w:t>
            </w:r>
          </w:p>
        </w:tc>
        <w:tc>
          <w:tcPr>
            <w:tcW w:w="372" w:type="pct"/>
            <w:tcBorders>
              <w:left w:val="single" w:color="auto" w:sz="4" w:space="0"/>
              <w:bottom w:val="single" w:color="auto" w:sz="4" w:space="0"/>
              <w:right w:val="single" w:color="auto" w:sz="4" w:space="0"/>
            </w:tcBorders>
            <w:noWrap w:val="0"/>
            <w:vAlign w:val="center"/>
          </w:tcPr>
          <w:p w14:paraId="5F88342F">
            <w:pPr>
              <w:spacing w:line="240" w:lineRule="exact"/>
              <w:jc w:val="center"/>
              <w:rPr>
                <w:rFonts w:hint="default" w:eastAsia="宋体"/>
                <w:b/>
                <w:color w:val="auto"/>
                <w:lang w:val="en-US" w:eastAsia="zh-CN"/>
              </w:rPr>
            </w:pPr>
            <w:r>
              <w:rPr>
                <w:rFonts w:hint="eastAsia"/>
                <w:b/>
                <w:color w:val="auto"/>
                <w:lang w:val="en-US" w:eastAsia="zh-CN"/>
              </w:rPr>
              <w:t>16</w:t>
            </w:r>
          </w:p>
        </w:tc>
        <w:tc>
          <w:tcPr>
            <w:tcW w:w="348" w:type="pct"/>
            <w:tcBorders>
              <w:left w:val="single" w:color="auto" w:sz="4" w:space="0"/>
              <w:bottom w:val="single" w:color="auto" w:sz="4" w:space="0"/>
              <w:right w:val="single" w:color="auto" w:sz="4" w:space="0"/>
            </w:tcBorders>
            <w:noWrap w:val="0"/>
            <w:vAlign w:val="center"/>
          </w:tcPr>
          <w:p w14:paraId="07713874">
            <w:pPr>
              <w:spacing w:line="240" w:lineRule="exact"/>
              <w:jc w:val="center"/>
              <w:rPr>
                <w:rFonts w:hint="default" w:eastAsia="宋体"/>
                <w:b/>
                <w:color w:val="auto"/>
                <w:lang w:val="en-US" w:eastAsia="zh-CN"/>
              </w:rPr>
            </w:pPr>
            <w:r>
              <w:rPr>
                <w:rFonts w:hint="eastAsia"/>
                <w:b/>
                <w:color w:val="auto"/>
                <w:lang w:val="en-US" w:eastAsia="zh-CN"/>
              </w:rPr>
              <w:t>16</w:t>
            </w:r>
          </w:p>
        </w:tc>
        <w:tc>
          <w:tcPr>
            <w:tcW w:w="666" w:type="pct"/>
            <w:tcBorders>
              <w:left w:val="single" w:color="auto" w:sz="4" w:space="0"/>
              <w:bottom w:val="single" w:color="auto" w:sz="4" w:space="0"/>
              <w:right w:val="single" w:color="auto" w:sz="4" w:space="0"/>
            </w:tcBorders>
            <w:noWrap w:val="0"/>
            <w:vAlign w:val="center"/>
          </w:tcPr>
          <w:p w14:paraId="1A1E74C1">
            <w:pPr>
              <w:spacing w:line="240" w:lineRule="exact"/>
              <w:jc w:val="center"/>
              <w:rPr>
                <w:rFonts w:hint="eastAsia"/>
                <w:b/>
                <w:color w:val="auto"/>
              </w:rPr>
            </w:pPr>
          </w:p>
        </w:tc>
        <w:tc>
          <w:tcPr>
            <w:tcW w:w="1205" w:type="pct"/>
            <w:tcBorders>
              <w:left w:val="single" w:color="auto" w:sz="4" w:space="0"/>
              <w:bottom w:val="single" w:color="auto" w:sz="4" w:space="0"/>
              <w:right w:val="single" w:color="auto" w:sz="4" w:space="0"/>
            </w:tcBorders>
            <w:noWrap w:val="0"/>
            <w:vAlign w:val="center"/>
          </w:tcPr>
          <w:p w14:paraId="06AAD196">
            <w:pPr>
              <w:spacing w:line="240" w:lineRule="exact"/>
              <w:jc w:val="center"/>
              <w:rPr>
                <w:rFonts w:hint="eastAsia"/>
                <w:b/>
                <w:color w:val="auto"/>
              </w:rPr>
            </w:pPr>
            <w:r>
              <w:rPr>
                <w:rFonts w:hint="eastAsia"/>
                <w:b/>
                <w:color w:val="auto"/>
              </w:rPr>
              <w:t>100%</w:t>
            </w:r>
          </w:p>
        </w:tc>
        <w:tc>
          <w:tcPr>
            <w:tcW w:w="711" w:type="pct"/>
            <w:tcBorders>
              <w:left w:val="single" w:color="auto" w:sz="4" w:space="0"/>
              <w:bottom w:val="single" w:color="auto" w:sz="4" w:space="0"/>
              <w:right w:val="single" w:color="auto" w:sz="4" w:space="0"/>
            </w:tcBorders>
            <w:noWrap w:val="0"/>
            <w:vAlign w:val="center"/>
          </w:tcPr>
          <w:p w14:paraId="4D81B566">
            <w:pPr>
              <w:spacing w:line="240" w:lineRule="exact"/>
              <w:jc w:val="center"/>
              <w:rPr>
                <w:rFonts w:hint="eastAsia"/>
                <w:b/>
                <w:color w:val="auto"/>
              </w:rPr>
            </w:pPr>
            <w:r>
              <w:rPr>
                <w:rFonts w:hint="eastAsia"/>
                <w:b/>
                <w:color w:val="auto"/>
              </w:rPr>
              <w:t>100%</w:t>
            </w:r>
          </w:p>
        </w:tc>
        <w:tc>
          <w:tcPr>
            <w:tcW w:w="649" w:type="pct"/>
            <w:tcBorders>
              <w:left w:val="single" w:color="auto" w:sz="4" w:space="0"/>
              <w:bottom w:val="single" w:color="auto" w:sz="4" w:space="0"/>
              <w:right w:val="single" w:color="auto" w:sz="4" w:space="0"/>
            </w:tcBorders>
            <w:noWrap w:val="0"/>
            <w:vAlign w:val="center"/>
          </w:tcPr>
          <w:p w14:paraId="04579749">
            <w:pPr>
              <w:spacing w:line="240" w:lineRule="exact"/>
              <w:jc w:val="center"/>
              <w:rPr>
                <w:rFonts w:hint="eastAsia" w:eastAsia="宋体"/>
                <w:b/>
                <w:color w:val="auto"/>
                <w:lang w:eastAsia="zh-CN"/>
              </w:rPr>
            </w:pPr>
          </w:p>
        </w:tc>
      </w:tr>
    </w:tbl>
    <w:p w14:paraId="14D2EDE2">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b/>
          <w:color w:val="auto"/>
          <w:sz w:val="24"/>
          <w:szCs w:val="24"/>
        </w:rPr>
      </w:pPr>
      <w:r>
        <w:rPr>
          <w:rFonts w:hint="eastAsia"/>
          <w:b/>
          <w:color w:val="auto"/>
          <w:sz w:val="24"/>
          <w:szCs w:val="24"/>
        </w:rPr>
        <w:t>（二）考核方式与评分标准</w:t>
      </w:r>
    </w:p>
    <w:p w14:paraId="1A6454BC">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1.考核方式</w:t>
      </w:r>
    </w:p>
    <w:p w14:paraId="7C0F3328">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0" w:firstLineChars="200"/>
        <w:textAlignment w:val="auto"/>
        <w:rPr>
          <w:color w:val="auto"/>
        </w:rPr>
      </w:pPr>
      <w:r>
        <w:rPr>
          <w:color w:val="auto"/>
          <w:kern w:val="2"/>
          <w:sz w:val="21"/>
          <w:szCs w:val="21"/>
          <w:lang w:val="en-US" w:eastAsia="zh-CN" w:bidi="ar-SA"/>
        </w:rPr>
        <w:t>期末考查采用2-3人小组项目形式，学生需在教师指导下完成工程建模与科学计算可视化项目（含问题定义、模型建立、程序实现、结果分析、可视化表达及总结反思），提交5000-8000字报告及源代码、数据等支撑材料，重点评价综合应用能力、团队协作与学术规范意识。</w:t>
      </w:r>
    </w:p>
    <w:p w14:paraId="2721AB1D">
      <w:pPr>
        <w:keepNext w:val="0"/>
        <w:keepLines w:val="0"/>
        <w:pageBreakBefore w:val="0"/>
        <w:widowControl w:val="0"/>
        <w:tabs>
          <w:tab w:val="left" w:pos="1824"/>
        </w:tabs>
        <w:kinsoku/>
        <w:wordWrap/>
        <w:overflowPunct/>
        <w:topLinePunct w:val="0"/>
        <w:autoSpaceDE/>
        <w:autoSpaceDN/>
        <w:bidi w:val="0"/>
        <w:adjustRightInd/>
        <w:snapToGrid/>
        <w:spacing w:line="300" w:lineRule="auto"/>
        <w:ind w:firstLine="422" w:firstLineChars="200"/>
        <w:textAlignment w:val="auto"/>
        <w:rPr>
          <w:rFonts w:hint="eastAsia"/>
          <w:b/>
          <w:color w:val="auto"/>
        </w:rPr>
      </w:pPr>
      <w:r>
        <w:rPr>
          <w:rFonts w:hint="eastAsia"/>
          <w:b/>
          <w:color w:val="auto"/>
        </w:rPr>
        <w:t>2.评分说明</w:t>
      </w:r>
    </w:p>
    <w:p w14:paraId="1A47D713">
      <w:pPr>
        <w:keepNext w:val="0"/>
        <w:keepLines w:val="0"/>
        <w:pageBreakBefore w:val="0"/>
        <w:widowControl w:val="0"/>
        <w:tabs>
          <w:tab w:val="left" w:pos="1824"/>
        </w:tabs>
        <w:kinsoku/>
        <w:wordWrap/>
        <w:overflowPunct/>
        <w:topLinePunct w:val="0"/>
        <w:autoSpaceDE/>
        <w:autoSpaceDN/>
        <w:bidi w:val="0"/>
        <w:adjustRightInd/>
        <w:snapToGrid/>
        <w:spacing w:line="400" w:lineRule="exact"/>
        <w:ind w:firstLine="420" w:firstLineChars="200"/>
        <w:textAlignment w:val="auto"/>
        <w:rPr>
          <w:rFonts w:hint="eastAsia" w:eastAsia="宋体"/>
          <w:color w:val="auto"/>
          <w:kern w:val="2"/>
          <w:sz w:val="21"/>
          <w:szCs w:val="21"/>
          <w:lang w:val="en-US" w:eastAsia="zh-CN" w:bidi="ar-SA"/>
        </w:rPr>
      </w:pPr>
      <w:r>
        <w:rPr>
          <w:color w:val="auto"/>
          <w:kern w:val="2"/>
          <w:sz w:val="21"/>
          <w:szCs w:val="21"/>
          <w:lang w:val="en-US" w:eastAsia="zh-CN" w:bidi="ar-SA"/>
        </w:rPr>
        <w:t>考核内容包含5部分：课程导论与工程建模思维、Python编程基础与计算逻辑、科学计算核心与数据处理、数据可视化设计与表达、综合建模与前沿工具应用。考核方式包括3种：平时表现、课程作业、期末考查，每一种均折合成百分制记录。最终成绩100%=平时表现20%＋课程作业20%＋期末考查60%。</w:t>
      </w:r>
    </w:p>
    <w:p w14:paraId="78FACD7F">
      <w:pPr>
        <w:tabs>
          <w:tab w:val="left" w:pos="1824"/>
          <w:tab w:val="left" w:pos="5986"/>
        </w:tabs>
        <w:spacing w:line="300" w:lineRule="auto"/>
        <w:ind w:firstLine="316" w:firstLineChars="150"/>
        <w:rPr>
          <w:rFonts w:hint="eastAsia" w:eastAsia="宋体"/>
          <w:b/>
          <w:color w:val="auto"/>
          <w:lang w:eastAsia="zh-CN"/>
        </w:rPr>
      </w:pPr>
      <w:r>
        <w:rPr>
          <w:rFonts w:hint="eastAsia"/>
          <w:b/>
          <w:color w:val="auto"/>
        </w:rPr>
        <w:t>3.评分标准分项说明</w:t>
      </w:r>
      <w:r>
        <w:rPr>
          <w:rFonts w:hint="eastAsia"/>
          <w:b/>
          <w:color w:val="auto"/>
          <w:lang w:eastAsia="zh-CN"/>
        </w:rPr>
        <w:tab/>
      </w:r>
    </w:p>
    <w:p w14:paraId="69F0DD8C">
      <w:pPr>
        <w:tabs>
          <w:tab w:val="left" w:pos="1824"/>
        </w:tabs>
        <w:spacing w:line="300" w:lineRule="auto"/>
        <w:ind w:firstLine="316" w:firstLineChars="150"/>
        <w:rPr>
          <w:rFonts w:hint="eastAsia"/>
          <w:b/>
          <w:color w:val="auto"/>
        </w:rPr>
      </w:pPr>
      <w:r>
        <w:rPr>
          <w:rFonts w:hint="eastAsia"/>
          <w:b/>
          <w:color w:val="auto"/>
        </w:rPr>
        <w:t>（1）平时表现评分标准</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gridCol w:w="1163"/>
        <w:gridCol w:w="6964"/>
      </w:tblGrid>
      <w:tr w14:paraId="0C11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624" w:type="pct"/>
            <w:tcBorders>
              <w:top w:val="single" w:color="auto" w:sz="4" w:space="0"/>
            </w:tcBorders>
            <w:noWrap w:val="0"/>
            <w:vAlign w:val="center"/>
          </w:tcPr>
          <w:p w14:paraId="4BD9087E">
            <w:pPr>
              <w:jc w:val="center"/>
              <w:rPr>
                <w:rFonts w:hint="eastAsia" w:eastAsia="宋体"/>
                <w:b/>
                <w:color w:val="auto"/>
                <w:lang w:eastAsia="zh-CN"/>
              </w:rPr>
            </w:pPr>
            <w:r>
              <w:rPr>
                <w:b/>
                <w:color w:val="auto"/>
              </w:rPr>
              <w:t>考核</w:t>
            </w:r>
            <w:r>
              <w:rPr>
                <w:rFonts w:hint="eastAsia"/>
                <w:b/>
                <w:color w:val="auto"/>
                <w:lang w:val="en-US" w:eastAsia="zh-CN"/>
              </w:rPr>
              <w:t>内容</w:t>
            </w:r>
          </w:p>
        </w:tc>
        <w:tc>
          <w:tcPr>
            <w:tcW w:w="626" w:type="pct"/>
            <w:tcBorders>
              <w:top w:val="single" w:color="auto" w:sz="4" w:space="0"/>
            </w:tcBorders>
            <w:noWrap w:val="0"/>
            <w:vAlign w:val="center"/>
          </w:tcPr>
          <w:p w14:paraId="19D2ED29">
            <w:pPr>
              <w:jc w:val="center"/>
              <w:rPr>
                <w:b/>
                <w:color w:val="auto"/>
              </w:rPr>
            </w:pPr>
            <w:r>
              <w:rPr>
                <w:b/>
                <w:color w:val="auto"/>
              </w:rPr>
              <w:t>成绩占比</w:t>
            </w:r>
          </w:p>
        </w:tc>
        <w:tc>
          <w:tcPr>
            <w:tcW w:w="3749" w:type="pct"/>
            <w:tcBorders>
              <w:top w:val="single" w:color="auto" w:sz="4" w:space="0"/>
            </w:tcBorders>
            <w:noWrap w:val="0"/>
            <w:vAlign w:val="center"/>
          </w:tcPr>
          <w:p w14:paraId="29D34B98">
            <w:pPr>
              <w:jc w:val="center"/>
              <w:rPr>
                <w:color w:val="auto"/>
              </w:rPr>
            </w:pPr>
            <w:r>
              <w:rPr>
                <w:b/>
                <w:color w:val="auto"/>
              </w:rPr>
              <w:t>评分标准</w:t>
            </w:r>
          </w:p>
        </w:tc>
      </w:tr>
      <w:tr w14:paraId="2640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624" w:type="pct"/>
            <w:tcBorders>
              <w:top w:val="single" w:color="auto" w:sz="4" w:space="0"/>
            </w:tcBorders>
            <w:noWrap w:val="0"/>
            <w:vAlign w:val="center"/>
          </w:tcPr>
          <w:p w14:paraId="6FD9997B">
            <w:pPr>
              <w:spacing w:line="200" w:lineRule="exact"/>
              <w:jc w:val="center"/>
              <w:rPr>
                <w:bCs/>
                <w:color w:val="auto"/>
                <w:sz w:val="18"/>
                <w:szCs w:val="18"/>
              </w:rPr>
            </w:pPr>
            <w:r>
              <w:rPr>
                <w:bCs/>
                <w:color w:val="auto"/>
                <w:sz w:val="18"/>
                <w:szCs w:val="18"/>
              </w:rPr>
              <w:t>考勤</w:t>
            </w:r>
          </w:p>
        </w:tc>
        <w:tc>
          <w:tcPr>
            <w:tcW w:w="626" w:type="pct"/>
            <w:tcBorders>
              <w:top w:val="single" w:color="auto" w:sz="4" w:space="0"/>
            </w:tcBorders>
            <w:noWrap w:val="0"/>
            <w:vAlign w:val="center"/>
          </w:tcPr>
          <w:p w14:paraId="198472FE">
            <w:pPr>
              <w:spacing w:line="200" w:lineRule="exact"/>
              <w:jc w:val="center"/>
              <w:rPr>
                <w:bCs/>
                <w:color w:val="auto"/>
                <w:sz w:val="18"/>
                <w:szCs w:val="18"/>
              </w:rPr>
            </w:pPr>
            <w:r>
              <w:rPr>
                <w:rFonts w:hint="eastAsia"/>
                <w:bCs/>
                <w:color w:val="auto"/>
                <w:sz w:val="18"/>
                <w:szCs w:val="18"/>
                <w:lang w:val="en-US" w:eastAsia="zh-CN"/>
              </w:rPr>
              <w:t>4</w:t>
            </w:r>
            <w:r>
              <w:rPr>
                <w:bCs/>
                <w:color w:val="auto"/>
                <w:sz w:val="18"/>
                <w:szCs w:val="18"/>
              </w:rPr>
              <w:t>0%</w:t>
            </w:r>
          </w:p>
        </w:tc>
        <w:tc>
          <w:tcPr>
            <w:tcW w:w="3749" w:type="pct"/>
            <w:tcBorders>
              <w:top w:val="single" w:color="auto" w:sz="4" w:space="0"/>
            </w:tcBorders>
            <w:noWrap w:val="0"/>
            <w:vAlign w:val="center"/>
          </w:tcPr>
          <w:p w14:paraId="7F2E222B">
            <w:pPr>
              <w:spacing w:line="200" w:lineRule="exact"/>
              <w:rPr>
                <w:bCs/>
                <w:color w:val="auto"/>
                <w:sz w:val="18"/>
                <w:szCs w:val="18"/>
              </w:rPr>
            </w:pPr>
            <w:r>
              <w:rPr>
                <w:bCs/>
                <w:color w:val="auto"/>
                <w:sz w:val="18"/>
                <w:szCs w:val="18"/>
              </w:rPr>
              <w:t>百分制，起评分100分，旷课一次扣10分，迟到一次扣5分，早退一次扣5分。注：按照《沧州交通学院学生课堂管理规定》，旷课总学时达课程总学时1/3者，取消考试资格。</w:t>
            </w:r>
          </w:p>
        </w:tc>
      </w:tr>
      <w:tr w14:paraId="15C75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trPr>
        <w:tc>
          <w:tcPr>
            <w:tcW w:w="624" w:type="pct"/>
            <w:noWrap w:val="0"/>
            <w:vAlign w:val="center"/>
          </w:tcPr>
          <w:p w14:paraId="1699A948">
            <w:pPr>
              <w:widowControl/>
              <w:snapToGrid w:val="0"/>
              <w:spacing w:line="200" w:lineRule="exact"/>
              <w:jc w:val="center"/>
              <w:rPr>
                <w:color w:val="auto"/>
                <w:sz w:val="18"/>
                <w:szCs w:val="18"/>
              </w:rPr>
            </w:pPr>
            <w:r>
              <w:rPr>
                <w:color w:val="auto"/>
                <w:sz w:val="18"/>
                <w:szCs w:val="18"/>
              </w:rPr>
              <w:t>课堂表现</w:t>
            </w:r>
          </w:p>
        </w:tc>
        <w:tc>
          <w:tcPr>
            <w:tcW w:w="626" w:type="pct"/>
            <w:noWrap w:val="0"/>
            <w:vAlign w:val="center"/>
          </w:tcPr>
          <w:p w14:paraId="0E3880C8">
            <w:pPr>
              <w:widowControl/>
              <w:snapToGrid w:val="0"/>
              <w:spacing w:line="200" w:lineRule="exact"/>
              <w:jc w:val="center"/>
              <w:rPr>
                <w:color w:val="auto"/>
                <w:sz w:val="18"/>
                <w:szCs w:val="18"/>
              </w:rPr>
            </w:pPr>
            <w:r>
              <w:rPr>
                <w:rFonts w:hint="eastAsia"/>
                <w:color w:val="auto"/>
                <w:sz w:val="18"/>
                <w:szCs w:val="18"/>
                <w:lang w:val="en-US" w:eastAsia="zh-CN"/>
              </w:rPr>
              <w:t>6</w:t>
            </w:r>
            <w:r>
              <w:rPr>
                <w:color w:val="auto"/>
                <w:sz w:val="18"/>
                <w:szCs w:val="18"/>
              </w:rPr>
              <w:t>0%</w:t>
            </w:r>
          </w:p>
        </w:tc>
        <w:tc>
          <w:tcPr>
            <w:tcW w:w="3749" w:type="pct"/>
            <w:noWrap w:val="0"/>
            <w:vAlign w:val="center"/>
          </w:tcPr>
          <w:p w14:paraId="7C5138ED">
            <w:pPr>
              <w:spacing w:line="200" w:lineRule="exact"/>
              <w:rPr>
                <w:rFonts w:hint="default" w:ascii="Times New Roman" w:hAnsi="Times New Roman" w:eastAsia="宋体" w:cs="Times New Roman"/>
                <w:bCs/>
                <w:color w:val="auto"/>
                <w:sz w:val="18"/>
                <w:szCs w:val="18"/>
                <w:lang w:val="en-US" w:eastAsia="zh-CN"/>
              </w:rPr>
            </w:pPr>
            <w:r>
              <w:rPr>
                <w:rFonts w:hint="default" w:ascii="Times New Roman" w:hAnsi="Times New Roman" w:eastAsia="宋体" w:cs="Times New Roman"/>
                <w:bCs/>
                <w:color w:val="auto"/>
                <w:sz w:val="18"/>
                <w:szCs w:val="18"/>
                <w:lang w:val="en-US" w:eastAsia="zh-CN"/>
              </w:rPr>
              <w:t>对于在课堂玩手机、吃东西、聊天、大声喧哗等扰乱课堂</w:t>
            </w:r>
            <w:r>
              <w:rPr>
                <w:rFonts w:hint="eastAsia" w:ascii="Times New Roman" w:hAnsi="Times New Roman" w:eastAsia="宋体" w:cs="Times New Roman"/>
                <w:bCs/>
                <w:color w:val="auto"/>
                <w:sz w:val="18"/>
                <w:szCs w:val="18"/>
                <w:lang w:val="en-US" w:eastAsia="zh-CN"/>
              </w:rPr>
              <w:t>纪律</w:t>
            </w:r>
            <w:r>
              <w:rPr>
                <w:rFonts w:hint="default" w:ascii="Times New Roman" w:hAnsi="Times New Roman" w:eastAsia="宋体" w:cs="Times New Roman"/>
                <w:bCs/>
                <w:color w:val="auto"/>
                <w:sz w:val="18"/>
                <w:szCs w:val="18"/>
                <w:lang w:val="en-US" w:eastAsia="zh-CN"/>
              </w:rPr>
              <w:t>的行为，酌情扣减5-10分/次；</w:t>
            </w:r>
          </w:p>
          <w:p w14:paraId="53687E63">
            <w:pPr>
              <w:spacing w:line="200" w:lineRule="exact"/>
              <w:rPr>
                <w:rFonts w:hint="eastAsia" w:ascii="Times New Roman" w:hAnsi="Times New Roman" w:eastAsia="宋体" w:cs="Times New Roman"/>
                <w:bCs/>
                <w:color w:val="auto"/>
                <w:sz w:val="18"/>
                <w:szCs w:val="18"/>
                <w:lang w:val="en-US" w:eastAsia="zh-CN"/>
              </w:rPr>
            </w:pPr>
            <w:r>
              <w:rPr>
                <w:rFonts w:hint="default" w:ascii="Times New Roman" w:hAnsi="Times New Roman" w:eastAsia="宋体" w:cs="Times New Roman"/>
                <w:bCs/>
                <w:color w:val="auto"/>
                <w:sz w:val="18"/>
                <w:szCs w:val="18"/>
                <w:lang w:val="en-US" w:eastAsia="zh-CN"/>
              </w:rPr>
              <w:t>对于在课堂打架、破坏公物、辱骂师生等严重违反课堂纪律的行为，将上报学院予以惩戒的同时，课堂表现按0分记录</w:t>
            </w:r>
            <w:r>
              <w:rPr>
                <w:rFonts w:hint="eastAsia" w:ascii="Times New Roman" w:hAnsi="Times New Roman" w:eastAsia="宋体" w:cs="Times New Roman"/>
                <w:bCs/>
                <w:color w:val="auto"/>
                <w:sz w:val="18"/>
                <w:szCs w:val="18"/>
                <w:lang w:val="en-US" w:eastAsia="zh-CN"/>
              </w:rPr>
              <w:t>；</w:t>
            </w:r>
          </w:p>
          <w:p w14:paraId="4B90AEE4">
            <w:pPr>
              <w:spacing w:line="200" w:lineRule="exact"/>
              <w:rPr>
                <w:color w:val="auto"/>
                <w:sz w:val="18"/>
                <w:szCs w:val="18"/>
              </w:rPr>
            </w:pPr>
            <w:r>
              <w:rPr>
                <w:rFonts w:hint="eastAsia" w:ascii="Times New Roman" w:hAnsi="Times New Roman" w:eastAsia="宋体" w:cs="Times New Roman"/>
                <w:bCs/>
                <w:color w:val="auto"/>
                <w:sz w:val="18"/>
                <w:szCs w:val="18"/>
                <w:lang w:val="en-US" w:eastAsia="zh-CN"/>
              </w:rPr>
              <w:t>课堂表现的起评分为80分，根据听课状态、回答问题和课堂练习情况，每次酌情加减分，满100分封顶。</w:t>
            </w:r>
          </w:p>
        </w:tc>
      </w:tr>
      <w:tr w14:paraId="6D58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24" w:type="pct"/>
            <w:noWrap w:val="0"/>
            <w:vAlign w:val="center"/>
          </w:tcPr>
          <w:p w14:paraId="2A167923">
            <w:pPr>
              <w:widowControl/>
              <w:snapToGrid w:val="0"/>
              <w:spacing w:line="240" w:lineRule="exact"/>
              <w:jc w:val="center"/>
              <w:rPr>
                <w:color w:val="auto"/>
                <w:sz w:val="18"/>
                <w:szCs w:val="18"/>
              </w:rPr>
            </w:pPr>
            <w:r>
              <w:rPr>
                <w:b/>
                <w:color w:val="auto"/>
              </w:rPr>
              <w:t>合计</w:t>
            </w:r>
          </w:p>
        </w:tc>
        <w:tc>
          <w:tcPr>
            <w:tcW w:w="626" w:type="pct"/>
            <w:noWrap w:val="0"/>
            <w:vAlign w:val="center"/>
          </w:tcPr>
          <w:p w14:paraId="0933DD65">
            <w:pPr>
              <w:widowControl/>
              <w:snapToGrid w:val="0"/>
              <w:spacing w:line="240" w:lineRule="exact"/>
              <w:jc w:val="center"/>
              <w:rPr>
                <w:color w:val="auto"/>
                <w:sz w:val="18"/>
                <w:szCs w:val="18"/>
              </w:rPr>
            </w:pPr>
            <w:r>
              <w:rPr>
                <w:b/>
                <w:color w:val="auto"/>
              </w:rPr>
              <w:t>100%</w:t>
            </w:r>
          </w:p>
        </w:tc>
        <w:tc>
          <w:tcPr>
            <w:tcW w:w="3749" w:type="pct"/>
            <w:noWrap w:val="0"/>
            <w:vAlign w:val="center"/>
          </w:tcPr>
          <w:p w14:paraId="47A8AA93">
            <w:pPr>
              <w:spacing w:line="240" w:lineRule="exact"/>
              <w:rPr>
                <w:color w:val="auto"/>
                <w:sz w:val="18"/>
                <w:szCs w:val="18"/>
              </w:rPr>
            </w:pPr>
          </w:p>
        </w:tc>
      </w:tr>
    </w:tbl>
    <w:p w14:paraId="69A77341">
      <w:pPr>
        <w:tabs>
          <w:tab w:val="left" w:pos="1824"/>
        </w:tabs>
        <w:spacing w:line="300" w:lineRule="auto"/>
        <w:ind w:firstLine="315" w:firstLineChars="150"/>
        <w:rPr>
          <w:rFonts w:hint="eastAsia"/>
          <w:bCs/>
          <w:color w:val="auto"/>
        </w:rPr>
      </w:pPr>
    </w:p>
    <w:p w14:paraId="3A09261D">
      <w:pPr>
        <w:tabs>
          <w:tab w:val="left" w:pos="1824"/>
        </w:tabs>
        <w:spacing w:line="300" w:lineRule="auto"/>
        <w:ind w:firstLine="316" w:firstLineChars="150"/>
        <w:rPr>
          <w:b/>
          <w:color w:val="auto"/>
        </w:rPr>
      </w:pPr>
      <w:r>
        <w:rPr>
          <w:rFonts w:hint="eastAsia"/>
          <w:b/>
          <w:color w:val="auto"/>
        </w:rPr>
        <w:t>（2）课程作业评分标准</w:t>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7"/>
        <w:gridCol w:w="1249"/>
        <w:gridCol w:w="5467"/>
        <w:gridCol w:w="1143"/>
      </w:tblGrid>
      <w:tr w14:paraId="1A898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noWrap w:val="0"/>
            <w:tcMar>
              <w:left w:w="108" w:type="dxa"/>
              <w:right w:w="108" w:type="dxa"/>
            </w:tcMar>
            <w:vAlign w:val="center"/>
          </w:tcPr>
          <w:p w14:paraId="11C1919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imes New Roman" w:eastAsia="宋体"/>
                <w:b/>
                <w:bCs/>
                <w:color w:val="auto"/>
                <w:kern w:val="2"/>
                <w:sz w:val="21"/>
                <w:szCs w:val="21"/>
                <w:lang w:val="en-US" w:eastAsia="zh-CN" w:bidi="ar-SA"/>
              </w:rPr>
            </w:pPr>
            <w:r>
              <w:rPr>
                <w:rFonts w:hint="eastAsia"/>
                <w:b/>
                <w:color w:val="auto"/>
                <w:kern w:val="2"/>
                <w:sz w:val="21"/>
                <w:szCs w:val="21"/>
                <w:lang w:val="en-US" w:eastAsia="zh-CN" w:bidi="ar-SA"/>
              </w:rPr>
              <w:t>考核内容</w:t>
            </w:r>
          </w:p>
        </w:tc>
        <w:tc>
          <w:tcPr>
            <w:tcW w:w="1249" w:type="dxa"/>
            <w:noWrap w:val="0"/>
            <w:tcMar>
              <w:left w:w="108" w:type="dxa"/>
              <w:right w:w="108" w:type="dxa"/>
            </w:tcMar>
            <w:vAlign w:val="center"/>
          </w:tcPr>
          <w:p w14:paraId="126F46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imes New Roman" w:eastAsia="宋体"/>
                <w:b/>
                <w:bCs/>
                <w:color w:val="auto"/>
                <w:kern w:val="2"/>
                <w:sz w:val="21"/>
                <w:szCs w:val="21"/>
                <w:lang w:val="en-US" w:eastAsia="zh-CN" w:bidi="ar-SA"/>
              </w:rPr>
            </w:pPr>
            <w:r>
              <w:rPr>
                <w:rFonts w:hint="eastAsia"/>
                <w:b/>
                <w:color w:val="auto"/>
                <w:kern w:val="2"/>
                <w:sz w:val="21"/>
                <w:szCs w:val="21"/>
                <w:lang w:val="en-US" w:eastAsia="zh-CN" w:bidi="ar-SA"/>
              </w:rPr>
              <w:t>成绩占比</w:t>
            </w:r>
          </w:p>
        </w:tc>
        <w:tc>
          <w:tcPr>
            <w:tcW w:w="5467" w:type="dxa"/>
            <w:noWrap w:val="0"/>
            <w:tcMar>
              <w:left w:w="108" w:type="dxa"/>
              <w:right w:w="108" w:type="dxa"/>
            </w:tcMar>
            <w:vAlign w:val="center"/>
          </w:tcPr>
          <w:p w14:paraId="50AE7A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imes New Roman" w:eastAsia="宋体"/>
                <w:b/>
                <w:bCs/>
                <w:color w:val="auto"/>
                <w:kern w:val="2"/>
                <w:sz w:val="21"/>
                <w:szCs w:val="21"/>
                <w:lang w:val="en-US" w:eastAsia="zh-CN" w:bidi="ar-SA"/>
              </w:rPr>
            </w:pPr>
            <w:r>
              <w:rPr>
                <w:rFonts w:hint="eastAsia"/>
                <w:b/>
                <w:color w:val="auto"/>
                <w:kern w:val="2"/>
                <w:sz w:val="21"/>
                <w:szCs w:val="21"/>
                <w:lang w:val="en-US" w:eastAsia="zh-CN" w:bidi="ar-SA"/>
              </w:rPr>
              <w:t>考核目标</w:t>
            </w:r>
          </w:p>
        </w:tc>
        <w:tc>
          <w:tcPr>
            <w:tcW w:w="1143" w:type="dxa"/>
            <w:noWrap w:val="0"/>
            <w:tcMar>
              <w:left w:w="108" w:type="dxa"/>
              <w:right w:w="108" w:type="dxa"/>
            </w:tcMar>
            <w:vAlign w:val="center"/>
          </w:tcPr>
          <w:p w14:paraId="45C64B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imes New Roman" w:eastAsia="宋体"/>
                <w:b/>
                <w:bCs/>
                <w:color w:val="auto"/>
                <w:kern w:val="2"/>
                <w:sz w:val="21"/>
                <w:szCs w:val="21"/>
                <w:lang w:val="en-US" w:eastAsia="zh-CN" w:bidi="ar-SA"/>
              </w:rPr>
            </w:pPr>
            <w:r>
              <w:rPr>
                <w:rFonts w:hint="eastAsia"/>
                <w:b/>
                <w:color w:val="auto"/>
                <w:kern w:val="2"/>
                <w:sz w:val="21"/>
                <w:szCs w:val="21"/>
                <w:lang w:val="en-US" w:eastAsia="zh-CN" w:bidi="ar-SA"/>
              </w:rPr>
              <w:t>课程目标</w:t>
            </w:r>
          </w:p>
        </w:tc>
      </w:tr>
      <w:tr w14:paraId="1E8A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6C104E80">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eastAsia"/>
                <w:b/>
                <w:bCs w:val="0"/>
                <w:color w:val="auto"/>
                <w:kern w:val="2"/>
                <w:sz w:val="18"/>
                <w:szCs w:val="18"/>
                <w:lang w:val="en-US" w:eastAsia="zh-CN" w:bidi="ar-SA"/>
              </w:rPr>
              <w:t>第一单元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课程导论与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工程建模思维</w:t>
            </w:r>
          </w:p>
        </w:tc>
        <w:tc>
          <w:tcPr>
            <w:tcW w:w="1249" w:type="dxa"/>
            <w:noWrap w:val="0"/>
            <w:tcMar>
              <w:left w:w="108" w:type="dxa"/>
              <w:right w:w="108" w:type="dxa"/>
            </w:tcMar>
            <w:vAlign w:val="center"/>
          </w:tcPr>
          <w:p w14:paraId="5F44FDC0">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10%</w:t>
            </w:r>
          </w:p>
        </w:tc>
        <w:tc>
          <w:tcPr>
            <w:tcW w:w="5467" w:type="dxa"/>
            <w:noWrap w:val="0"/>
            <w:tcMar>
              <w:left w:w="108" w:type="dxa"/>
              <w:right w:w="108" w:type="dxa"/>
            </w:tcMar>
            <w:vAlign w:val="center"/>
          </w:tcPr>
          <w:p w14:paraId="2FEAE847">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完成学习通单元测</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2. 知识点覆盖：工程建模范式、课程规范、学术诚信、数据伦理</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3. 合格标准：正确率≥70%，可补考1次取最高分</w:t>
            </w:r>
          </w:p>
        </w:tc>
        <w:tc>
          <w:tcPr>
            <w:tcW w:w="1143" w:type="dxa"/>
            <w:noWrap w:val="0"/>
            <w:tcMar>
              <w:left w:w="108" w:type="dxa"/>
              <w:right w:w="108" w:type="dxa"/>
            </w:tcMar>
            <w:vAlign w:val="center"/>
          </w:tcPr>
          <w:p w14:paraId="0A443A67">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1.1</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3.1</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3.3</w:t>
            </w:r>
          </w:p>
        </w:tc>
      </w:tr>
      <w:tr w14:paraId="35EA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4F67695E">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eastAsia"/>
                <w:b/>
                <w:bCs w:val="0"/>
                <w:color w:val="auto"/>
                <w:kern w:val="2"/>
                <w:sz w:val="18"/>
                <w:szCs w:val="18"/>
                <w:lang w:val="en-US" w:eastAsia="zh-CN" w:bidi="ar-SA"/>
              </w:rPr>
              <w:t>第二单元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Python 编程基础</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与计算逻辑</w:t>
            </w:r>
          </w:p>
        </w:tc>
        <w:tc>
          <w:tcPr>
            <w:tcW w:w="1249" w:type="dxa"/>
            <w:noWrap w:val="0"/>
            <w:tcMar>
              <w:left w:w="108" w:type="dxa"/>
              <w:right w:w="108" w:type="dxa"/>
            </w:tcMar>
            <w:vAlign w:val="center"/>
          </w:tcPr>
          <w:p w14:paraId="2E69541F">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20%</w:t>
            </w:r>
          </w:p>
        </w:tc>
        <w:tc>
          <w:tcPr>
            <w:tcW w:w="5467" w:type="dxa"/>
            <w:noWrap w:val="0"/>
            <w:tcMar>
              <w:left w:w="108" w:type="dxa"/>
              <w:right w:w="108" w:type="dxa"/>
            </w:tcMar>
            <w:vAlign w:val="center"/>
          </w:tcPr>
          <w:p w14:paraId="00313CC1">
            <w:pPr>
              <w:snapToGrid w:val="0"/>
              <w:spacing w:line="240" w:lineRule="auto"/>
              <w:ind w:left="0" w:leftChars="0" w:right="0" w:rightChars="0" w:firstLine="0" w:firstLineChars="0"/>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完成学习通单元测验</w:t>
            </w:r>
          </w:p>
          <w:p w14:paraId="568576FB">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 知识点覆盖：Python语言特性、数据类型、流程控制、函数封装、模块化编程</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3. 合格标准：正确率≥75%，可补考1次取最高分</w:t>
            </w:r>
          </w:p>
        </w:tc>
        <w:tc>
          <w:tcPr>
            <w:tcW w:w="1143" w:type="dxa"/>
            <w:noWrap w:val="0"/>
            <w:tcMar>
              <w:left w:w="108" w:type="dxa"/>
              <w:right w:w="108" w:type="dxa"/>
            </w:tcMar>
            <w:vAlign w:val="center"/>
          </w:tcPr>
          <w:p w14:paraId="2055E842">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1.2</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2.4</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3.5</w:t>
            </w:r>
          </w:p>
        </w:tc>
      </w:tr>
      <w:tr w14:paraId="4E49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4EF87846">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eastAsia"/>
                <w:b/>
                <w:bCs w:val="0"/>
                <w:color w:val="auto"/>
                <w:kern w:val="2"/>
                <w:sz w:val="18"/>
                <w:szCs w:val="18"/>
                <w:lang w:val="en-US" w:eastAsia="zh-CN" w:bidi="ar-SA"/>
              </w:rPr>
              <w:t>第三单元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科学计算核心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与数据处理</w:t>
            </w:r>
          </w:p>
        </w:tc>
        <w:tc>
          <w:tcPr>
            <w:tcW w:w="1249" w:type="dxa"/>
            <w:noWrap w:val="0"/>
            <w:tcMar>
              <w:left w:w="108" w:type="dxa"/>
              <w:right w:w="108" w:type="dxa"/>
            </w:tcMar>
            <w:vAlign w:val="center"/>
          </w:tcPr>
          <w:p w14:paraId="57A2BA2D">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30%</w:t>
            </w:r>
          </w:p>
        </w:tc>
        <w:tc>
          <w:tcPr>
            <w:tcW w:w="5467" w:type="dxa"/>
            <w:noWrap w:val="0"/>
            <w:tcMar>
              <w:left w:w="108" w:type="dxa"/>
              <w:right w:w="108" w:type="dxa"/>
            </w:tcMar>
            <w:vAlign w:val="center"/>
          </w:tcPr>
          <w:p w14:paraId="304A62DA">
            <w:pPr>
              <w:numPr>
                <w:ilvl w:val="0"/>
                <w:numId w:val="1"/>
              </w:numPr>
              <w:snapToGrid w:val="0"/>
              <w:spacing w:line="240" w:lineRule="auto"/>
              <w:ind w:left="0" w:leftChars="0" w:right="0" w:rightChars="0" w:firstLine="0" w:firstLineChars="0"/>
              <w:jc w:val="center"/>
              <w:rPr>
                <w:rFonts w:hint="default" w:ascii="Times New Roman" w:hAnsi="Times New Roman" w:eastAsia="宋体" w:cs="Times New Roman"/>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完成学习通单元测验3</w:t>
            </w:r>
          </w:p>
          <w:p w14:paraId="072F7A2F">
            <w:pPr>
              <w:numPr>
                <w:ilvl w:val="0"/>
                <w:numId w:val="1"/>
              </w:num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 xml:space="preserve"> 知识点覆盖：NumPy数组操作、向量化运算、线性代数、Pandas数据清洗、缺失值处理、分组聚合</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3. 合格标准：正确率≥75%，可补考1次取最高分</w:t>
            </w:r>
          </w:p>
        </w:tc>
        <w:tc>
          <w:tcPr>
            <w:tcW w:w="1143" w:type="dxa"/>
            <w:noWrap w:val="0"/>
            <w:tcMar>
              <w:left w:w="108" w:type="dxa"/>
              <w:right w:w="108" w:type="dxa"/>
            </w:tcMar>
            <w:vAlign w:val="center"/>
          </w:tcPr>
          <w:p w14:paraId="53011183">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1.3</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2.2</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3.1</w:t>
            </w:r>
          </w:p>
        </w:tc>
      </w:tr>
      <w:tr w14:paraId="567B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607F73DA">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eastAsia"/>
                <w:b/>
                <w:bCs w:val="0"/>
                <w:color w:val="auto"/>
                <w:kern w:val="2"/>
                <w:sz w:val="18"/>
                <w:szCs w:val="18"/>
                <w:lang w:val="en-US" w:eastAsia="zh-CN" w:bidi="ar-SA"/>
              </w:rPr>
              <w:t>第四单元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数据可视化</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设计与表达</w:t>
            </w:r>
          </w:p>
        </w:tc>
        <w:tc>
          <w:tcPr>
            <w:tcW w:w="1249" w:type="dxa"/>
            <w:noWrap w:val="0"/>
            <w:tcMar>
              <w:left w:w="108" w:type="dxa"/>
              <w:right w:w="108" w:type="dxa"/>
            </w:tcMar>
            <w:vAlign w:val="center"/>
          </w:tcPr>
          <w:p w14:paraId="43FA0B50">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20%</w:t>
            </w:r>
          </w:p>
        </w:tc>
        <w:tc>
          <w:tcPr>
            <w:tcW w:w="5467" w:type="dxa"/>
            <w:noWrap w:val="0"/>
            <w:tcMar>
              <w:left w:w="108" w:type="dxa"/>
              <w:right w:w="108" w:type="dxa"/>
            </w:tcMar>
            <w:vAlign w:val="center"/>
          </w:tcPr>
          <w:p w14:paraId="1960379E">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完成学习通单元测验4</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2. 知识点覆盖：可视化原理、图表选择逻辑、Matplotlib绘图规范、子图布局、样式定制</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3. 合格标准：正确率≥75%，可补考1次取最高分</w:t>
            </w:r>
          </w:p>
        </w:tc>
        <w:tc>
          <w:tcPr>
            <w:tcW w:w="1143" w:type="dxa"/>
            <w:noWrap w:val="0"/>
            <w:tcMar>
              <w:left w:w="108" w:type="dxa"/>
              <w:right w:w="108" w:type="dxa"/>
            </w:tcMar>
            <w:vAlign w:val="center"/>
          </w:tcPr>
          <w:p w14:paraId="3AD0C101">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1.5</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2.3</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目标 3.3</w:t>
            </w:r>
          </w:p>
        </w:tc>
      </w:tr>
      <w:tr w14:paraId="1386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784F31AA">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eastAsia"/>
                <w:b/>
                <w:bCs w:val="0"/>
                <w:color w:val="auto"/>
                <w:kern w:val="2"/>
                <w:sz w:val="18"/>
                <w:szCs w:val="18"/>
                <w:lang w:val="en-US" w:eastAsia="zh-CN" w:bidi="ar-SA"/>
              </w:rPr>
              <w:t>第五单元</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综合建模与</w:t>
            </w:r>
            <w:r>
              <w:rPr>
                <w:rFonts w:hint="eastAsia"/>
                <w:b/>
                <w:bCs w:val="0"/>
                <w:color w:val="auto"/>
                <w:kern w:val="2"/>
                <w:sz w:val="18"/>
                <w:szCs w:val="18"/>
                <w:lang w:val="en-US" w:eastAsia="zh-CN" w:bidi="ar-SA"/>
              </w:rPr>
              <w:br w:type="textWrapping"/>
            </w:r>
            <w:r>
              <w:rPr>
                <w:rFonts w:hint="eastAsia"/>
                <w:b/>
                <w:bCs w:val="0"/>
                <w:color w:val="auto"/>
                <w:kern w:val="2"/>
                <w:sz w:val="18"/>
                <w:szCs w:val="18"/>
                <w:lang w:val="en-US" w:eastAsia="zh-CN" w:bidi="ar-SA"/>
              </w:rPr>
              <w:t>前沿工具应用</w:t>
            </w:r>
          </w:p>
        </w:tc>
        <w:tc>
          <w:tcPr>
            <w:tcW w:w="1249" w:type="dxa"/>
            <w:noWrap w:val="0"/>
            <w:tcMar>
              <w:left w:w="108" w:type="dxa"/>
              <w:right w:w="108" w:type="dxa"/>
            </w:tcMar>
            <w:vAlign w:val="center"/>
          </w:tcPr>
          <w:p w14:paraId="0C3DB5F7">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20%</w:t>
            </w:r>
          </w:p>
        </w:tc>
        <w:tc>
          <w:tcPr>
            <w:tcW w:w="5467" w:type="dxa"/>
            <w:noWrap w:val="0"/>
            <w:tcMar>
              <w:left w:w="108" w:type="dxa"/>
              <w:right w:w="108" w:type="dxa"/>
            </w:tcMar>
            <w:vAlign w:val="center"/>
          </w:tcPr>
          <w:p w14:paraId="04E517E0">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完成学习通单元测验5（30题）</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2. 知识点覆盖：SciPy科学计算库、综合建模流程、AI工具使用规范、新技术探索方法</w:t>
            </w:r>
            <w:r>
              <w:rPr>
                <w:rFonts w:hint="default" w:ascii="Times New Roman" w:hAnsi="Times New Roman" w:eastAsia="宋体" w:cs="Times New Roman"/>
                <w:color w:val="auto"/>
                <w:kern w:val="2"/>
                <w:sz w:val="18"/>
                <w:szCs w:val="18"/>
                <w:lang w:val="en-US" w:eastAsia="zh-CN" w:bidi="ar-SA"/>
              </w:rPr>
              <w:br w:type="textWrapping"/>
            </w:r>
            <w:r>
              <w:rPr>
                <w:rFonts w:hint="default" w:ascii="Times New Roman" w:hAnsi="Times New Roman" w:eastAsia="宋体" w:cs="Times New Roman"/>
                <w:color w:val="auto"/>
                <w:kern w:val="2"/>
                <w:sz w:val="18"/>
                <w:szCs w:val="18"/>
                <w:lang w:val="en-US" w:eastAsia="zh-CN" w:bidi="ar-SA"/>
              </w:rPr>
              <w:t>3. 合格标准：正确率≥70%，可补考1次取最高分</w:t>
            </w:r>
          </w:p>
        </w:tc>
        <w:tc>
          <w:tcPr>
            <w:tcW w:w="1143" w:type="dxa"/>
            <w:noWrap w:val="0"/>
            <w:tcMar>
              <w:left w:w="108" w:type="dxa"/>
              <w:right w:w="108" w:type="dxa"/>
            </w:tcMar>
            <w:vAlign w:val="center"/>
          </w:tcPr>
          <w:p w14:paraId="02E81A62">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1.6</w:t>
            </w:r>
          </w:p>
          <w:p w14:paraId="0FAEBEF4">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2.5</w:t>
            </w:r>
          </w:p>
          <w:p w14:paraId="6337DC9E">
            <w:pPr>
              <w:snapToGrid w:val="0"/>
              <w:spacing w:line="240" w:lineRule="auto"/>
              <w:ind w:left="0" w:leftChars="0" w:right="0" w:rightChars="0" w:firstLine="0" w:firstLineChars="0"/>
              <w:jc w:val="center"/>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 3.4</w:t>
            </w:r>
          </w:p>
        </w:tc>
      </w:tr>
      <w:tr w14:paraId="67A7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27" w:type="dxa"/>
            <w:noWrap w:val="0"/>
            <w:tcMar>
              <w:left w:w="108" w:type="dxa"/>
              <w:right w:w="108" w:type="dxa"/>
            </w:tcMar>
            <w:vAlign w:val="center"/>
          </w:tcPr>
          <w:p w14:paraId="6FD4AAF7">
            <w:pPr>
              <w:widowControl/>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color w:val="auto"/>
                <w:kern w:val="2"/>
                <w:sz w:val="21"/>
                <w:szCs w:val="21"/>
                <w:lang w:val="en-US" w:eastAsia="zh-CN" w:bidi="ar-SA"/>
              </w:rPr>
              <w:t>合计</w:t>
            </w:r>
          </w:p>
        </w:tc>
        <w:tc>
          <w:tcPr>
            <w:tcW w:w="1249" w:type="dxa"/>
            <w:noWrap w:val="0"/>
            <w:tcMar>
              <w:left w:w="108" w:type="dxa"/>
              <w:right w:w="108" w:type="dxa"/>
            </w:tcMar>
            <w:vAlign w:val="center"/>
          </w:tcPr>
          <w:p w14:paraId="3BE94360">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100%</w:t>
            </w:r>
          </w:p>
        </w:tc>
        <w:tc>
          <w:tcPr>
            <w:tcW w:w="5467" w:type="dxa"/>
            <w:noWrap w:val="0"/>
            <w:tcMar>
              <w:left w:w="108" w:type="dxa"/>
              <w:right w:w="108" w:type="dxa"/>
            </w:tcMar>
            <w:vAlign w:val="center"/>
          </w:tcPr>
          <w:p w14:paraId="3C1A2FAB">
            <w:pPr>
              <w:snapToGrid w:val="0"/>
              <w:spacing w:line="240" w:lineRule="auto"/>
              <w:ind w:left="0" w:leftChars="0" w:right="0" w:rightChars="0" w:firstLine="0" w:firstLineChars="0"/>
              <w:jc w:val="center"/>
              <w:rPr>
                <w:rFonts w:hint="eastAsia"/>
                <w:color w:val="auto"/>
                <w:kern w:val="2"/>
                <w:sz w:val="18"/>
                <w:szCs w:val="18"/>
                <w:lang w:val="en-US" w:eastAsia="zh-CN" w:bidi="ar-SA"/>
              </w:rPr>
            </w:pPr>
          </w:p>
        </w:tc>
        <w:tc>
          <w:tcPr>
            <w:tcW w:w="1143" w:type="dxa"/>
            <w:noWrap w:val="0"/>
            <w:tcMar>
              <w:left w:w="108" w:type="dxa"/>
              <w:right w:w="108" w:type="dxa"/>
            </w:tcMar>
            <w:vAlign w:val="center"/>
          </w:tcPr>
          <w:p w14:paraId="29104864"/>
        </w:tc>
      </w:tr>
    </w:tbl>
    <w:p w14:paraId="6A939F9B">
      <w:pPr>
        <w:tabs>
          <w:tab w:val="left" w:pos="1824"/>
        </w:tabs>
        <w:spacing w:line="300" w:lineRule="auto"/>
        <w:rPr>
          <w:rFonts w:hint="eastAsia"/>
          <w:b/>
          <w:color w:val="auto"/>
        </w:rPr>
      </w:pPr>
    </w:p>
    <w:p w14:paraId="4F4728F2">
      <w:pPr>
        <w:tabs>
          <w:tab w:val="left" w:pos="1824"/>
        </w:tabs>
        <w:spacing w:line="300" w:lineRule="auto"/>
        <w:ind w:firstLine="316" w:firstLineChars="150"/>
        <w:rPr>
          <w:b/>
          <w:color w:val="auto"/>
        </w:rPr>
      </w:pPr>
      <w:r>
        <w:rPr>
          <w:rFonts w:hint="eastAsia"/>
          <w:b/>
          <w:color w:val="auto"/>
        </w:rPr>
        <w:t>（</w:t>
      </w:r>
      <w:r>
        <w:rPr>
          <w:rFonts w:hint="eastAsia"/>
          <w:b/>
          <w:color w:val="auto"/>
          <w:lang w:val="en-US" w:eastAsia="zh-CN"/>
        </w:rPr>
        <w:t>3</w:t>
      </w:r>
      <w:r>
        <w:rPr>
          <w:rFonts w:hint="eastAsia"/>
          <w:b/>
          <w:color w:val="auto"/>
        </w:rPr>
        <w:t>）</w:t>
      </w:r>
      <w:r>
        <w:rPr>
          <w:rFonts w:hint="eastAsia"/>
          <w:b/>
          <w:color w:val="auto"/>
          <w:lang w:val="en-US" w:eastAsia="zh-CN"/>
        </w:rPr>
        <w:t>期末</w:t>
      </w:r>
      <w:r>
        <w:rPr>
          <w:rFonts w:hint="eastAsia"/>
          <w:b/>
          <w:color w:val="auto"/>
          <w:lang w:eastAsia="zh-CN"/>
        </w:rPr>
        <w:t>考查</w:t>
      </w:r>
      <w:r>
        <w:rPr>
          <w:rFonts w:hint="eastAsia"/>
          <w:b/>
          <w:color w:val="auto"/>
        </w:rPr>
        <w:t>评分标准</w:t>
      </w:r>
    </w:p>
    <w:p w14:paraId="6E6B355F">
      <w:pPr>
        <w:widowControl/>
        <w:snapToGrid w:val="0"/>
        <w:spacing w:before="156" w:beforeLines="50" w:after="156" w:afterLines="50"/>
        <w:ind w:firstLine="420" w:firstLineChars="200"/>
        <w:rPr>
          <w:rFonts w:hint="eastAsia" w:eastAsia="宋体"/>
          <w:lang w:eastAsia="zh-CN"/>
        </w:rPr>
      </w:pPr>
      <w:r>
        <w:rPr>
          <w:rFonts w:hint="eastAsia"/>
          <w:color w:val="auto"/>
          <w:kern w:val="2"/>
          <w:sz w:val="21"/>
          <w:szCs w:val="21"/>
          <w:lang w:val="en-US" w:eastAsia="zh-CN" w:bidi="ar-SA"/>
        </w:rPr>
        <w:t xml:space="preserve">期末考查以小组课程项目报告形式开展。学生 2 - 3 人一组，围绕工程建模、科学计算与可视化问题，可从教师提供题目中选，也可结合专业自主拟题，经教师审核通过后实施。项目需涵盖“问题定义—模型建立—程序实现—结果分析—可视化表达—总结反思”全流程。各小组提交 5000 - 8000 字规范化课程项目报告及支撑材料，如源代码、原始数据、处理结果图表、成员分工说明等，必要时组织汇报或答辩。期末考查重点评价学生运用 Python 及相关工具解决实际工程问题的综合能力、工程表达、团队协作和学术规范意识。成绩采用五级制，从选题与问题定义、建模思路与方法合理性等多方面综合评价。若出现未按要求提交完整报告及材料、报告内容与课程主题关联性弱、未提交关键数据或无法支撑结论、有学术不端行为、小组成员分工不明确且无合理解释等情况，期末考查成绩酌情降低或按不合格处理。 </w:t>
      </w:r>
    </w:p>
    <w:tbl>
      <w:tblPr>
        <w:tblStyle w:val="18"/>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240"/>
        <w:gridCol w:w="4860"/>
        <w:gridCol w:w="1769"/>
      </w:tblGrid>
      <w:tr w14:paraId="7B3C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tcBorders>
            <w:noWrap w:val="0"/>
            <w:tcMar>
              <w:left w:w="108" w:type="dxa"/>
              <w:right w:w="108" w:type="dxa"/>
            </w:tcMar>
            <w:vAlign w:val="center"/>
          </w:tcPr>
          <w:p w14:paraId="147079B8">
            <w:pPr>
              <w:snapToGrid w:val="0"/>
              <w:ind w:left="0" w:leftChars="0" w:right="0" w:rightChars="0" w:firstLine="0" w:firstLineChars="0"/>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考核内容</w:t>
            </w:r>
          </w:p>
        </w:tc>
        <w:tc>
          <w:tcPr>
            <w:tcW w:w="1240" w:type="dxa"/>
            <w:tcBorders>
              <w:top w:val="single" w:color="auto" w:sz="4" w:space="0"/>
            </w:tcBorders>
            <w:noWrap w:val="0"/>
            <w:tcMar>
              <w:left w:w="108" w:type="dxa"/>
              <w:right w:w="108" w:type="dxa"/>
            </w:tcMar>
            <w:vAlign w:val="center"/>
          </w:tcPr>
          <w:p w14:paraId="34BCCC66">
            <w:pPr>
              <w:snapToGrid w:val="0"/>
              <w:ind w:left="0" w:leftChars="0" w:right="0" w:rightChars="0" w:firstLine="0" w:firstLineChars="0"/>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成绩占比</w:t>
            </w:r>
          </w:p>
        </w:tc>
        <w:tc>
          <w:tcPr>
            <w:tcW w:w="4860" w:type="dxa"/>
            <w:tcBorders>
              <w:top w:val="single" w:color="auto" w:sz="4" w:space="0"/>
            </w:tcBorders>
            <w:noWrap w:val="0"/>
            <w:tcMar>
              <w:left w:w="108" w:type="dxa"/>
              <w:right w:w="108" w:type="dxa"/>
            </w:tcMar>
            <w:vAlign w:val="center"/>
          </w:tcPr>
          <w:p w14:paraId="180968C8">
            <w:pPr>
              <w:snapToGrid w:val="0"/>
              <w:ind w:left="0" w:leftChars="0" w:right="0" w:rightChars="0" w:firstLine="0" w:firstLineChars="0"/>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考核目标</w:t>
            </w:r>
          </w:p>
        </w:tc>
        <w:tc>
          <w:tcPr>
            <w:tcW w:w="1769" w:type="dxa"/>
            <w:tcBorders>
              <w:top w:val="single" w:color="auto" w:sz="4" w:space="0"/>
            </w:tcBorders>
            <w:noWrap w:val="0"/>
            <w:tcMar>
              <w:left w:w="108" w:type="dxa"/>
              <w:right w:w="108" w:type="dxa"/>
            </w:tcMar>
            <w:vAlign w:val="center"/>
          </w:tcPr>
          <w:p w14:paraId="1D079758">
            <w:pPr>
              <w:snapToGrid w:val="0"/>
              <w:ind w:left="0" w:leftChars="0" w:right="0" w:rightChars="0" w:firstLine="0" w:firstLineChars="0"/>
              <w:jc w:val="center"/>
              <w:rPr>
                <w:rFonts w:hint="eastAsia" w:eastAsia="宋体"/>
                <w:b/>
                <w:color w:val="auto"/>
                <w:kern w:val="2"/>
                <w:sz w:val="21"/>
                <w:szCs w:val="21"/>
                <w:lang w:val="en-US" w:eastAsia="zh-CN" w:bidi="ar-SA"/>
              </w:rPr>
            </w:pPr>
            <w:r>
              <w:rPr>
                <w:rFonts w:hint="eastAsia"/>
                <w:b/>
                <w:color w:val="auto"/>
                <w:kern w:val="2"/>
                <w:sz w:val="21"/>
                <w:szCs w:val="21"/>
                <w:lang w:val="en-US" w:eastAsia="zh-CN" w:bidi="ar-SA"/>
              </w:rPr>
              <w:t>课程目标</w:t>
            </w:r>
          </w:p>
        </w:tc>
      </w:tr>
      <w:tr w14:paraId="3BF7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7C41EBD6">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第一单元 课程导论与工程建模思维</w:t>
            </w:r>
          </w:p>
        </w:tc>
        <w:tc>
          <w:tcPr>
            <w:tcW w:w="1240" w:type="dxa"/>
            <w:noWrap w:val="0"/>
            <w:tcMar>
              <w:left w:w="108" w:type="dxa"/>
              <w:right w:w="108" w:type="dxa"/>
            </w:tcMar>
            <w:vAlign w:val="center"/>
          </w:tcPr>
          <w:p w14:paraId="5D61F745">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20%</w:t>
            </w:r>
          </w:p>
        </w:tc>
        <w:tc>
          <w:tcPr>
            <w:tcW w:w="4860" w:type="dxa"/>
            <w:noWrap w:val="0"/>
            <w:tcMar>
              <w:left w:w="108" w:type="dxa"/>
              <w:right w:w="108" w:type="dxa"/>
            </w:tcMar>
            <w:vAlign w:val="center"/>
          </w:tcPr>
          <w:p w14:paraId="12DB0044">
            <w:pPr>
              <w:snapToGrid w:val="0"/>
              <w:spacing w:line="240" w:lineRule="auto"/>
              <w:ind w:left="0" w:leftChars="0" w:right="0" w:rightChars="0" w:firstLine="0" w:firstLineChars="0"/>
              <w:jc w:val="right"/>
              <w:rPr>
                <w:color w:val="auto"/>
                <w:kern w:val="2"/>
                <w:sz w:val="18"/>
                <w:szCs w:val="18"/>
                <w:lang w:val="en-US" w:eastAsia="zh-CN" w:bidi="ar-SA"/>
              </w:rPr>
            </w:pPr>
            <w:r>
              <w:rPr>
                <w:rFonts w:hint="eastAsia" w:ascii="Times New Roman" w:hAnsi="Times New Roman" w:eastAsia="宋体" w:cs="Times New Roman"/>
                <w:color w:val="auto"/>
                <w:kern w:val="2"/>
                <w:sz w:val="18"/>
                <w:szCs w:val="18"/>
                <w:lang w:val="en-US" w:eastAsia="zh-CN" w:bidi="ar-SA"/>
              </w:rPr>
              <w:t xml:space="preserve">1. 课程项目报告需清晰说明所选工程问题的背景、意义与基本任务。2. 要体现工程建模基本范式，包括问题定义、合理假设、模型建立、求解分析与结果验证。3. 报告应体现学术诚信、数据真实性和基本工程伦理意识。 </w:t>
            </w:r>
          </w:p>
        </w:tc>
        <w:tc>
          <w:tcPr>
            <w:tcW w:w="1769" w:type="dxa"/>
            <w:noWrap w:val="0"/>
            <w:tcMar>
              <w:left w:w="108" w:type="dxa"/>
              <w:right w:w="108" w:type="dxa"/>
            </w:tcMar>
            <w:vAlign w:val="center"/>
          </w:tcPr>
          <w:p w14:paraId="64771921">
            <w:pPr>
              <w:snapToGrid w:val="0"/>
              <w:spacing w:line="240" w:lineRule="auto"/>
              <w:ind w:left="0" w:leftChars="0" w:right="0" w:rightChars="0" w:firstLine="0" w:firstLineChars="0"/>
              <w:jc w:val="lef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目标1.1；目标2.1；目标3.1</w:t>
            </w:r>
          </w:p>
        </w:tc>
      </w:tr>
      <w:tr w14:paraId="51A4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56A7DE81">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第二单元 Python 编程基础与计算逻辑</w:t>
            </w:r>
          </w:p>
        </w:tc>
        <w:tc>
          <w:tcPr>
            <w:tcW w:w="1240" w:type="dxa"/>
            <w:noWrap w:val="0"/>
            <w:tcMar>
              <w:left w:w="108" w:type="dxa"/>
              <w:right w:w="108" w:type="dxa"/>
            </w:tcMar>
            <w:vAlign w:val="center"/>
          </w:tcPr>
          <w:p w14:paraId="70774DC4">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10%</w:t>
            </w:r>
          </w:p>
        </w:tc>
        <w:tc>
          <w:tcPr>
            <w:tcW w:w="4860" w:type="dxa"/>
            <w:noWrap w:val="0"/>
            <w:tcMar>
              <w:left w:w="108" w:type="dxa"/>
              <w:right w:w="108" w:type="dxa"/>
            </w:tcMar>
            <w:vAlign w:val="center"/>
          </w:tcPr>
          <w:p w14:paraId="15927AA5">
            <w:pPr>
              <w:snapToGrid w:val="0"/>
              <w:spacing w:line="240" w:lineRule="auto"/>
              <w:ind w:left="0" w:leftChars="0" w:right="0" w:rightChars="0" w:firstLine="0" w:firstLineChars="0"/>
              <w:jc w:val="righ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能够运用 Python 基本语法、数据类型、流程控制、函数与模块化方法完成项目中的基础程序设计。 2. 程序结构较清晰，逻辑较完整，具有基本可读性与规范性。 3. 能够体现利用 Python 解决基础工程计算问题的能力。</w:t>
            </w:r>
          </w:p>
        </w:tc>
        <w:tc>
          <w:tcPr>
            <w:tcW w:w="1769" w:type="dxa"/>
            <w:noWrap w:val="0"/>
            <w:tcMar>
              <w:left w:w="108" w:type="dxa"/>
              <w:right w:w="108" w:type="dxa"/>
            </w:tcMar>
            <w:vAlign w:val="center"/>
          </w:tcPr>
          <w:p w14:paraId="7F343209">
            <w:pPr>
              <w:snapToGrid w:val="0"/>
              <w:spacing w:line="240" w:lineRule="auto"/>
              <w:ind w:left="0" w:leftChars="0" w:right="0" w:rightChars="0" w:firstLine="0" w:firstLineChars="0"/>
              <w:jc w:val="lef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目标1.2；目标2.2；目标3.2</w:t>
            </w:r>
          </w:p>
        </w:tc>
      </w:tr>
      <w:tr w14:paraId="601B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75D8BB76">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第三单元 科学计算核心与数据处理</w:t>
            </w:r>
          </w:p>
        </w:tc>
        <w:tc>
          <w:tcPr>
            <w:tcW w:w="1240" w:type="dxa"/>
            <w:noWrap w:val="0"/>
            <w:tcMar>
              <w:left w:w="108" w:type="dxa"/>
              <w:right w:w="108" w:type="dxa"/>
            </w:tcMar>
            <w:vAlign w:val="center"/>
          </w:tcPr>
          <w:p w14:paraId="439C3C6D">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15%</w:t>
            </w:r>
          </w:p>
        </w:tc>
        <w:tc>
          <w:tcPr>
            <w:tcW w:w="4860" w:type="dxa"/>
            <w:noWrap w:val="0"/>
            <w:tcMar>
              <w:left w:w="108" w:type="dxa"/>
              <w:right w:w="108" w:type="dxa"/>
            </w:tcMar>
            <w:vAlign w:val="center"/>
          </w:tcPr>
          <w:p w14:paraId="5365CBCB">
            <w:pPr>
              <w:snapToGrid w:val="0"/>
              <w:spacing w:line="240" w:lineRule="auto"/>
              <w:ind w:left="0" w:leftChars="0" w:right="0" w:rightChars="0" w:firstLine="0" w:firstLineChars="0"/>
              <w:jc w:val="righ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能够运用 NumPy、Pandas 等工具完成项目中的数据处理、数组运算、数据清洗、统计分析或数值计算任务。 2. 能够结合工程问题对数据进行合理整理、分析与解释。 3. 能够体现科学计算过程中的严谨性、结果合理性和数据处理规范性。</w:t>
            </w:r>
          </w:p>
        </w:tc>
        <w:tc>
          <w:tcPr>
            <w:tcW w:w="1769" w:type="dxa"/>
            <w:noWrap w:val="0"/>
            <w:tcMar>
              <w:left w:w="108" w:type="dxa"/>
              <w:right w:w="108" w:type="dxa"/>
            </w:tcMar>
            <w:vAlign w:val="center"/>
          </w:tcPr>
          <w:p w14:paraId="73E782BB">
            <w:pPr>
              <w:snapToGrid w:val="0"/>
              <w:spacing w:line="240" w:lineRule="auto"/>
              <w:ind w:left="0" w:leftChars="0" w:right="0" w:rightChars="0" w:firstLine="0" w:firstLineChars="0"/>
              <w:jc w:val="lef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目标1.3；目标2.3；目标3.3</w:t>
            </w:r>
          </w:p>
        </w:tc>
      </w:tr>
      <w:tr w14:paraId="3404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042BD7FE">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第四单元 数据可视化设计与表达</w:t>
            </w:r>
          </w:p>
        </w:tc>
        <w:tc>
          <w:tcPr>
            <w:tcW w:w="1240" w:type="dxa"/>
            <w:noWrap w:val="0"/>
            <w:tcMar>
              <w:left w:w="108" w:type="dxa"/>
              <w:right w:w="108" w:type="dxa"/>
            </w:tcMar>
            <w:vAlign w:val="center"/>
          </w:tcPr>
          <w:p w14:paraId="6AC40639">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30%</w:t>
            </w:r>
          </w:p>
        </w:tc>
        <w:tc>
          <w:tcPr>
            <w:tcW w:w="4860" w:type="dxa"/>
            <w:noWrap w:val="0"/>
            <w:tcMar>
              <w:left w:w="108" w:type="dxa"/>
              <w:right w:w="108" w:type="dxa"/>
            </w:tcMar>
            <w:vAlign w:val="center"/>
          </w:tcPr>
          <w:p w14:paraId="3B698D39">
            <w:pPr>
              <w:snapToGrid w:val="0"/>
              <w:spacing w:line="240" w:lineRule="auto"/>
              <w:ind w:left="0" w:leftChars="0" w:right="0" w:rightChars="0" w:firstLine="0" w:firstLineChars="0"/>
              <w:jc w:val="righ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能够根据项目结果选择合适的图表形式进行展示，并运用 Matplotlib 等工具完成可视化表达。 2. 图表标题、坐标轴、单位、图例、标注等较规范，能够准确支撑分析结论。 3. 能够体现较好的工程表达能力与结果呈现能力，避免误导性图表。</w:t>
            </w:r>
          </w:p>
        </w:tc>
        <w:tc>
          <w:tcPr>
            <w:tcW w:w="1769" w:type="dxa"/>
            <w:noWrap w:val="0"/>
            <w:tcMar>
              <w:left w:w="108" w:type="dxa"/>
              <w:right w:w="108" w:type="dxa"/>
            </w:tcMar>
            <w:vAlign w:val="center"/>
          </w:tcPr>
          <w:p w14:paraId="7431AE54">
            <w:pPr>
              <w:snapToGrid w:val="0"/>
              <w:spacing w:line="240" w:lineRule="auto"/>
              <w:ind w:left="0" w:leftChars="0" w:right="0" w:rightChars="0" w:firstLine="0" w:firstLineChars="0"/>
              <w:jc w:val="lef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目标1.4；目标2.4；目标3.4</w:t>
            </w:r>
          </w:p>
        </w:tc>
      </w:tr>
      <w:tr w14:paraId="38CA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tcMar>
              <w:left w:w="108" w:type="dxa"/>
              <w:right w:w="108" w:type="dxa"/>
            </w:tcMar>
            <w:vAlign w:val="center"/>
          </w:tcPr>
          <w:p w14:paraId="59966F21">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第五单元 综合建模与前沿工具应用</w:t>
            </w:r>
          </w:p>
        </w:tc>
        <w:tc>
          <w:tcPr>
            <w:tcW w:w="1240" w:type="dxa"/>
            <w:noWrap w:val="0"/>
            <w:tcMar>
              <w:left w:w="108" w:type="dxa"/>
              <w:right w:w="108" w:type="dxa"/>
            </w:tcMar>
            <w:vAlign w:val="center"/>
          </w:tcPr>
          <w:p w14:paraId="07BBB32B">
            <w:pPr>
              <w:keepNext w:val="0"/>
              <w:keepLines w:val="0"/>
              <w:pageBreakBefore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25%</w:t>
            </w:r>
          </w:p>
        </w:tc>
        <w:tc>
          <w:tcPr>
            <w:tcW w:w="4860" w:type="dxa"/>
            <w:noWrap w:val="0"/>
            <w:tcMar>
              <w:left w:w="108" w:type="dxa"/>
              <w:right w:w="108" w:type="dxa"/>
            </w:tcMar>
            <w:vAlign w:val="center"/>
          </w:tcPr>
          <w:p w14:paraId="06DA6DFD">
            <w:pPr>
              <w:snapToGrid w:val="0"/>
              <w:spacing w:line="240" w:lineRule="auto"/>
              <w:ind w:left="0" w:leftChars="0" w:right="0" w:rightChars="0" w:firstLine="0" w:firstLineChars="0"/>
              <w:jc w:val="righ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1. 能够围绕具体工程问题完成综合建模分析，并形成较完整的课程项目报告。 2. 能够体现对科学计算工具、AI辅助工具或前沿技术的合理使用，并说明其使用边界。 3. 报告结构完整，论述较清晰，能体现自主学习、综合应用和规范写作能力。</w:t>
            </w:r>
          </w:p>
        </w:tc>
        <w:tc>
          <w:tcPr>
            <w:tcW w:w="1769" w:type="dxa"/>
            <w:noWrap w:val="0"/>
            <w:tcMar>
              <w:left w:w="108" w:type="dxa"/>
              <w:right w:w="108" w:type="dxa"/>
            </w:tcMar>
            <w:vAlign w:val="center"/>
          </w:tcPr>
          <w:p w14:paraId="4B3BE00A">
            <w:pPr>
              <w:snapToGrid w:val="0"/>
              <w:spacing w:line="240" w:lineRule="auto"/>
              <w:ind w:left="0" w:leftChars="0" w:right="0" w:rightChars="0" w:firstLine="0" w:firstLineChars="0"/>
              <w:jc w:val="left"/>
              <w:rPr>
                <w:color w:val="auto"/>
                <w:kern w:val="2"/>
                <w:sz w:val="18"/>
                <w:szCs w:val="18"/>
                <w:lang w:val="en-US" w:eastAsia="zh-CN" w:bidi="ar-SA"/>
              </w:rPr>
            </w:pPr>
            <w:r>
              <w:rPr>
                <w:rFonts w:hint="default" w:ascii="Times New Roman" w:hAnsi="Times New Roman" w:eastAsia="宋体" w:cs="Times New Roman"/>
                <w:color w:val="auto"/>
                <w:kern w:val="2"/>
                <w:sz w:val="18"/>
                <w:szCs w:val="18"/>
                <w:lang w:val="en-US" w:eastAsia="zh-CN" w:bidi="ar-SA"/>
              </w:rPr>
              <w:t>目标1.5；目标2.5；目标3.5</w:t>
            </w:r>
          </w:p>
        </w:tc>
      </w:tr>
      <w:tr w14:paraId="05F4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17" w:type="dxa"/>
            <w:noWrap w:val="0"/>
            <w:tcMar>
              <w:left w:w="108" w:type="dxa"/>
              <w:right w:w="108" w:type="dxa"/>
            </w:tcMar>
            <w:vAlign w:val="center"/>
          </w:tcPr>
          <w:p w14:paraId="3F132C90">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合计</w:t>
            </w:r>
          </w:p>
        </w:tc>
        <w:tc>
          <w:tcPr>
            <w:tcW w:w="1240" w:type="dxa"/>
            <w:noWrap w:val="0"/>
            <w:tcMar>
              <w:left w:w="108" w:type="dxa"/>
              <w:right w:w="108" w:type="dxa"/>
            </w:tcMar>
            <w:vAlign w:val="center"/>
          </w:tcPr>
          <w:p w14:paraId="18960C11">
            <w:pPr>
              <w:snapToGrid w:val="0"/>
              <w:spacing w:line="240" w:lineRule="auto"/>
              <w:ind w:left="0" w:leftChars="0" w:right="0" w:rightChars="0" w:firstLine="0" w:firstLineChars="0"/>
              <w:jc w:val="center"/>
              <w:rPr>
                <w:b/>
                <w:bCs w:val="0"/>
                <w:color w:val="auto"/>
                <w:kern w:val="2"/>
                <w:sz w:val="18"/>
                <w:szCs w:val="18"/>
                <w:lang w:val="en-US" w:eastAsia="zh-CN" w:bidi="ar-SA"/>
              </w:rPr>
            </w:pPr>
            <w:r>
              <w:rPr>
                <w:rFonts w:hint="eastAsia"/>
                <w:b/>
                <w:bCs w:val="0"/>
                <w:color w:val="auto"/>
                <w:kern w:val="2"/>
                <w:sz w:val="18"/>
                <w:szCs w:val="18"/>
                <w:lang w:val="en-US" w:eastAsia="zh-CN" w:bidi="ar-SA"/>
              </w:rPr>
              <w:t>100%</w:t>
            </w:r>
          </w:p>
        </w:tc>
        <w:tc>
          <w:tcPr>
            <w:tcW w:w="4860" w:type="dxa"/>
            <w:noWrap w:val="0"/>
            <w:tcMar>
              <w:left w:w="108" w:type="dxa"/>
              <w:right w:w="108" w:type="dxa"/>
            </w:tcMar>
            <w:vAlign w:val="center"/>
          </w:tcPr>
          <w:p w14:paraId="4EF32FDC">
            <w:pPr>
              <w:snapToGrid w:val="0"/>
              <w:spacing w:line="240" w:lineRule="auto"/>
              <w:ind w:left="0" w:leftChars="0" w:right="0" w:rightChars="0" w:firstLine="0" w:firstLineChars="0"/>
              <w:jc w:val="right"/>
              <w:rPr>
                <w:b/>
                <w:bCs w:val="0"/>
                <w:color w:val="auto"/>
                <w:kern w:val="2"/>
                <w:sz w:val="18"/>
                <w:szCs w:val="18"/>
                <w:lang w:val="en-US" w:eastAsia="zh-CN" w:bidi="ar-SA"/>
              </w:rPr>
            </w:pPr>
          </w:p>
        </w:tc>
        <w:tc>
          <w:tcPr>
            <w:tcW w:w="1769" w:type="dxa"/>
            <w:noWrap w:val="0"/>
            <w:tcMar>
              <w:left w:w="108" w:type="dxa"/>
              <w:right w:w="108" w:type="dxa"/>
            </w:tcMar>
            <w:vAlign w:val="center"/>
          </w:tcPr>
          <w:p w14:paraId="4E82E541">
            <w:pPr>
              <w:snapToGrid w:val="0"/>
              <w:spacing w:line="240" w:lineRule="auto"/>
              <w:ind w:left="0" w:leftChars="0" w:right="0" w:rightChars="0" w:firstLine="0" w:firstLineChars="0"/>
              <w:jc w:val="left"/>
              <w:rPr>
                <w:b/>
                <w:bCs w:val="0"/>
                <w:color w:val="auto"/>
                <w:kern w:val="2"/>
                <w:sz w:val="18"/>
                <w:szCs w:val="18"/>
                <w:lang w:val="en-US" w:eastAsia="zh-CN" w:bidi="ar-SA"/>
              </w:rPr>
            </w:pPr>
          </w:p>
        </w:tc>
      </w:tr>
    </w:tbl>
    <w:p w14:paraId="1D80F0FF">
      <w:pPr>
        <w:widowControl/>
        <w:snapToGrid w:val="0"/>
        <w:spacing w:before="156" w:beforeLines="50" w:after="156" w:afterLines="50"/>
        <w:rPr>
          <w:rFonts w:hint="eastAsia"/>
          <w:color w:val="auto"/>
        </w:rPr>
      </w:pPr>
    </w:p>
    <w:p w14:paraId="1C2D1BBC">
      <w:pPr>
        <w:pStyle w:val="14"/>
        <w:spacing w:after="240" w:line="300" w:lineRule="auto"/>
        <w:jc w:val="left"/>
        <w:rPr>
          <w:rFonts w:ascii="Times New Roman" w:hAnsi="Times New Roman" w:eastAsia="黑体"/>
          <w:color w:val="auto"/>
          <w:sz w:val="28"/>
          <w:szCs w:val="28"/>
        </w:rPr>
      </w:pPr>
      <w:r>
        <w:rPr>
          <w:rFonts w:ascii="Times New Roman" w:hAnsi="Times New Roman" w:eastAsia="黑体"/>
          <w:color w:val="auto"/>
          <w:sz w:val="28"/>
          <w:szCs w:val="28"/>
        </w:rPr>
        <w:t>六、参考书目及学习资料</w:t>
      </w:r>
    </w:p>
    <w:p w14:paraId="7F39F483">
      <w:pPr>
        <w:keepNext w:val="0"/>
        <w:keepLines w:val="0"/>
        <w:pageBreakBefore w:val="0"/>
        <w:widowControl/>
        <w:kinsoku/>
        <w:wordWrap/>
        <w:overflowPunct/>
        <w:topLinePunct w:val="0"/>
        <w:autoSpaceDE/>
        <w:autoSpaceDN/>
        <w:bidi w:val="0"/>
        <w:adjustRightInd/>
        <w:snapToGrid w:val="0"/>
        <w:spacing w:before="156" w:beforeLines="50" w:after="156" w:afterLines="50" w:line="240" w:lineRule="exact"/>
        <w:textAlignment w:val="auto"/>
        <w:rPr>
          <w:rFonts w:eastAsia="黑体"/>
          <w:color w:val="auto"/>
        </w:rPr>
      </w:pPr>
      <w:r>
        <w:rPr>
          <w:rFonts w:eastAsia="黑体"/>
          <w:color w:val="auto"/>
        </w:rPr>
        <w:t>（</w:t>
      </w:r>
      <w:r>
        <w:rPr>
          <w:rFonts w:hint="eastAsia" w:eastAsia="黑体"/>
          <w:color w:val="auto"/>
          <w:lang w:val="en-US" w:eastAsia="zh-CN"/>
        </w:rPr>
        <w:t>一</w:t>
      </w:r>
      <w:r>
        <w:rPr>
          <w:rFonts w:eastAsia="黑体"/>
          <w:color w:val="auto"/>
        </w:rPr>
        <w:t>）参考书目</w:t>
      </w:r>
    </w:p>
    <w:p w14:paraId="404AEB9A">
      <w:pPr>
        <w:widowControl/>
        <w:snapToGrid w:val="0"/>
        <w:spacing w:before="156" w:beforeLines="50" w:after="156" w:afterLines="50"/>
        <w:rPr>
          <w:rFonts w:eastAsia="黑体"/>
          <w:color w:val="auto"/>
          <w:kern w:val="2"/>
          <w:sz w:val="21"/>
          <w:szCs w:val="21"/>
          <w:lang w:val="en-US" w:eastAsia="zh-CN" w:bidi="ar-SA"/>
        </w:rPr>
      </w:pPr>
      <w:r>
        <w:rPr>
          <w:rFonts w:eastAsia="黑体"/>
          <w:color w:val="auto"/>
          <w:kern w:val="2"/>
          <w:sz w:val="21"/>
          <w:szCs w:val="21"/>
          <w:lang w:val="en-US" w:eastAsia="zh-CN" w:bidi="ar-SA"/>
        </w:rPr>
        <w:t>[1] 王小银, 等. Python 数据分析与科学计算[M]. 1版. 北京：机械工业出版社，2024.</w:t>
      </w:r>
    </w:p>
    <w:p w14:paraId="1DE98809">
      <w:pPr>
        <w:widowControl/>
        <w:snapToGrid w:val="0"/>
        <w:spacing w:before="156" w:beforeLines="50" w:after="156" w:afterLines="50"/>
        <w:rPr>
          <w:rFonts w:eastAsia="黑体"/>
          <w:color w:val="auto"/>
          <w:kern w:val="2"/>
          <w:sz w:val="21"/>
          <w:szCs w:val="21"/>
          <w:lang w:val="en-US" w:eastAsia="zh-CN" w:bidi="ar-SA"/>
        </w:rPr>
      </w:pPr>
      <w:r>
        <w:rPr>
          <w:rFonts w:eastAsia="黑体"/>
          <w:color w:val="auto"/>
          <w:kern w:val="2"/>
          <w:sz w:val="21"/>
          <w:szCs w:val="21"/>
          <w:lang w:val="en-US" w:eastAsia="zh-CN" w:bidi="ar-SA"/>
        </w:rPr>
        <w:t>[2] 刘宇, 郑刚. Python数据分析与可视化[M]. 2版. 北京：机械工业出版社，2022.</w:t>
      </w:r>
    </w:p>
    <w:p w14:paraId="1CDDCFFA">
      <w:pPr>
        <w:widowControl/>
        <w:snapToGrid w:val="0"/>
        <w:spacing w:before="156" w:beforeLines="50" w:after="156" w:afterLines="50"/>
        <w:rPr>
          <w:rFonts w:eastAsia="黑体"/>
          <w:color w:val="auto"/>
          <w:kern w:val="2"/>
          <w:sz w:val="21"/>
          <w:szCs w:val="21"/>
          <w:lang w:val="en-US" w:eastAsia="zh-CN" w:bidi="ar-SA"/>
        </w:rPr>
      </w:pPr>
      <w:r>
        <w:rPr>
          <w:rFonts w:eastAsia="黑体"/>
          <w:color w:val="auto"/>
          <w:kern w:val="2"/>
          <w:sz w:val="21"/>
          <w:szCs w:val="21"/>
          <w:lang w:val="en-US" w:eastAsia="zh-CN" w:bidi="ar-SA"/>
        </w:rPr>
        <w:t>[3] 张文俊, 李明. NumPy和Pandas数据处理实战[M]. 1版. 北京：电子工业出版社，2021.</w:t>
      </w:r>
    </w:p>
    <w:p w14:paraId="25EEE2FD">
      <w:pPr>
        <w:widowControl/>
        <w:snapToGrid w:val="0"/>
        <w:spacing w:before="156" w:beforeLines="50" w:after="156" w:afterLines="50"/>
        <w:rPr>
          <w:rFonts w:eastAsia="黑体"/>
          <w:color w:val="auto"/>
          <w:kern w:val="2"/>
          <w:sz w:val="21"/>
          <w:szCs w:val="21"/>
          <w:lang w:val="en-US" w:eastAsia="zh-CN" w:bidi="ar-SA"/>
        </w:rPr>
      </w:pPr>
      <w:r>
        <w:rPr>
          <w:rFonts w:eastAsia="黑体"/>
          <w:color w:val="auto"/>
          <w:kern w:val="2"/>
          <w:sz w:val="21"/>
          <w:szCs w:val="21"/>
          <w:lang w:val="en-US" w:eastAsia="zh-CN" w:bidi="ar-SA"/>
        </w:rPr>
        <w:t>[4] 王伟, 陈静. Matplotlib数据可视化高级教程[M]. 1版. 北京：清华大学出版社，2022.</w:t>
      </w:r>
    </w:p>
    <w:p w14:paraId="6C15ED6B">
      <w:pPr>
        <w:widowControl/>
        <w:snapToGrid w:val="0"/>
        <w:spacing w:before="156" w:beforeLines="50" w:after="156" w:afterLines="50"/>
        <w:rPr>
          <w:rFonts w:eastAsia="黑体"/>
          <w:color w:val="auto"/>
          <w:kern w:val="2"/>
          <w:sz w:val="21"/>
          <w:szCs w:val="21"/>
          <w:lang w:val="en-US" w:eastAsia="zh-CN" w:bidi="ar-SA"/>
        </w:rPr>
      </w:pPr>
      <w:r>
        <w:rPr>
          <w:rFonts w:eastAsia="黑体"/>
          <w:color w:val="auto"/>
          <w:kern w:val="2"/>
          <w:sz w:val="21"/>
          <w:szCs w:val="21"/>
          <w:lang w:val="en-US" w:eastAsia="zh-CN" w:bidi="ar-SA"/>
        </w:rPr>
        <w:t>[5] 周明. 科学计算与工程可视化[M]. 1版. 上海：上海交通大学出版社，2020.</w:t>
      </w:r>
    </w:p>
    <w:p w14:paraId="330770D9">
      <w:pPr>
        <w:widowControl/>
        <w:snapToGrid w:val="0"/>
        <w:spacing w:before="156" w:beforeLines="50" w:after="156" w:afterLines="50"/>
        <w:rPr>
          <w:rFonts w:eastAsia="黑体"/>
          <w:color w:val="auto"/>
        </w:rPr>
      </w:pPr>
      <w:r>
        <w:rPr>
          <w:rFonts w:eastAsia="黑体"/>
          <w:color w:val="auto"/>
        </w:rPr>
        <w:t>（</w:t>
      </w:r>
      <w:r>
        <w:rPr>
          <w:rFonts w:hint="eastAsia" w:eastAsia="黑体"/>
          <w:color w:val="auto"/>
          <w:lang w:val="en-US" w:eastAsia="zh-CN"/>
        </w:rPr>
        <w:t>二</w:t>
      </w:r>
      <w:r>
        <w:rPr>
          <w:rFonts w:eastAsia="黑体"/>
          <w:color w:val="auto"/>
        </w:rPr>
        <w:t>）学习资料</w:t>
      </w:r>
    </w:p>
    <w:p w14:paraId="6BAD45D0">
      <w:pPr>
        <w:keepNext w:val="0"/>
        <w:keepLines w:val="0"/>
        <w:pageBreakBefore w:val="0"/>
        <w:widowControl/>
        <w:kinsoku/>
        <w:wordWrap w:val="0"/>
        <w:overflowPunct/>
        <w:topLinePunct w:val="0"/>
        <w:autoSpaceDE/>
        <w:autoSpaceDN/>
        <w:bidi w:val="0"/>
        <w:adjustRightInd/>
        <w:snapToGrid w:val="0"/>
        <w:spacing w:line="400" w:lineRule="exact"/>
        <w:ind w:left="420" w:leftChars="0" w:hanging="420" w:hangingChars="200"/>
        <w:textAlignment w:val="auto"/>
        <w:rPr>
          <w:color w:val="auto"/>
          <w:kern w:val="2"/>
          <w:sz w:val="21"/>
          <w:szCs w:val="21"/>
          <w:lang w:val="en-US" w:eastAsia="zh-CN" w:bidi="ar-SA"/>
        </w:rPr>
      </w:pPr>
      <w:r>
        <w:rPr>
          <w:color w:val="auto"/>
          <w:kern w:val="2"/>
          <w:sz w:val="21"/>
          <w:szCs w:val="21"/>
          <w:lang w:val="en-US" w:eastAsia="zh-CN" w:bidi="ar-SA"/>
        </w:rPr>
        <w:t>[1] Python数据分析实战教程-哔哩哔哩 https://www.bilibili.com/video/BV1XJ411X7eL</w:t>
      </w:r>
    </w:p>
    <w:p w14:paraId="27A33FDD">
      <w:pPr>
        <w:keepNext w:val="0"/>
        <w:keepLines w:val="0"/>
        <w:pageBreakBefore w:val="0"/>
        <w:widowControl/>
        <w:kinsoku/>
        <w:wordWrap w:val="0"/>
        <w:overflowPunct/>
        <w:topLinePunct w:val="0"/>
        <w:autoSpaceDE/>
        <w:autoSpaceDN/>
        <w:bidi w:val="0"/>
        <w:adjustRightInd/>
        <w:snapToGrid w:val="0"/>
        <w:spacing w:line="400" w:lineRule="exact"/>
        <w:ind w:left="420" w:leftChars="0" w:hanging="420" w:hangingChars="200"/>
        <w:textAlignment w:val="auto"/>
        <w:rPr>
          <w:rFonts w:eastAsia="黑体"/>
          <w:color w:val="auto"/>
          <w:kern w:val="2"/>
          <w:sz w:val="21"/>
          <w:szCs w:val="21"/>
          <w:lang w:val="en-US" w:eastAsia="zh-CN" w:bidi="ar-SA"/>
        </w:rPr>
      </w:pPr>
      <w:r>
        <w:rPr>
          <w:color w:val="auto"/>
          <w:kern w:val="2"/>
          <w:sz w:val="21"/>
          <w:szCs w:val="21"/>
          <w:lang w:val="en-US" w:eastAsia="zh-CN" w:bidi="ar-SA"/>
        </w:rPr>
        <w:t>[2] Pandas数据分析入门-中国大学MOOC https://www.icourse163.org/course/BUAA-1465883452</w:t>
      </w:r>
    </w:p>
    <w:p w14:paraId="6C741493">
      <w:pPr>
        <w:keepNext w:val="0"/>
        <w:keepLines w:val="0"/>
        <w:pageBreakBefore w:val="0"/>
        <w:widowControl/>
        <w:kinsoku/>
        <w:wordWrap w:val="0"/>
        <w:overflowPunct/>
        <w:topLinePunct w:val="0"/>
        <w:autoSpaceDE/>
        <w:autoSpaceDN/>
        <w:bidi w:val="0"/>
        <w:adjustRightInd/>
        <w:snapToGrid w:val="0"/>
        <w:spacing w:line="400" w:lineRule="exact"/>
        <w:ind w:left="420" w:leftChars="0" w:hanging="420" w:hangingChars="200"/>
        <w:textAlignment w:val="auto"/>
        <w:rPr>
          <w:rFonts w:eastAsia="黑体"/>
          <w:color w:val="auto"/>
          <w:kern w:val="2"/>
          <w:sz w:val="21"/>
          <w:szCs w:val="21"/>
          <w:lang w:val="en-US" w:eastAsia="zh-CN" w:bidi="ar-SA"/>
        </w:rPr>
      </w:pPr>
      <w:r>
        <w:rPr>
          <w:color w:val="auto"/>
          <w:kern w:val="2"/>
          <w:sz w:val="21"/>
          <w:szCs w:val="21"/>
          <w:lang w:val="en-US" w:eastAsia="zh-CN" w:bidi="ar-SA"/>
        </w:rPr>
        <w:t>[3] Matplotlib数据可视化实战-慕课网 https://www.imooc.com/learn/1234</w:t>
      </w:r>
    </w:p>
    <w:p w14:paraId="40BC304B">
      <w:pPr>
        <w:keepNext w:val="0"/>
        <w:keepLines w:val="0"/>
        <w:pageBreakBefore w:val="0"/>
        <w:widowControl/>
        <w:kinsoku/>
        <w:wordWrap w:val="0"/>
        <w:overflowPunct/>
        <w:topLinePunct w:val="0"/>
        <w:autoSpaceDE/>
        <w:autoSpaceDN/>
        <w:bidi w:val="0"/>
        <w:adjustRightInd/>
        <w:snapToGrid w:val="0"/>
        <w:spacing w:line="400" w:lineRule="exact"/>
        <w:ind w:left="0" w:hanging="420" w:hangingChars="200"/>
        <w:textAlignment w:val="auto"/>
        <w:rPr>
          <w:rFonts w:eastAsia="黑体"/>
          <w:color w:val="auto"/>
        </w:rPr>
      </w:pPr>
    </w:p>
    <w:p w14:paraId="246DB633">
      <w:pPr>
        <w:spacing w:line="300" w:lineRule="auto"/>
        <w:rPr>
          <w:b/>
          <w:bCs/>
          <w:color w:val="auto"/>
          <w:sz w:val="24"/>
          <w:szCs w:val="24"/>
        </w:rPr>
      </w:pPr>
    </w:p>
    <w:p w14:paraId="1F1C0B97">
      <w:pPr>
        <w:spacing w:line="300" w:lineRule="auto"/>
        <w:rPr>
          <w:rFonts w:hint="default" w:eastAsia="宋体"/>
          <w:b/>
          <w:bCs/>
          <w:color w:val="auto"/>
          <w:sz w:val="24"/>
          <w:szCs w:val="24"/>
          <w:lang w:val="en-US" w:eastAsia="zh-CN"/>
        </w:rPr>
      </w:pPr>
      <w:commentRangeStart w:id="5"/>
      <w:r>
        <w:rPr>
          <w:b/>
          <w:bCs/>
          <w:color w:val="auto"/>
          <w:sz w:val="24"/>
          <w:szCs w:val="24"/>
        </w:rPr>
        <w:t>制定人</w:t>
      </w:r>
      <w:commentRangeEnd w:id="5"/>
      <w:r>
        <w:commentReference w:id="5"/>
      </w:r>
      <w:r>
        <w:rPr>
          <w:color w:val="auto"/>
          <w:sz w:val="24"/>
          <w:szCs w:val="24"/>
        </w:rPr>
        <w:t>：</w:t>
      </w:r>
      <w:r>
        <w:rPr>
          <w:rFonts w:hint="eastAsia"/>
          <w:color w:val="auto"/>
          <w:sz w:val="24"/>
          <w:szCs w:val="24"/>
          <w:lang w:val="en-US" w:eastAsia="zh-CN"/>
        </w:rPr>
        <w:t>姜启龙</w:t>
      </w:r>
      <w:r>
        <w:rPr>
          <w:b/>
          <w:color w:val="auto"/>
          <w:sz w:val="24"/>
          <w:szCs w:val="24"/>
        </w:rPr>
        <w:t xml:space="preserve">           </w:t>
      </w:r>
      <w:commentRangeStart w:id="6"/>
      <w:r>
        <w:rPr>
          <w:b/>
          <w:bCs/>
          <w:color w:val="auto"/>
          <w:sz w:val="24"/>
          <w:szCs w:val="24"/>
        </w:rPr>
        <w:t>审定人</w:t>
      </w:r>
      <w:commentRangeEnd w:id="6"/>
      <w:r>
        <w:commentReference w:id="6"/>
      </w:r>
      <w:r>
        <w:rPr>
          <w:color w:val="auto"/>
          <w:sz w:val="24"/>
          <w:szCs w:val="24"/>
        </w:rPr>
        <w:t>：</w:t>
      </w:r>
      <w:r>
        <w:rPr>
          <w:rFonts w:hint="eastAsia"/>
          <w:b/>
          <w:color w:val="auto"/>
          <w:sz w:val="24"/>
          <w:szCs w:val="24"/>
          <w:lang w:val="en-US" w:eastAsia="zh-CN"/>
        </w:rPr>
        <w:t>孙建军</w:t>
      </w:r>
      <w:r>
        <w:rPr>
          <w:b/>
          <w:color w:val="auto"/>
          <w:sz w:val="24"/>
          <w:szCs w:val="24"/>
        </w:rPr>
        <w:t xml:space="preserve">          </w:t>
      </w:r>
      <w:commentRangeStart w:id="7"/>
      <w:r>
        <w:rPr>
          <w:b/>
          <w:bCs/>
          <w:color w:val="auto"/>
          <w:sz w:val="24"/>
          <w:szCs w:val="24"/>
        </w:rPr>
        <w:t>批准人</w:t>
      </w:r>
      <w:commentRangeEnd w:id="7"/>
      <w:r>
        <w:commentReference w:id="7"/>
      </w:r>
      <w:r>
        <w:rPr>
          <w:color w:val="auto"/>
          <w:sz w:val="24"/>
          <w:szCs w:val="24"/>
        </w:rPr>
        <w:t>：</w:t>
      </w:r>
      <w:r>
        <w:rPr>
          <w:rFonts w:hint="eastAsia"/>
          <w:color w:val="auto"/>
          <w:sz w:val="24"/>
          <w:szCs w:val="24"/>
          <w:lang w:val="en-US" w:eastAsia="zh-CN"/>
        </w:rPr>
        <w:t>代伟业</w:t>
      </w:r>
    </w:p>
    <w:p w14:paraId="3F093951">
      <w:pPr>
        <w:spacing w:line="300" w:lineRule="auto"/>
        <w:ind w:firstLine="480" w:firstLineChars="200"/>
        <w:jc w:val="right"/>
        <w:rPr>
          <w:color w:val="auto"/>
          <w:sz w:val="24"/>
          <w:szCs w:val="24"/>
        </w:rPr>
      </w:pPr>
      <w:r>
        <w:rPr>
          <w:color w:val="auto"/>
          <w:sz w:val="24"/>
          <w:szCs w:val="24"/>
        </w:rPr>
        <w:t xml:space="preserve">                                     202</w:t>
      </w:r>
      <w:r>
        <w:rPr>
          <w:rFonts w:hint="eastAsia"/>
          <w:color w:val="auto"/>
          <w:sz w:val="24"/>
          <w:szCs w:val="24"/>
          <w:lang w:val="en-US" w:eastAsia="zh-CN"/>
        </w:rPr>
        <w:t>6</w:t>
      </w:r>
      <w:r>
        <w:rPr>
          <w:color w:val="auto"/>
          <w:sz w:val="24"/>
          <w:szCs w:val="24"/>
        </w:rPr>
        <w:t>年</w:t>
      </w:r>
      <w:r>
        <w:rPr>
          <w:rFonts w:hint="eastAsia"/>
          <w:color w:val="auto"/>
          <w:sz w:val="24"/>
          <w:szCs w:val="24"/>
          <w:lang w:val="en-US" w:eastAsia="zh-CN"/>
        </w:rPr>
        <w:t>3</w:t>
      </w:r>
      <w:r>
        <w:rPr>
          <w:color w:val="auto"/>
          <w:sz w:val="24"/>
          <w:szCs w:val="24"/>
        </w:rPr>
        <w:t>月</w:t>
      </w:r>
      <w:r>
        <w:rPr>
          <w:rFonts w:hint="eastAsia"/>
          <w:color w:val="auto"/>
          <w:sz w:val="24"/>
          <w:szCs w:val="24"/>
          <w:lang w:val="en-US" w:eastAsia="zh-CN"/>
        </w:rPr>
        <w:t>11</w:t>
      </w:r>
      <w:r>
        <w:rPr>
          <w:color w:val="auto"/>
          <w:sz w:val="24"/>
          <w:szCs w:val="24"/>
        </w:rPr>
        <w:t>日</w:t>
      </w:r>
    </w:p>
    <w:sectPr>
      <w:headerReference r:id="rId5" w:type="default"/>
      <w:footerReference r:id="rId6" w:type="default"/>
      <w:pgSz w:w="11906" w:h="16838"/>
      <w:pgMar w:top="1417" w:right="1418" w:bottom="1417" w:left="1418"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秦智康" w:date="2025-09-25T14:49:00Z" w:initials="">
    <w:p w14:paraId="5DC110AC">
      <w:pPr>
        <w:rPr>
          <w:rFonts w:hint="eastAsia" w:ascii="Times New Roman" w:hAnsi="Times New Roman" w:eastAsia="宋体" w:cs="Times New Roman"/>
          <w:kern w:val="0"/>
          <w:sz w:val="20"/>
          <w:szCs w:val="21"/>
          <w:lang w:val="en-US" w:eastAsia="zh-CN" w:bidi="ar-SA"/>
        </w:rPr>
      </w:pPr>
      <w:r>
        <w:rPr>
          <w:rFonts w:hint="eastAsia" w:ascii="Times New Roman" w:hAnsi="Times New Roman" w:eastAsia="宋体" w:cs="Times New Roman"/>
          <w:kern w:val="0"/>
          <w:sz w:val="20"/>
          <w:szCs w:val="21"/>
          <w:lang w:val="en-US" w:eastAsia="zh-CN" w:bidi="ar-SA"/>
        </w:rPr>
        <w:t>课程基本定位、核心学习结果、主要教学方法</w:t>
      </w:r>
    </w:p>
    <w:p w14:paraId="4B8674D1">
      <w:pPr>
        <w:rPr>
          <w:rFonts w:hint="default" w:ascii="Times New Roman" w:hAnsi="Times New Roman" w:eastAsia="宋体" w:cs="Times New Roman"/>
          <w:kern w:val="0"/>
          <w:sz w:val="20"/>
          <w:szCs w:val="21"/>
          <w:lang w:val="en-US" w:eastAsia="zh-CN" w:bidi="ar-SA"/>
        </w:rPr>
      </w:pPr>
      <w:r>
        <w:rPr>
          <w:rFonts w:hint="eastAsia" w:ascii="Times New Roman" w:hAnsi="Times New Roman" w:eastAsia="宋体" w:cs="Times New Roman"/>
          <w:kern w:val="0"/>
          <w:sz w:val="20"/>
          <w:szCs w:val="21"/>
          <w:lang w:val="en-US" w:eastAsia="zh-CN" w:bidi="ar-SA"/>
        </w:rPr>
        <w:t>均单独成行</w:t>
      </w:r>
    </w:p>
    <w:p w14:paraId="4FDB59F9">
      <w:pPr>
        <w:rPr>
          <w:rFonts w:hint="eastAsia" w:ascii="Times New Roman" w:hAnsi="Times New Roman" w:eastAsia="宋体" w:cs="Times New Roman"/>
          <w:kern w:val="0"/>
          <w:sz w:val="20"/>
          <w:szCs w:val="21"/>
          <w:lang w:val="en-US" w:eastAsia="zh-CN" w:bidi="ar-SA"/>
        </w:rPr>
      </w:pPr>
    </w:p>
    <w:p w14:paraId="6C8B39AF">
      <w:pPr>
        <w:pStyle w:val="6"/>
      </w:pPr>
    </w:p>
  </w:comment>
  <w:comment w:id="1" w:author="秦智康" w:date="2025-09-25T14:50:00Z" w:initials="">
    <w:p w14:paraId="7DF20EB4">
      <w:pPr>
        <w:pStyle w:val="6"/>
        <w:rPr>
          <w:rFonts w:hint="default" w:eastAsia="宋体"/>
          <w:lang w:val="en-US" w:eastAsia="zh-CN"/>
        </w:rPr>
      </w:pPr>
      <w:r>
        <w:rPr>
          <w:rFonts w:hint="eastAsia"/>
          <w:lang w:val="en-US" w:eastAsia="zh-CN"/>
        </w:rPr>
        <w:t>大纲更新时间统一填写该日期</w:t>
      </w:r>
    </w:p>
  </w:comment>
  <w:comment w:id="2" w:author="秦智康" w:date="2025-09-25T14:51:00Z" w:initials="">
    <w:p w14:paraId="3CB3F319">
      <w:pPr>
        <w:pStyle w:val="6"/>
        <w:rPr>
          <w:rFonts w:hint="default" w:eastAsia="宋体"/>
          <w:lang w:val="en-US" w:eastAsia="zh-CN"/>
        </w:rPr>
      </w:pPr>
      <w:r>
        <w:rPr>
          <w:rFonts w:hint="eastAsia"/>
          <w:lang w:val="en-US" w:eastAsia="zh-CN"/>
        </w:rPr>
        <w:t>每一个课程总目标单独成一页</w:t>
      </w:r>
    </w:p>
  </w:comment>
  <w:comment w:id="3" w:author="秦智康" w:date="2025-09-25T14:51:00Z" w:initials="">
    <w:p w14:paraId="6328FB73">
      <w:pPr>
        <w:pStyle w:val="6"/>
        <w:rPr>
          <w:rFonts w:hint="default" w:eastAsia="宋体"/>
          <w:lang w:val="en-US" w:eastAsia="zh-CN"/>
        </w:rPr>
      </w:pPr>
      <w:r>
        <w:rPr>
          <w:rFonts w:hint="eastAsia"/>
          <w:lang w:val="en-US" w:eastAsia="zh-CN"/>
        </w:rPr>
        <w:t>如果为实验或实践课可去掉该部分</w:t>
      </w:r>
    </w:p>
  </w:comment>
  <w:comment w:id="4" w:author="秦智康" w:date="2025-09-25T14:54:00Z" w:initials="">
    <w:p w14:paraId="2774B784">
      <w:pPr>
        <w:pStyle w:val="6"/>
        <w:rPr>
          <w:rFonts w:hint="default" w:eastAsia="宋体"/>
          <w:lang w:val="en-US" w:eastAsia="zh-CN"/>
        </w:rPr>
      </w:pPr>
      <w:r>
        <w:rPr>
          <w:rFonts w:hint="eastAsia"/>
          <w:lang w:val="en-US" w:eastAsia="zh-CN"/>
        </w:rPr>
        <w:t>若纯为理论课该部分可删除</w:t>
      </w:r>
    </w:p>
  </w:comment>
  <w:comment w:id="5" w:author="秦智康" w:date="2025-09-25T15:11:00Z" w:initials="">
    <w:p w14:paraId="70679BBB">
      <w:pPr>
        <w:pStyle w:val="6"/>
        <w:rPr>
          <w:rFonts w:hint="default" w:eastAsia="宋体"/>
          <w:lang w:val="en-US" w:eastAsia="zh-CN"/>
        </w:rPr>
      </w:pPr>
      <w:r>
        <w:rPr>
          <w:rFonts w:hint="eastAsia"/>
          <w:lang w:val="en-US" w:eastAsia="zh-CN"/>
        </w:rPr>
        <w:t>此处应为课程组成员</w:t>
      </w:r>
    </w:p>
  </w:comment>
  <w:comment w:id="6" w:author="秦智康" w:date="2025-09-25T15:11:00Z" w:initials="">
    <w:p w14:paraId="6A536ACF">
      <w:pPr>
        <w:pStyle w:val="6"/>
        <w:rPr>
          <w:rFonts w:hint="eastAsia" w:eastAsia="宋体"/>
          <w:lang w:val="en-US" w:eastAsia="zh-CN"/>
        </w:rPr>
      </w:pPr>
      <w:r>
        <w:rPr>
          <w:rFonts w:hint="eastAsia"/>
          <w:lang w:val="en-US" w:eastAsia="zh-CN"/>
        </w:rPr>
        <w:t>此处应为教研处主任</w:t>
      </w:r>
    </w:p>
  </w:comment>
  <w:comment w:id="7" w:author="秦智康" w:date="2025-09-25T15:12:00Z" w:initials="">
    <w:p w14:paraId="7C5E0777">
      <w:pPr>
        <w:pStyle w:val="6"/>
        <w:rPr>
          <w:rFonts w:hint="default" w:eastAsia="宋体"/>
          <w:lang w:val="en-US" w:eastAsia="zh-CN"/>
        </w:rPr>
      </w:pPr>
      <w:r>
        <w:rPr>
          <w:rFonts w:hint="eastAsia"/>
          <w:lang w:val="en-US" w:eastAsia="zh-CN"/>
        </w:rPr>
        <w:t>此处应为院长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8B39AF" w15:done="0"/>
  <w15:commentEx w15:paraId="7DF20EB4" w15:done="0"/>
  <w15:commentEx w15:paraId="3CB3F319" w15:done="0"/>
  <w15:commentEx w15:paraId="6328FB73" w15:done="0"/>
  <w15:commentEx w15:paraId="2774B784" w15:done="0"/>
  <w15:commentEx w15:paraId="70679BBB" w15:done="0"/>
  <w15:commentEx w15:paraId="6A536ACF" w15:done="0"/>
  <w15:commentEx w15:paraId="7C5E077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E3567">
    <w:pPr>
      <w:pStyle w:val="12"/>
      <w:framePr w:wrap="around" w:vAnchor="text" w:hAnchor="margin" w:xAlign="center" w:y="1"/>
      <w:rPr>
        <w:rStyle w:val="22"/>
      </w:rPr>
    </w:pPr>
    <w:r>
      <w:fldChar w:fldCharType="begin"/>
    </w:r>
    <w:r>
      <w:rPr>
        <w:rStyle w:val="22"/>
      </w:rPr>
      <w:instrText xml:space="preserve">PAGE  </w:instrText>
    </w:r>
    <w:r>
      <w:fldChar w:fldCharType="separate"/>
    </w:r>
    <w:r>
      <w:rPr>
        <w:rStyle w:val="22"/>
        <w:lang/>
      </w:rPr>
      <w:t>4</w:t>
    </w:r>
    <w:r>
      <w:fldChar w:fldCharType="end"/>
    </w:r>
  </w:p>
  <w:p w14:paraId="141461C2">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0058E">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E5B972"/>
    <w:multiLevelType w:val="singleLevel"/>
    <w:tmpl w:val="C0E5B972"/>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秦智康">
    <w15:presenceInfo w15:providerId="None" w15:userId="秦智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oNotHyphenateCaps/>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E7FF8"/>
    <w:rsid w:val="00001493"/>
    <w:rsid w:val="00004A17"/>
    <w:rsid w:val="00004DA2"/>
    <w:rsid w:val="00006469"/>
    <w:rsid w:val="00006791"/>
    <w:rsid w:val="000078C0"/>
    <w:rsid w:val="0001069F"/>
    <w:rsid w:val="000113AD"/>
    <w:rsid w:val="0001206A"/>
    <w:rsid w:val="00012476"/>
    <w:rsid w:val="00012817"/>
    <w:rsid w:val="00012B59"/>
    <w:rsid w:val="00012D0D"/>
    <w:rsid w:val="000139BB"/>
    <w:rsid w:val="00013EAD"/>
    <w:rsid w:val="00014B76"/>
    <w:rsid w:val="00017350"/>
    <w:rsid w:val="000207DC"/>
    <w:rsid w:val="0002211A"/>
    <w:rsid w:val="000237E0"/>
    <w:rsid w:val="00024896"/>
    <w:rsid w:val="0002587C"/>
    <w:rsid w:val="00025A0B"/>
    <w:rsid w:val="0002612F"/>
    <w:rsid w:val="00027A89"/>
    <w:rsid w:val="000306F1"/>
    <w:rsid w:val="00033B39"/>
    <w:rsid w:val="000340A8"/>
    <w:rsid w:val="000353CA"/>
    <w:rsid w:val="00036CEF"/>
    <w:rsid w:val="0004066A"/>
    <w:rsid w:val="00040749"/>
    <w:rsid w:val="000414BF"/>
    <w:rsid w:val="000438E8"/>
    <w:rsid w:val="00044639"/>
    <w:rsid w:val="00045484"/>
    <w:rsid w:val="0004764C"/>
    <w:rsid w:val="000512B9"/>
    <w:rsid w:val="0005394F"/>
    <w:rsid w:val="00053DBC"/>
    <w:rsid w:val="0005407E"/>
    <w:rsid w:val="00055199"/>
    <w:rsid w:val="0005536C"/>
    <w:rsid w:val="00057066"/>
    <w:rsid w:val="00057739"/>
    <w:rsid w:val="00060031"/>
    <w:rsid w:val="0006194C"/>
    <w:rsid w:val="00061E2D"/>
    <w:rsid w:val="000629AA"/>
    <w:rsid w:val="00062CE0"/>
    <w:rsid w:val="000633CA"/>
    <w:rsid w:val="00063403"/>
    <w:rsid w:val="00063473"/>
    <w:rsid w:val="00064386"/>
    <w:rsid w:val="00065305"/>
    <w:rsid w:val="000663AF"/>
    <w:rsid w:val="00066CC9"/>
    <w:rsid w:val="00067461"/>
    <w:rsid w:val="00067E48"/>
    <w:rsid w:val="000707C1"/>
    <w:rsid w:val="00070968"/>
    <w:rsid w:val="00070AE3"/>
    <w:rsid w:val="00072559"/>
    <w:rsid w:val="00073C67"/>
    <w:rsid w:val="00073EFC"/>
    <w:rsid w:val="0007544E"/>
    <w:rsid w:val="00076709"/>
    <w:rsid w:val="00082572"/>
    <w:rsid w:val="0008261D"/>
    <w:rsid w:val="00083CC8"/>
    <w:rsid w:val="00084D93"/>
    <w:rsid w:val="000854BA"/>
    <w:rsid w:val="000869B0"/>
    <w:rsid w:val="00086D88"/>
    <w:rsid w:val="000877B1"/>
    <w:rsid w:val="00090712"/>
    <w:rsid w:val="00092151"/>
    <w:rsid w:val="0009277A"/>
    <w:rsid w:val="00092BAB"/>
    <w:rsid w:val="00092C47"/>
    <w:rsid w:val="00095CC6"/>
    <w:rsid w:val="000968A1"/>
    <w:rsid w:val="00097468"/>
    <w:rsid w:val="00097556"/>
    <w:rsid w:val="000A0B90"/>
    <w:rsid w:val="000A11C8"/>
    <w:rsid w:val="000A1251"/>
    <w:rsid w:val="000A22CF"/>
    <w:rsid w:val="000A3C5B"/>
    <w:rsid w:val="000B14E9"/>
    <w:rsid w:val="000B2959"/>
    <w:rsid w:val="000B49EA"/>
    <w:rsid w:val="000B5DE3"/>
    <w:rsid w:val="000B60B2"/>
    <w:rsid w:val="000B61E4"/>
    <w:rsid w:val="000B694B"/>
    <w:rsid w:val="000B7587"/>
    <w:rsid w:val="000C08CB"/>
    <w:rsid w:val="000C0A3F"/>
    <w:rsid w:val="000C1069"/>
    <w:rsid w:val="000C1EF4"/>
    <w:rsid w:val="000C3AF5"/>
    <w:rsid w:val="000C4EA9"/>
    <w:rsid w:val="000C7CBE"/>
    <w:rsid w:val="000D0370"/>
    <w:rsid w:val="000D061D"/>
    <w:rsid w:val="000D4330"/>
    <w:rsid w:val="000D6433"/>
    <w:rsid w:val="000D64F3"/>
    <w:rsid w:val="000E056D"/>
    <w:rsid w:val="000E0576"/>
    <w:rsid w:val="000E7291"/>
    <w:rsid w:val="000E74CB"/>
    <w:rsid w:val="000F0C48"/>
    <w:rsid w:val="000F16F3"/>
    <w:rsid w:val="000F3E81"/>
    <w:rsid w:val="000F43A6"/>
    <w:rsid w:val="000F43E6"/>
    <w:rsid w:val="000F468A"/>
    <w:rsid w:val="000F6763"/>
    <w:rsid w:val="000F6A4E"/>
    <w:rsid w:val="000F6C13"/>
    <w:rsid w:val="00100188"/>
    <w:rsid w:val="00101DAC"/>
    <w:rsid w:val="001021AD"/>
    <w:rsid w:val="0010274C"/>
    <w:rsid w:val="00102D92"/>
    <w:rsid w:val="00102DED"/>
    <w:rsid w:val="00105A5C"/>
    <w:rsid w:val="0010637F"/>
    <w:rsid w:val="00107E66"/>
    <w:rsid w:val="00110750"/>
    <w:rsid w:val="0011180B"/>
    <w:rsid w:val="0011238B"/>
    <w:rsid w:val="001127E0"/>
    <w:rsid w:val="0011315D"/>
    <w:rsid w:val="00115439"/>
    <w:rsid w:val="0011648D"/>
    <w:rsid w:val="00120580"/>
    <w:rsid w:val="001205E3"/>
    <w:rsid w:val="00120A01"/>
    <w:rsid w:val="00123224"/>
    <w:rsid w:val="0012442D"/>
    <w:rsid w:val="00126168"/>
    <w:rsid w:val="0012655A"/>
    <w:rsid w:val="0012656C"/>
    <w:rsid w:val="001271AA"/>
    <w:rsid w:val="00130D56"/>
    <w:rsid w:val="0013118D"/>
    <w:rsid w:val="0013163C"/>
    <w:rsid w:val="00132159"/>
    <w:rsid w:val="0013258D"/>
    <w:rsid w:val="00132FCD"/>
    <w:rsid w:val="00133A5F"/>
    <w:rsid w:val="00133FD8"/>
    <w:rsid w:val="00140245"/>
    <w:rsid w:val="001402C4"/>
    <w:rsid w:val="00140FBE"/>
    <w:rsid w:val="00142466"/>
    <w:rsid w:val="00142FC4"/>
    <w:rsid w:val="00143021"/>
    <w:rsid w:val="00143469"/>
    <w:rsid w:val="00144DEC"/>
    <w:rsid w:val="0014723E"/>
    <w:rsid w:val="00147480"/>
    <w:rsid w:val="00151266"/>
    <w:rsid w:val="00151EF9"/>
    <w:rsid w:val="00153AE6"/>
    <w:rsid w:val="00157A9E"/>
    <w:rsid w:val="00160E34"/>
    <w:rsid w:val="0016197B"/>
    <w:rsid w:val="00162CA3"/>
    <w:rsid w:val="001631B7"/>
    <w:rsid w:val="00165039"/>
    <w:rsid w:val="001650AB"/>
    <w:rsid w:val="0016541A"/>
    <w:rsid w:val="001701BD"/>
    <w:rsid w:val="00172936"/>
    <w:rsid w:val="00172C45"/>
    <w:rsid w:val="00173EEF"/>
    <w:rsid w:val="001771FD"/>
    <w:rsid w:val="00180943"/>
    <w:rsid w:val="00180C18"/>
    <w:rsid w:val="001817F8"/>
    <w:rsid w:val="00181E1C"/>
    <w:rsid w:val="001825AA"/>
    <w:rsid w:val="001838AF"/>
    <w:rsid w:val="00186AE5"/>
    <w:rsid w:val="00194FB1"/>
    <w:rsid w:val="00195B9D"/>
    <w:rsid w:val="00195CC7"/>
    <w:rsid w:val="00196034"/>
    <w:rsid w:val="0019779E"/>
    <w:rsid w:val="00197962"/>
    <w:rsid w:val="001A1178"/>
    <w:rsid w:val="001A306D"/>
    <w:rsid w:val="001A50E6"/>
    <w:rsid w:val="001B1023"/>
    <w:rsid w:val="001B20AC"/>
    <w:rsid w:val="001B30A3"/>
    <w:rsid w:val="001B318A"/>
    <w:rsid w:val="001B4C1A"/>
    <w:rsid w:val="001B4FEA"/>
    <w:rsid w:val="001B51F5"/>
    <w:rsid w:val="001B65FD"/>
    <w:rsid w:val="001C07F0"/>
    <w:rsid w:val="001C2C8D"/>
    <w:rsid w:val="001C56B6"/>
    <w:rsid w:val="001C6220"/>
    <w:rsid w:val="001C70B5"/>
    <w:rsid w:val="001C757F"/>
    <w:rsid w:val="001D10CA"/>
    <w:rsid w:val="001D1329"/>
    <w:rsid w:val="001D348D"/>
    <w:rsid w:val="001E1C93"/>
    <w:rsid w:val="001E1DE9"/>
    <w:rsid w:val="001E1F48"/>
    <w:rsid w:val="001E29CB"/>
    <w:rsid w:val="001E2F3D"/>
    <w:rsid w:val="001E4306"/>
    <w:rsid w:val="001E52B3"/>
    <w:rsid w:val="001E5D84"/>
    <w:rsid w:val="001E62E1"/>
    <w:rsid w:val="001E6F73"/>
    <w:rsid w:val="001E74EE"/>
    <w:rsid w:val="001E7781"/>
    <w:rsid w:val="001F0870"/>
    <w:rsid w:val="001F09EF"/>
    <w:rsid w:val="001F11AE"/>
    <w:rsid w:val="001F15BD"/>
    <w:rsid w:val="001F222D"/>
    <w:rsid w:val="001F3020"/>
    <w:rsid w:val="001F4120"/>
    <w:rsid w:val="001F5164"/>
    <w:rsid w:val="001F55C9"/>
    <w:rsid w:val="001F639B"/>
    <w:rsid w:val="001F670C"/>
    <w:rsid w:val="00200BA5"/>
    <w:rsid w:val="00202951"/>
    <w:rsid w:val="00203F11"/>
    <w:rsid w:val="00205B32"/>
    <w:rsid w:val="00207F3E"/>
    <w:rsid w:val="002102B5"/>
    <w:rsid w:val="00211041"/>
    <w:rsid w:val="0021124E"/>
    <w:rsid w:val="002113D2"/>
    <w:rsid w:val="00212131"/>
    <w:rsid w:val="00213AD3"/>
    <w:rsid w:val="00217038"/>
    <w:rsid w:val="0022346A"/>
    <w:rsid w:val="00225514"/>
    <w:rsid w:val="002258CC"/>
    <w:rsid w:val="00225DE2"/>
    <w:rsid w:val="00225FAD"/>
    <w:rsid w:val="00226C9D"/>
    <w:rsid w:val="002306CA"/>
    <w:rsid w:val="00230C45"/>
    <w:rsid w:val="002343AB"/>
    <w:rsid w:val="00234940"/>
    <w:rsid w:val="0023762A"/>
    <w:rsid w:val="002378EB"/>
    <w:rsid w:val="00240C32"/>
    <w:rsid w:val="002417A2"/>
    <w:rsid w:val="00241EE6"/>
    <w:rsid w:val="00242558"/>
    <w:rsid w:val="0024294C"/>
    <w:rsid w:val="002439E7"/>
    <w:rsid w:val="00247D4C"/>
    <w:rsid w:val="00250395"/>
    <w:rsid w:val="00250550"/>
    <w:rsid w:val="0025177B"/>
    <w:rsid w:val="002521EB"/>
    <w:rsid w:val="002533AB"/>
    <w:rsid w:val="002560B3"/>
    <w:rsid w:val="00260769"/>
    <w:rsid w:val="00263E58"/>
    <w:rsid w:val="00264A9A"/>
    <w:rsid w:val="0026500B"/>
    <w:rsid w:val="00267D39"/>
    <w:rsid w:val="00270053"/>
    <w:rsid w:val="002700C3"/>
    <w:rsid w:val="002706EF"/>
    <w:rsid w:val="00271219"/>
    <w:rsid w:val="0027195E"/>
    <w:rsid w:val="0027323F"/>
    <w:rsid w:val="002753C2"/>
    <w:rsid w:val="00275AC1"/>
    <w:rsid w:val="00276541"/>
    <w:rsid w:val="00277533"/>
    <w:rsid w:val="00277598"/>
    <w:rsid w:val="0028010F"/>
    <w:rsid w:val="00280B40"/>
    <w:rsid w:val="00280D4C"/>
    <w:rsid w:val="00281024"/>
    <w:rsid w:val="002835AD"/>
    <w:rsid w:val="002851C8"/>
    <w:rsid w:val="0028753B"/>
    <w:rsid w:val="00287FBA"/>
    <w:rsid w:val="002906B5"/>
    <w:rsid w:val="00290C4C"/>
    <w:rsid w:val="0029180E"/>
    <w:rsid w:val="002936B9"/>
    <w:rsid w:val="00295CCB"/>
    <w:rsid w:val="0029608C"/>
    <w:rsid w:val="002A02DD"/>
    <w:rsid w:val="002A05EF"/>
    <w:rsid w:val="002A096A"/>
    <w:rsid w:val="002A1639"/>
    <w:rsid w:val="002A2405"/>
    <w:rsid w:val="002A2AEA"/>
    <w:rsid w:val="002A2E62"/>
    <w:rsid w:val="002A3E27"/>
    <w:rsid w:val="002A48B2"/>
    <w:rsid w:val="002A4A5F"/>
    <w:rsid w:val="002A5FAF"/>
    <w:rsid w:val="002B0140"/>
    <w:rsid w:val="002B0C60"/>
    <w:rsid w:val="002B1D91"/>
    <w:rsid w:val="002B3E04"/>
    <w:rsid w:val="002B4B6F"/>
    <w:rsid w:val="002B5BD1"/>
    <w:rsid w:val="002C25F1"/>
    <w:rsid w:val="002C26C6"/>
    <w:rsid w:val="002C2A81"/>
    <w:rsid w:val="002C2CA8"/>
    <w:rsid w:val="002C2E6C"/>
    <w:rsid w:val="002C4475"/>
    <w:rsid w:val="002C5467"/>
    <w:rsid w:val="002C7002"/>
    <w:rsid w:val="002D19A4"/>
    <w:rsid w:val="002D44B4"/>
    <w:rsid w:val="002D459C"/>
    <w:rsid w:val="002D53A9"/>
    <w:rsid w:val="002D6A9C"/>
    <w:rsid w:val="002D7504"/>
    <w:rsid w:val="002E06EE"/>
    <w:rsid w:val="002E0ED7"/>
    <w:rsid w:val="002E2802"/>
    <w:rsid w:val="002E33E5"/>
    <w:rsid w:val="002E4A6A"/>
    <w:rsid w:val="002E58C7"/>
    <w:rsid w:val="002E5B77"/>
    <w:rsid w:val="002E5C0A"/>
    <w:rsid w:val="002F17FE"/>
    <w:rsid w:val="002F1D0B"/>
    <w:rsid w:val="002F3B7B"/>
    <w:rsid w:val="002F3F9B"/>
    <w:rsid w:val="002F4D52"/>
    <w:rsid w:val="002F4ED1"/>
    <w:rsid w:val="002F5076"/>
    <w:rsid w:val="002F5F79"/>
    <w:rsid w:val="002F6ABC"/>
    <w:rsid w:val="002F6F96"/>
    <w:rsid w:val="002F7E32"/>
    <w:rsid w:val="0030013F"/>
    <w:rsid w:val="00303760"/>
    <w:rsid w:val="00303F05"/>
    <w:rsid w:val="003042BB"/>
    <w:rsid w:val="00304800"/>
    <w:rsid w:val="003048C9"/>
    <w:rsid w:val="00304CCC"/>
    <w:rsid w:val="0030556B"/>
    <w:rsid w:val="00305C24"/>
    <w:rsid w:val="003062DA"/>
    <w:rsid w:val="00306943"/>
    <w:rsid w:val="00307847"/>
    <w:rsid w:val="003107FA"/>
    <w:rsid w:val="00312B01"/>
    <w:rsid w:val="00312DD9"/>
    <w:rsid w:val="0031527E"/>
    <w:rsid w:val="00315BF7"/>
    <w:rsid w:val="00316304"/>
    <w:rsid w:val="00317F02"/>
    <w:rsid w:val="003207BD"/>
    <w:rsid w:val="00321623"/>
    <w:rsid w:val="00321B6D"/>
    <w:rsid w:val="00321F2B"/>
    <w:rsid w:val="00322338"/>
    <w:rsid w:val="0032360E"/>
    <w:rsid w:val="00324343"/>
    <w:rsid w:val="00324939"/>
    <w:rsid w:val="00324F37"/>
    <w:rsid w:val="003254AC"/>
    <w:rsid w:val="0032599C"/>
    <w:rsid w:val="003264A6"/>
    <w:rsid w:val="00327D5A"/>
    <w:rsid w:val="003317DC"/>
    <w:rsid w:val="0033446F"/>
    <w:rsid w:val="003345A5"/>
    <w:rsid w:val="003349C4"/>
    <w:rsid w:val="00336569"/>
    <w:rsid w:val="00340928"/>
    <w:rsid w:val="00341243"/>
    <w:rsid w:val="003415DE"/>
    <w:rsid w:val="00341AB2"/>
    <w:rsid w:val="00343E59"/>
    <w:rsid w:val="00345A80"/>
    <w:rsid w:val="00347A90"/>
    <w:rsid w:val="00351595"/>
    <w:rsid w:val="003530EA"/>
    <w:rsid w:val="00353A86"/>
    <w:rsid w:val="00354447"/>
    <w:rsid w:val="00354DA4"/>
    <w:rsid w:val="00355276"/>
    <w:rsid w:val="00356407"/>
    <w:rsid w:val="003565D1"/>
    <w:rsid w:val="00356B92"/>
    <w:rsid w:val="00363753"/>
    <w:rsid w:val="00363816"/>
    <w:rsid w:val="00364157"/>
    <w:rsid w:val="0036535D"/>
    <w:rsid w:val="00366D8C"/>
    <w:rsid w:val="003678A1"/>
    <w:rsid w:val="00367A9C"/>
    <w:rsid w:val="00367E9B"/>
    <w:rsid w:val="003739A6"/>
    <w:rsid w:val="00374902"/>
    <w:rsid w:val="00375307"/>
    <w:rsid w:val="00376576"/>
    <w:rsid w:val="0037675F"/>
    <w:rsid w:val="0037696B"/>
    <w:rsid w:val="0038146C"/>
    <w:rsid w:val="00382250"/>
    <w:rsid w:val="003838FD"/>
    <w:rsid w:val="003839E3"/>
    <w:rsid w:val="00383A37"/>
    <w:rsid w:val="00383B54"/>
    <w:rsid w:val="00384482"/>
    <w:rsid w:val="003844C2"/>
    <w:rsid w:val="00385868"/>
    <w:rsid w:val="003877AC"/>
    <w:rsid w:val="00392B01"/>
    <w:rsid w:val="00393CD8"/>
    <w:rsid w:val="00396005"/>
    <w:rsid w:val="003A13E1"/>
    <w:rsid w:val="003A184B"/>
    <w:rsid w:val="003A2ADF"/>
    <w:rsid w:val="003A3357"/>
    <w:rsid w:val="003A40B9"/>
    <w:rsid w:val="003A608F"/>
    <w:rsid w:val="003A7585"/>
    <w:rsid w:val="003A7EEE"/>
    <w:rsid w:val="003B0D65"/>
    <w:rsid w:val="003B10C3"/>
    <w:rsid w:val="003B299F"/>
    <w:rsid w:val="003B2ACB"/>
    <w:rsid w:val="003B360A"/>
    <w:rsid w:val="003B3C49"/>
    <w:rsid w:val="003B3DF7"/>
    <w:rsid w:val="003B407F"/>
    <w:rsid w:val="003B4456"/>
    <w:rsid w:val="003B45D4"/>
    <w:rsid w:val="003B5410"/>
    <w:rsid w:val="003B6920"/>
    <w:rsid w:val="003B79EB"/>
    <w:rsid w:val="003C0CDB"/>
    <w:rsid w:val="003C0ED0"/>
    <w:rsid w:val="003C108F"/>
    <w:rsid w:val="003C18CC"/>
    <w:rsid w:val="003C1B43"/>
    <w:rsid w:val="003C1D8B"/>
    <w:rsid w:val="003C4FC0"/>
    <w:rsid w:val="003C637C"/>
    <w:rsid w:val="003C7389"/>
    <w:rsid w:val="003D5B66"/>
    <w:rsid w:val="003D5DFC"/>
    <w:rsid w:val="003D69F2"/>
    <w:rsid w:val="003D6E79"/>
    <w:rsid w:val="003D705C"/>
    <w:rsid w:val="003E0725"/>
    <w:rsid w:val="003E0C98"/>
    <w:rsid w:val="003E29A6"/>
    <w:rsid w:val="003E3484"/>
    <w:rsid w:val="003E4E42"/>
    <w:rsid w:val="003E5E13"/>
    <w:rsid w:val="003E6967"/>
    <w:rsid w:val="003E785F"/>
    <w:rsid w:val="003E7925"/>
    <w:rsid w:val="003F3550"/>
    <w:rsid w:val="003F44E5"/>
    <w:rsid w:val="003F4BAA"/>
    <w:rsid w:val="003F5DAB"/>
    <w:rsid w:val="003F7512"/>
    <w:rsid w:val="00404F43"/>
    <w:rsid w:val="0040523C"/>
    <w:rsid w:val="00406077"/>
    <w:rsid w:val="004074CE"/>
    <w:rsid w:val="004104D9"/>
    <w:rsid w:val="004108D3"/>
    <w:rsid w:val="00411A64"/>
    <w:rsid w:val="004125CE"/>
    <w:rsid w:val="00415013"/>
    <w:rsid w:val="00415869"/>
    <w:rsid w:val="00416E0E"/>
    <w:rsid w:val="00417D24"/>
    <w:rsid w:val="00420132"/>
    <w:rsid w:val="00420350"/>
    <w:rsid w:val="004204C3"/>
    <w:rsid w:val="0042125C"/>
    <w:rsid w:val="004237E2"/>
    <w:rsid w:val="00423B10"/>
    <w:rsid w:val="00423EFF"/>
    <w:rsid w:val="0042559E"/>
    <w:rsid w:val="004269FE"/>
    <w:rsid w:val="00427339"/>
    <w:rsid w:val="00430811"/>
    <w:rsid w:val="00431AD0"/>
    <w:rsid w:val="00432A62"/>
    <w:rsid w:val="00432D53"/>
    <w:rsid w:val="0043617A"/>
    <w:rsid w:val="004375EF"/>
    <w:rsid w:val="00441A0E"/>
    <w:rsid w:val="004422D6"/>
    <w:rsid w:val="004425E3"/>
    <w:rsid w:val="00442B2B"/>
    <w:rsid w:val="0044535B"/>
    <w:rsid w:val="00445AC7"/>
    <w:rsid w:val="004460F2"/>
    <w:rsid w:val="00446541"/>
    <w:rsid w:val="00446E9E"/>
    <w:rsid w:val="00446F46"/>
    <w:rsid w:val="00450385"/>
    <w:rsid w:val="00451FC6"/>
    <w:rsid w:val="00452919"/>
    <w:rsid w:val="00453961"/>
    <w:rsid w:val="00453A05"/>
    <w:rsid w:val="00453F36"/>
    <w:rsid w:val="004552E4"/>
    <w:rsid w:val="00455301"/>
    <w:rsid w:val="004626BD"/>
    <w:rsid w:val="00462B84"/>
    <w:rsid w:val="004636F6"/>
    <w:rsid w:val="00463F15"/>
    <w:rsid w:val="004660C2"/>
    <w:rsid w:val="00470B7E"/>
    <w:rsid w:val="00470D17"/>
    <w:rsid w:val="00470DBD"/>
    <w:rsid w:val="00471247"/>
    <w:rsid w:val="004724B2"/>
    <w:rsid w:val="00472901"/>
    <w:rsid w:val="00477A7A"/>
    <w:rsid w:val="004825EA"/>
    <w:rsid w:val="00482758"/>
    <w:rsid w:val="004829A8"/>
    <w:rsid w:val="00482A0C"/>
    <w:rsid w:val="00482CE1"/>
    <w:rsid w:val="00485B5F"/>
    <w:rsid w:val="00486016"/>
    <w:rsid w:val="004863EC"/>
    <w:rsid w:val="00486F2B"/>
    <w:rsid w:val="00487A80"/>
    <w:rsid w:val="00487F14"/>
    <w:rsid w:val="00491E3F"/>
    <w:rsid w:val="004943D8"/>
    <w:rsid w:val="004961BB"/>
    <w:rsid w:val="0049685D"/>
    <w:rsid w:val="00497011"/>
    <w:rsid w:val="004A1F0F"/>
    <w:rsid w:val="004A29C8"/>
    <w:rsid w:val="004A32F0"/>
    <w:rsid w:val="004A5556"/>
    <w:rsid w:val="004A7423"/>
    <w:rsid w:val="004A7C0C"/>
    <w:rsid w:val="004B00CC"/>
    <w:rsid w:val="004B0A8B"/>
    <w:rsid w:val="004B149C"/>
    <w:rsid w:val="004B33CF"/>
    <w:rsid w:val="004B3B80"/>
    <w:rsid w:val="004B4368"/>
    <w:rsid w:val="004B45DE"/>
    <w:rsid w:val="004B6518"/>
    <w:rsid w:val="004C1639"/>
    <w:rsid w:val="004C1EB3"/>
    <w:rsid w:val="004C2AEF"/>
    <w:rsid w:val="004C3A7C"/>
    <w:rsid w:val="004C3B03"/>
    <w:rsid w:val="004C3B4D"/>
    <w:rsid w:val="004C5017"/>
    <w:rsid w:val="004C5B2C"/>
    <w:rsid w:val="004C7200"/>
    <w:rsid w:val="004D2D5B"/>
    <w:rsid w:val="004D3C97"/>
    <w:rsid w:val="004D3DA7"/>
    <w:rsid w:val="004D3E14"/>
    <w:rsid w:val="004D6068"/>
    <w:rsid w:val="004D786E"/>
    <w:rsid w:val="004E01E9"/>
    <w:rsid w:val="004E53C3"/>
    <w:rsid w:val="004E6926"/>
    <w:rsid w:val="004E7E9C"/>
    <w:rsid w:val="004F0866"/>
    <w:rsid w:val="004F1AE9"/>
    <w:rsid w:val="004F2481"/>
    <w:rsid w:val="004F3B2C"/>
    <w:rsid w:val="004F3F07"/>
    <w:rsid w:val="004F525C"/>
    <w:rsid w:val="004F554E"/>
    <w:rsid w:val="00501572"/>
    <w:rsid w:val="005019C4"/>
    <w:rsid w:val="00501B65"/>
    <w:rsid w:val="00501BE5"/>
    <w:rsid w:val="005021B9"/>
    <w:rsid w:val="00504181"/>
    <w:rsid w:val="00505A7E"/>
    <w:rsid w:val="005062F7"/>
    <w:rsid w:val="0050791C"/>
    <w:rsid w:val="00510962"/>
    <w:rsid w:val="0051330F"/>
    <w:rsid w:val="00514EEF"/>
    <w:rsid w:val="00515CB6"/>
    <w:rsid w:val="00516A0A"/>
    <w:rsid w:val="0052141F"/>
    <w:rsid w:val="005218F6"/>
    <w:rsid w:val="00521A82"/>
    <w:rsid w:val="00523179"/>
    <w:rsid w:val="005235B7"/>
    <w:rsid w:val="00523F31"/>
    <w:rsid w:val="00524BC6"/>
    <w:rsid w:val="00525E47"/>
    <w:rsid w:val="005260F5"/>
    <w:rsid w:val="00526E04"/>
    <w:rsid w:val="0052799E"/>
    <w:rsid w:val="00531047"/>
    <w:rsid w:val="005315CE"/>
    <w:rsid w:val="00534AE7"/>
    <w:rsid w:val="005358A9"/>
    <w:rsid w:val="00536578"/>
    <w:rsid w:val="00536769"/>
    <w:rsid w:val="00536C04"/>
    <w:rsid w:val="00537FCC"/>
    <w:rsid w:val="0054037D"/>
    <w:rsid w:val="00540B1F"/>
    <w:rsid w:val="0054142B"/>
    <w:rsid w:val="0054262C"/>
    <w:rsid w:val="00544304"/>
    <w:rsid w:val="005456E9"/>
    <w:rsid w:val="00546DE8"/>
    <w:rsid w:val="00550657"/>
    <w:rsid w:val="00550E79"/>
    <w:rsid w:val="0055248D"/>
    <w:rsid w:val="00552B83"/>
    <w:rsid w:val="00552F3D"/>
    <w:rsid w:val="00554325"/>
    <w:rsid w:val="00554420"/>
    <w:rsid w:val="00555476"/>
    <w:rsid w:val="00555BEA"/>
    <w:rsid w:val="00556420"/>
    <w:rsid w:val="005601E7"/>
    <w:rsid w:val="005603CA"/>
    <w:rsid w:val="0056089C"/>
    <w:rsid w:val="0056111A"/>
    <w:rsid w:val="0056144C"/>
    <w:rsid w:val="005616AD"/>
    <w:rsid w:val="00563913"/>
    <w:rsid w:val="00566223"/>
    <w:rsid w:val="00571255"/>
    <w:rsid w:val="0057147B"/>
    <w:rsid w:val="00571E40"/>
    <w:rsid w:val="00572214"/>
    <w:rsid w:val="0057224F"/>
    <w:rsid w:val="0057248D"/>
    <w:rsid w:val="0057255F"/>
    <w:rsid w:val="0057337B"/>
    <w:rsid w:val="00573CFF"/>
    <w:rsid w:val="00573D68"/>
    <w:rsid w:val="00577905"/>
    <w:rsid w:val="00577A6B"/>
    <w:rsid w:val="00580784"/>
    <w:rsid w:val="00581807"/>
    <w:rsid w:val="00581CFD"/>
    <w:rsid w:val="005826EC"/>
    <w:rsid w:val="00582704"/>
    <w:rsid w:val="00582F15"/>
    <w:rsid w:val="005877B9"/>
    <w:rsid w:val="005920C6"/>
    <w:rsid w:val="00592BDF"/>
    <w:rsid w:val="0059474E"/>
    <w:rsid w:val="00595F83"/>
    <w:rsid w:val="00595FA0"/>
    <w:rsid w:val="005966D5"/>
    <w:rsid w:val="00597E79"/>
    <w:rsid w:val="005A0C63"/>
    <w:rsid w:val="005A258D"/>
    <w:rsid w:val="005A277E"/>
    <w:rsid w:val="005A31D0"/>
    <w:rsid w:val="005A35E9"/>
    <w:rsid w:val="005A5EEE"/>
    <w:rsid w:val="005A5F41"/>
    <w:rsid w:val="005A5FB1"/>
    <w:rsid w:val="005A6045"/>
    <w:rsid w:val="005A6399"/>
    <w:rsid w:val="005A70DD"/>
    <w:rsid w:val="005A79F6"/>
    <w:rsid w:val="005B0B8F"/>
    <w:rsid w:val="005B10AC"/>
    <w:rsid w:val="005B3466"/>
    <w:rsid w:val="005B3678"/>
    <w:rsid w:val="005B5365"/>
    <w:rsid w:val="005C1BAF"/>
    <w:rsid w:val="005C3A5E"/>
    <w:rsid w:val="005C3A77"/>
    <w:rsid w:val="005C3AE6"/>
    <w:rsid w:val="005C5AD2"/>
    <w:rsid w:val="005C5EAB"/>
    <w:rsid w:val="005C68D2"/>
    <w:rsid w:val="005C7A1D"/>
    <w:rsid w:val="005D1869"/>
    <w:rsid w:val="005D2A34"/>
    <w:rsid w:val="005D3BB5"/>
    <w:rsid w:val="005D6505"/>
    <w:rsid w:val="005E14B5"/>
    <w:rsid w:val="005E1D1C"/>
    <w:rsid w:val="005E3FAE"/>
    <w:rsid w:val="005E628E"/>
    <w:rsid w:val="005E6439"/>
    <w:rsid w:val="005E781A"/>
    <w:rsid w:val="005E7897"/>
    <w:rsid w:val="005F0C47"/>
    <w:rsid w:val="005F1485"/>
    <w:rsid w:val="005F3C8D"/>
    <w:rsid w:val="005F50FD"/>
    <w:rsid w:val="005F745A"/>
    <w:rsid w:val="005F759D"/>
    <w:rsid w:val="00600820"/>
    <w:rsid w:val="00600F07"/>
    <w:rsid w:val="00601FDC"/>
    <w:rsid w:val="00604D9C"/>
    <w:rsid w:val="006065B2"/>
    <w:rsid w:val="00606E2D"/>
    <w:rsid w:val="0060759F"/>
    <w:rsid w:val="0060760E"/>
    <w:rsid w:val="00611038"/>
    <w:rsid w:val="0061116C"/>
    <w:rsid w:val="0061170A"/>
    <w:rsid w:val="00613C42"/>
    <w:rsid w:val="00615085"/>
    <w:rsid w:val="006169ED"/>
    <w:rsid w:val="00620B09"/>
    <w:rsid w:val="00620DB4"/>
    <w:rsid w:val="00622B7C"/>
    <w:rsid w:val="006235A7"/>
    <w:rsid w:val="00624591"/>
    <w:rsid w:val="00626F8B"/>
    <w:rsid w:val="0062739D"/>
    <w:rsid w:val="00630369"/>
    <w:rsid w:val="006307EF"/>
    <w:rsid w:val="0063271B"/>
    <w:rsid w:val="00635D1E"/>
    <w:rsid w:val="0063797F"/>
    <w:rsid w:val="00637A7C"/>
    <w:rsid w:val="00640815"/>
    <w:rsid w:val="006412F5"/>
    <w:rsid w:val="00641A13"/>
    <w:rsid w:val="006442B3"/>
    <w:rsid w:val="006507EB"/>
    <w:rsid w:val="00650913"/>
    <w:rsid w:val="00650D74"/>
    <w:rsid w:val="00650F42"/>
    <w:rsid w:val="00651F26"/>
    <w:rsid w:val="00652427"/>
    <w:rsid w:val="006533CD"/>
    <w:rsid w:val="006539CB"/>
    <w:rsid w:val="00653FBA"/>
    <w:rsid w:val="00656C4F"/>
    <w:rsid w:val="00661A64"/>
    <w:rsid w:val="00661BD5"/>
    <w:rsid w:val="00661D2F"/>
    <w:rsid w:val="006622F3"/>
    <w:rsid w:val="0066402B"/>
    <w:rsid w:val="00667219"/>
    <w:rsid w:val="00670253"/>
    <w:rsid w:val="0067079B"/>
    <w:rsid w:val="00672CF8"/>
    <w:rsid w:val="006733E6"/>
    <w:rsid w:val="00673F93"/>
    <w:rsid w:val="00681810"/>
    <w:rsid w:val="00681897"/>
    <w:rsid w:val="006851D5"/>
    <w:rsid w:val="006872CF"/>
    <w:rsid w:val="00690EF2"/>
    <w:rsid w:val="006912D1"/>
    <w:rsid w:val="00692466"/>
    <w:rsid w:val="00692A49"/>
    <w:rsid w:val="00692BFA"/>
    <w:rsid w:val="00693342"/>
    <w:rsid w:val="006933A0"/>
    <w:rsid w:val="00693F96"/>
    <w:rsid w:val="00694879"/>
    <w:rsid w:val="006948F1"/>
    <w:rsid w:val="006973EB"/>
    <w:rsid w:val="0069773D"/>
    <w:rsid w:val="006A0720"/>
    <w:rsid w:val="006A0EBA"/>
    <w:rsid w:val="006A105D"/>
    <w:rsid w:val="006A28B9"/>
    <w:rsid w:val="006A4B38"/>
    <w:rsid w:val="006A4F2C"/>
    <w:rsid w:val="006A559C"/>
    <w:rsid w:val="006A5AA9"/>
    <w:rsid w:val="006A677B"/>
    <w:rsid w:val="006A7334"/>
    <w:rsid w:val="006B0804"/>
    <w:rsid w:val="006B253C"/>
    <w:rsid w:val="006B7667"/>
    <w:rsid w:val="006C0038"/>
    <w:rsid w:val="006C381A"/>
    <w:rsid w:val="006C4DB0"/>
    <w:rsid w:val="006C4EA0"/>
    <w:rsid w:val="006C6FB6"/>
    <w:rsid w:val="006C71C3"/>
    <w:rsid w:val="006C7D25"/>
    <w:rsid w:val="006D3B13"/>
    <w:rsid w:val="006D73B0"/>
    <w:rsid w:val="006E0A35"/>
    <w:rsid w:val="006E15B9"/>
    <w:rsid w:val="006E2517"/>
    <w:rsid w:val="006E39E4"/>
    <w:rsid w:val="006E560C"/>
    <w:rsid w:val="006F0767"/>
    <w:rsid w:val="006F169D"/>
    <w:rsid w:val="006F3F0A"/>
    <w:rsid w:val="006F4B64"/>
    <w:rsid w:val="006F613A"/>
    <w:rsid w:val="006F6C47"/>
    <w:rsid w:val="00700924"/>
    <w:rsid w:val="00700E74"/>
    <w:rsid w:val="007020B4"/>
    <w:rsid w:val="007039AE"/>
    <w:rsid w:val="0070640C"/>
    <w:rsid w:val="0070799E"/>
    <w:rsid w:val="00710BA1"/>
    <w:rsid w:val="007135E6"/>
    <w:rsid w:val="007137F1"/>
    <w:rsid w:val="00717EF6"/>
    <w:rsid w:val="00720197"/>
    <w:rsid w:val="007217B0"/>
    <w:rsid w:val="00721854"/>
    <w:rsid w:val="00721BF5"/>
    <w:rsid w:val="0072285C"/>
    <w:rsid w:val="00723161"/>
    <w:rsid w:val="00724CBE"/>
    <w:rsid w:val="007252D3"/>
    <w:rsid w:val="007323CA"/>
    <w:rsid w:val="007329D2"/>
    <w:rsid w:val="00732E8C"/>
    <w:rsid w:val="00733D14"/>
    <w:rsid w:val="007340E3"/>
    <w:rsid w:val="00735839"/>
    <w:rsid w:val="0073660F"/>
    <w:rsid w:val="0073684A"/>
    <w:rsid w:val="00737C52"/>
    <w:rsid w:val="00737D4D"/>
    <w:rsid w:val="007413CE"/>
    <w:rsid w:val="0074181A"/>
    <w:rsid w:val="007425AD"/>
    <w:rsid w:val="00742B90"/>
    <w:rsid w:val="00743F6C"/>
    <w:rsid w:val="0074612B"/>
    <w:rsid w:val="0074632A"/>
    <w:rsid w:val="00746B45"/>
    <w:rsid w:val="007475FB"/>
    <w:rsid w:val="00750DAD"/>
    <w:rsid w:val="007511FF"/>
    <w:rsid w:val="00751CC6"/>
    <w:rsid w:val="00752D77"/>
    <w:rsid w:val="0075314A"/>
    <w:rsid w:val="00754B8B"/>
    <w:rsid w:val="0075557C"/>
    <w:rsid w:val="007570FF"/>
    <w:rsid w:val="007608DB"/>
    <w:rsid w:val="0076090F"/>
    <w:rsid w:val="00760B14"/>
    <w:rsid w:val="00763DAA"/>
    <w:rsid w:val="007643DE"/>
    <w:rsid w:val="007649A8"/>
    <w:rsid w:val="00764AEA"/>
    <w:rsid w:val="00764C13"/>
    <w:rsid w:val="00764F9F"/>
    <w:rsid w:val="00767384"/>
    <w:rsid w:val="007710D9"/>
    <w:rsid w:val="0077148A"/>
    <w:rsid w:val="00771EF3"/>
    <w:rsid w:val="0077314F"/>
    <w:rsid w:val="00773272"/>
    <w:rsid w:val="007732A9"/>
    <w:rsid w:val="00774EAB"/>
    <w:rsid w:val="00776120"/>
    <w:rsid w:val="00780C76"/>
    <w:rsid w:val="00780C9E"/>
    <w:rsid w:val="00781B20"/>
    <w:rsid w:val="00782CBD"/>
    <w:rsid w:val="00783962"/>
    <w:rsid w:val="00784AF0"/>
    <w:rsid w:val="00784DDF"/>
    <w:rsid w:val="007864EB"/>
    <w:rsid w:val="00786984"/>
    <w:rsid w:val="00790E34"/>
    <w:rsid w:val="00792B19"/>
    <w:rsid w:val="00793DF0"/>
    <w:rsid w:val="007941C0"/>
    <w:rsid w:val="00795457"/>
    <w:rsid w:val="007961F4"/>
    <w:rsid w:val="0079679E"/>
    <w:rsid w:val="00796E26"/>
    <w:rsid w:val="007A0B37"/>
    <w:rsid w:val="007A2B88"/>
    <w:rsid w:val="007A3AAF"/>
    <w:rsid w:val="007A3EFC"/>
    <w:rsid w:val="007A56C0"/>
    <w:rsid w:val="007A6114"/>
    <w:rsid w:val="007B0647"/>
    <w:rsid w:val="007B59B3"/>
    <w:rsid w:val="007B6DAC"/>
    <w:rsid w:val="007B6E01"/>
    <w:rsid w:val="007C0611"/>
    <w:rsid w:val="007C1E55"/>
    <w:rsid w:val="007C2CE4"/>
    <w:rsid w:val="007C3600"/>
    <w:rsid w:val="007D087C"/>
    <w:rsid w:val="007D183D"/>
    <w:rsid w:val="007D28CA"/>
    <w:rsid w:val="007D2F7F"/>
    <w:rsid w:val="007D5032"/>
    <w:rsid w:val="007D6E7F"/>
    <w:rsid w:val="007D6E9E"/>
    <w:rsid w:val="007E13ED"/>
    <w:rsid w:val="007E15F1"/>
    <w:rsid w:val="007E19CE"/>
    <w:rsid w:val="007E1EE1"/>
    <w:rsid w:val="007E2FC4"/>
    <w:rsid w:val="007E3F85"/>
    <w:rsid w:val="007E510B"/>
    <w:rsid w:val="007E6254"/>
    <w:rsid w:val="007E6279"/>
    <w:rsid w:val="007E6406"/>
    <w:rsid w:val="007F00AD"/>
    <w:rsid w:val="007F03CE"/>
    <w:rsid w:val="007F1CD6"/>
    <w:rsid w:val="007F2E76"/>
    <w:rsid w:val="007F2ED3"/>
    <w:rsid w:val="007F434D"/>
    <w:rsid w:val="007F4C2E"/>
    <w:rsid w:val="007F7443"/>
    <w:rsid w:val="008000BD"/>
    <w:rsid w:val="00800903"/>
    <w:rsid w:val="008038A0"/>
    <w:rsid w:val="00804CC9"/>
    <w:rsid w:val="00806BDE"/>
    <w:rsid w:val="00807049"/>
    <w:rsid w:val="0080747A"/>
    <w:rsid w:val="00810145"/>
    <w:rsid w:val="0081158D"/>
    <w:rsid w:val="00811DF4"/>
    <w:rsid w:val="0081217A"/>
    <w:rsid w:val="00814E45"/>
    <w:rsid w:val="00816083"/>
    <w:rsid w:val="00816148"/>
    <w:rsid w:val="0081652B"/>
    <w:rsid w:val="00816698"/>
    <w:rsid w:val="00817830"/>
    <w:rsid w:val="008179EC"/>
    <w:rsid w:val="00817CAA"/>
    <w:rsid w:val="00820A45"/>
    <w:rsid w:val="00820D18"/>
    <w:rsid w:val="00820D52"/>
    <w:rsid w:val="008218BB"/>
    <w:rsid w:val="008232AA"/>
    <w:rsid w:val="00825A02"/>
    <w:rsid w:val="00826566"/>
    <w:rsid w:val="008269A6"/>
    <w:rsid w:val="00830F55"/>
    <w:rsid w:val="00834F6A"/>
    <w:rsid w:val="00835357"/>
    <w:rsid w:val="00835539"/>
    <w:rsid w:val="00837087"/>
    <w:rsid w:val="00840E85"/>
    <w:rsid w:val="008417AE"/>
    <w:rsid w:val="008428B4"/>
    <w:rsid w:val="008430CF"/>
    <w:rsid w:val="00843154"/>
    <w:rsid w:val="008431BB"/>
    <w:rsid w:val="0084374D"/>
    <w:rsid w:val="00845DEC"/>
    <w:rsid w:val="008476CD"/>
    <w:rsid w:val="00850C13"/>
    <w:rsid w:val="00850FC3"/>
    <w:rsid w:val="00851E1C"/>
    <w:rsid w:val="00853E26"/>
    <w:rsid w:val="008556C1"/>
    <w:rsid w:val="008566DE"/>
    <w:rsid w:val="008569B9"/>
    <w:rsid w:val="00856EAD"/>
    <w:rsid w:val="00860F50"/>
    <w:rsid w:val="0086307A"/>
    <w:rsid w:val="00864256"/>
    <w:rsid w:val="00864BBC"/>
    <w:rsid w:val="00865244"/>
    <w:rsid w:val="0086539E"/>
    <w:rsid w:val="00865EC2"/>
    <w:rsid w:val="008662A3"/>
    <w:rsid w:val="008669D1"/>
    <w:rsid w:val="008675ED"/>
    <w:rsid w:val="00867E4B"/>
    <w:rsid w:val="00870370"/>
    <w:rsid w:val="008712EC"/>
    <w:rsid w:val="0087138C"/>
    <w:rsid w:val="0087147A"/>
    <w:rsid w:val="0087243D"/>
    <w:rsid w:val="00874A42"/>
    <w:rsid w:val="00875642"/>
    <w:rsid w:val="00880888"/>
    <w:rsid w:val="0088258A"/>
    <w:rsid w:val="008826FD"/>
    <w:rsid w:val="00883EA2"/>
    <w:rsid w:val="00883F07"/>
    <w:rsid w:val="0088570E"/>
    <w:rsid w:val="00886EEE"/>
    <w:rsid w:val="0088704B"/>
    <w:rsid w:val="008878FD"/>
    <w:rsid w:val="00887A7A"/>
    <w:rsid w:val="008911EE"/>
    <w:rsid w:val="00891CEB"/>
    <w:rsid w:val="008947AC"/>
    <w:rsid w:val="00894AE1"/>
    <w:rsid w:val="008957F0"/>
    <w:rsid w:val="008959D8"/>
    <w:rsid w:val="00895BEB"/>
    <w:rsid w:val="008975C9"/>
    <w:rsid w:val="00897FA3"/>
    <w:rsid w:val="008A0EAC"/>
    <w:rsid w:val="008A16C4"/>
    <w:rsid w:val="008A3B4E"/>
    <w:rsid w:val="008A4448"/>
    <w:rsid w:val="008A7810"/>
    <w:rsid w:val="008A782A"/>
    <w:rsid w:val="008B2855"/>
    <w:rsid w:val="008B2A1D"/>
    <w:rsid w:val="008B35F5"/>
    <w:rsid w:val="008B3F01"/>
    <w:rsid w:val="008B48AB"/>
    <w:rsid w:val="008B56F4"/>
    <w:rsid w:val="008B58D8"/>
    <w:rsid w:val="008B6EA2"/>
    <w:rsid w:val="008C005B"/>
    <w:rsid w:val="008C0456"/>
    <w:rsid w:val="008C20F3"/>
    <w:rsid w:val="008C31FD"/>
    <w:rsid w:val="008C342B"/>
    <w:rsid w:val="008C3ED3"/>
    <w:rsid w:val="008C685F"/>
    <w:rsid w:val="008C7015"/>
    <w:rsid w:val="008C7306"/>
    <w:rsid w:val="008C7601"/>
    <w:rsid w:val="008C7D80"/>
    <w:rsid w:val="008D00D3"/>
    <w:rsid w:val="008D3773"/>
    <w:rsid w:val="008D4F79"/>
    <w:rsid w:val="008D5480"/>
    <w:rsid w:val="008D619D"/>
    <w:rsid w:val="008D686C"/>
    <w:rsid w:val="008D6ED2"/>
    <w:rsid w:val="008D7328"/>
    <w:rsid w:val="008E06EF"/>
    <w:rsid w:val="008E358B"/>
    <w:rsid w:val="008E49B0"/>
    <w:rsid w:val="008E67FC"/>
    <w:rsid w:val="008E6862"/>
    <w:rsid w:val="008E688C"/>
    <w:rsid w:val="008F18E4"/>
    <w:rsid w:val="008F190D"/>
    <w:rsid w:val="008F2188"/>
    <w:rsid w:val="008F2F3B"/>
    <w:rsid w:val="008F3843"/>
    <w:rsid w:val="008F3C15"/>
    <w:rsid w:val="008F4451"/>
    <w:rsid w:val="008F5769"/>
    <w:rsid w:val="008F66D8"/>
    <w:rsid w:val="008F6901"/>
    <w:rsid w:val="008F698B"/>
    <w:rsid w:val="008F7687"/>
    <w:rsid w:val="00900AB1"/>
    <w:rsid w:val="00904803"/>
    <w:rsid w:val="00904879"/>
    <w:rsid w:val="009048D2"/>
    <w:rsid w:val="009065F0"/>
    <w:rsid w:val="00906C6B"/>
    <w:rsid w:val="009075B6"/>
    <w:rsid w:val="00907A14"/>
    <w:rsid w:val="00907BBF"/>
    <w:rsid w:val="0091060B"/>
    <w:rsid w:val="00911145"/>
    <w:rsid w:val="00911A0C"/>
    <w:rsid w:val="0091207D"/>
    <w:rsid w:val="00915060"/>
    <w:rsid w:val="00920D94"/>
    <w:rsid w:val="00921860"/>
    <w:rsid w:val="00922799"/>
    <w:rsid w:val="00922EFE"/>
    <w:rsid w:val="009239A2"/>
    <w:rsid w:val="0092581B"/>
    <w:rsid w:val="009262CD"/>
    <w:rsid w:val="00930B84"/>
    <w:rsid w:val="00931FFE"/>
    <w:rsid w:val="009321F7"/>
    <w:rsid w:val="00932705"/>
    <w:rsid w:val="009336BB"/>
    <w:rsid w:val="009364AA"/>
    <w:rsid w:val="00937356"/>
    <w:rsid w:val="00943170"/>
    <w:rsid w:val="00947552"/>
    <w:rsid w:val="009478C9"/>
    <w:rsid w:val="00947F3C"/>
    <w:rsid w:val="00950CA9"/>
    <w:rsid w:val="009517FB"/>
    <w:rsid w:val="00951B00"/>
    <w:rsid w:val="0095392E"/>
    <w:rsid w:val="00956807"/>
    <w:rsid w:val="009572A6"/>
    <w:rsid w:val="00961C9D"/>
    <w:rsid w:val="00962847"/>
    <w:rsid w:val="009630CC"/>
    <w:rsid w:val="00963E1C"/>
    <w:rsid w:val="009656B0"/>
    <w:rsid w:val="00965710"/>
    <w:rsid w:val="00967613"/>
    <w:rsid w:val="00967D28"/>
    <w:rsid w:val="00971457"/>
    <w:rsid w:val="00971A0E"/>
    <w:rsid w:val="009724AC"/>
    <w:rsid w:val="00973225"/>
    <w:rsid w:val="00973C14"/>
    <w:rsid w:val="00973DDC"/>
    <w:rsid w:val="00973EDE"/>
    <w:rsid w:val="009748F1"/>
    <w:rsid w:val="00974DAF"/>
    <w:rsid w:val="00975A1D"/>
    <w:rsid w:val="00975B66"/>
    <w:rsid w:val="0097608A"/>
    <w:rsid w:val="00977AB9"/>
    <w:rsid w:val="00980161"/>
    <w:rsid w:val="00981E32"/>
    <w:rsid w:val="009832DD"/>
    <w:rsid w:val="009837DC"/>
    <w:rsid w:val="009841F0"/>
    <w:rsid w:val="00985C02"/>
    <w:rsid w:val="00985C77"/>
    <w:rsid w:val="00986849"/>
    <w:rsid w:val="00986D96"/>
    <w:rsid w:val="0099021D"/>
    <w:rsid w:val="00991332"/>
    <w:rsid w:val="00992284"/>
    <w:rsid w:val="00993729"/>
    <w:rsid w:val="0099594E"/>
    <w:rsid w:val="00995D41"/>
    <w:rsid w:val="00997805"/>
    <w:rsid w:val="00997FFD"/>
    <w:rsid w:val="009A0938"/>
    <w:rsid w:val="009A0E93"/>
    <w:rsid w:val="009A1169"/>
    <w:rsid w:val="009A183B"/>
    <w:rsid w:val="009A21E3"/>
    <w:rsid w:val="009A31D2"/>
    <w:rsid w:val="009A35B9"/>
    <w:rsid w:val="009A4FB5"/>
    <w:rsid w:val="009A57AB"/>
    <w:rsid w:val="009A7AB9"/>
    <w:rsid w:val="009B0D5D"/>
    <w:rsid w:val="009B12D8"/>
    <w:rsid w:val="009B1409"/>
    <w:rsid w:val="009B3617"/>
    <w:rsid w:val="009B470F"/>
    <w:rsid w:val="009B672B"/>
    <w:rsid w:val="009B7084"/>
    <w:rsid w:val="009C026E"/>
    <w:rsid w:val="009C0978"/>
    <w:rsid w:val="009C10D9"/>
    <w:rsid w:val="009C13E8"/>
    <w:rsid w:val="009C53C7"/>
    <w:rsid w:val="009C597F"/>
    <w:rsid w:val="009C7348"/>
    <w:rsid w:val="009D0023"/>
    <w:rsid w:val="009D04BF"/>
    <w:rsid w:val="009D095F"/>
    <w:rsid w:val="009D0F17"/>
    <w:rsid w:val="009D1081"/>
    <w:rsid w:val="009D1102"/>
    <w:rsid w:val="009D2CB7"/>
    <w:rsid w:val="009D55CB"/>
    <w:rsid w:val="009D622B"/>
    <w:rsid w:val="009D7642"/>
    <w:rsid w:val="009D7B72"/>
    <w:rsid w:val="009D7E81"/>
    <w:rsid w:val="009E00EA"/>
    <w:rsid w:val="009E378E"/>
    <w:rsid w:val="009E44B3"/>
    <w:rsid w:val="009E59AC"/>
    <w:rsid w:val="009E6298"/>
    <w:rsid w:val="009E7D6B"/>
    <w:rsid w:val="009F08BB"/>
    <w:rsid w:val="009F1249"/>
    <w:rsid w:val="009F1300"/>
    <w:rsid w:val="009F2505"/>
    <w:rsid w:val="009F28F8"/>
    <w:rsid w:val="009F320B"/>
    <w:rsid w:val="009F5536"/>
    <w:rsid w:val="009F6E0F"/>
    <w:rsid w:val="009F7275"/>
    <w:rsid w:val="00A00CC1"/>
    <w:rsid w:val="00A013CC"/>
    <w:rsid w:val="00A01C2E"/>
    <w:rsid w:val="00A01D8B"/>
    <w:rsid w:val="00A028C5"/>
    <w:rsid w:val="00A02A4F"/>
    <w:rsid w:val="00A0449C"/>
    <w:rsid w:val="00A048F3"/>
    <w:rsid w:val="00A11499"/>
    <w:rsid w:val="00A11F1D"/>
    <w:rsid w:val="00A12404"/>
    <w:rsid w:val="00A13916"/>
    <w:rsid w:val="00A1510E"/>
    <w:rsid w:val="00A173B2"/>
    <w:rsid w:val="00A17740"/>
    <w:rsid w:val="00A17D17"/>
    <w:rsid w:val="00A200E7"/>
    <w:rsid w:val="00A205E4"/>
    <w:rsid w:val="00A228BB"/>
    <w:rsid w:val="00A22BF4"/>
    <w:rsid w:val="00A22C72"/>
    <w:rsid w:val="00A22CD7"/>
    <w:rsid w:val="00A23B7B"/>
    <w:rsid w:val="00A23CBC"/>
    <w:rsid w:val="00A23E7C"/>
    <w:rsid w:val="00A2418B"/>
    <w:rsid w:val="00A24A76"/>
    <w:rsid w:val="00A24F5C"/>
    <w:rsid w:val="00A26942"/>
    <w:rsid w:val="00A30192"/>
    <w:rsid w:val="00A317C6"/>
    <w:rsid w:val="00A31D33"/>
    <w:rsid w:val="00A330A6"/>
    <w:rsid w:val="00A33D6C"/>
    <w:rsid w:val="00A33DF8"/>
    <w:rsid w:val="00A340C7"/>
    <w:rsid w:val="00A34375"/>
    <w:rsid w:val="00A352A4"/>
    <w:rsid w:val="00A3678D"/>
    <w:rsid w:val="00A375FB"/>
    <w:rsid w:val="00A37B4A"/>
    <w:rsid w:val="00A41393"/>
    <w:rsid w:val="00A41579"/>
    <w:rsid w:val="00A45120"/>
    <w:rsid w:val="00A45A01"/>
    <w:rsid w:val="00A46012"/>
    <w:rsid w:val="00A479CE"/>
    <w:rsid w:val="00A47CFE"/>
    <w:rsid w:val="00A502AF"/>
    <w:rsid w:val="00A51EF1"/>
    <w:rsid w:val="00A5548C"/>
    <w:rsid w:val="00A5610C"/>
    <w:rsid w:val="00A56E57"/>
    <w:rsid w:val="00A61576"/>
    <w:rsid w:val="00A61891"/>
    <w:rsid w:val="00A625FF"/>
    <w:rsid w:val="00A63B37"/>
    <w:rsid w:val="00A63BAF"/>
    <w:rsid w:val="00A63CDF"/>
    <w:rsid w:val="00A64828"/>
    <w:rsid w:val="00A64866"/>
    <w:rsid w:val="00A65FEE"/>
    <w:rsid w:val="00A661FA"/>
    <w:rsid w:val="00A71469"/>
    <w:rsid w:val="00A72E23"/>
    <w:rsid w:val="00A73175"/>
    <w:rsid w:val="00A73B04"/>
    <w:rsid w:val="00A73BC2"/>
    <w:rsid w:val="00A76CCD"/>
    <w:rsid w:val="00A77771"/>
    <w:rsid w:val="00A80CA1"/>
    <w:rsid w:val="00A81BE9"/>
    <w:rsid w:val="00A81FEE"/>
    <w:rsid w:val="00A82A74"/>
    <w:rsid w:val="00A830C5"/>
    <w:rsid w:val="00A83DBC"/>
    <w:rsid w:val="00A84161"/>
    <w:rsid w:val="00A84ABE"/>
    <w:rsid w:val="00A85C7C"/>
    <w:rsid w:val="00A8601F"/>
    <w:rsid w:val="00A87242"/>
    <w:rsid w:val="00A92F5D"/>
    <w:rsid w:val="00A93A2D"/>
    <w:rsid w:val="00A940F1"/>
    <w:rsid w:val="00A94621"/>
    <w:rsid w:val="00A95573"/>
    <w:rsid w:val="00A95AF4"/>
    <w:rsid w:val="00A95FE6"/>
    <w:rsid w:val="00A960F5"/>
    <w:rsid w:val="00A96193"/>
    <w:rsid w:val="00A96796"/>
    <w:rsid w:val="00A97D65"/>
    <w:rsid w:val="00AA1E4A"/>
    <w:rsid w:val="00AA23BC"/>
    <w:rsid w:val="00AA265B"/>
    <w:rsid w:val="00AA386B"/>
    <w:rsid w:val="00AA42F4"/>
    <w:rsid w:val="00AA6532"/>
    <w:rsid w:val="00AA6F77"/>
    <w:rsid w:val="00AA70DF"/>
    <w:rsid w:val="00AA76EA"/>
    <w:rsid w:val="00AA7F15"/>
    <w:rsid w:val="00AB2DA2"/>
    <w:rsid w:val="00AB2F4C"/>
    <w:rsid w:val="00AB3AFA"/>
    <w:rsid w:val="00AB5529"/>
    <w:rsid w:val="00AB5FDE"/>
    <w:rsid w:val="00AB6098"/>
    <w:rsid w:val="00AC0805"/>
    <w:rsid w:val="00AC2069"/>
    <w:rsid w:val="00AC3066"/>
    <w:rsid w:val="00AC3BD1"/>
    <w:rsid w:val="00AC6142"/>
    <w:rsid w:val="00AC6695"/>
    <w:rsid w:val="00AC6A64"/>
    <w:rsid w:val="00AC7EAE"/>
    <w:rsid w:val="00AD126F"/>
    <w:rsid w:val="00AD1F13"/>
    <w:rsid w:val="00AD4877"/>
    <w:rsid w:val="00AD49E0"/>
    <w:rsid w:val="00AD5D6E"/>
    <w:rsid w:val="00AD64B1"/>
    <w:rsid w:val="00AE080D"/>
    <w:rsid w:val="00AE0EC6"/>
    <w:rsid w:val="00AE1987"/>
    <w:rsid w:val="00AE2D10"/>
    <w:rsid w:val="00AE2E48"/>
    <w:rsid w:val="00AE2F4B"/>
    <w:rsid w:val="00AE3E31"/>
    <w:rsid w:val="00AE6411"/>
    <w:rsid w:val="00AE6814"/>
    <w:rsid w:val="00AE7F08"/>
    <w:rsid w:val="00AF01BB"/>
    <w:rsid w:val="00AF0313"/>
    <w:rsid w:val="00AF0EFD"/>
    <w:rsid w:val="00AF1460"/>
    <w:rsid w:val="00AF4A74"/>
    <w:rsid w:val="00AF53C5"/>
    <w:rsid w:val="00AF675F"/>
    <w:rsid w:val="00AF72F9"/>
    <w:rsid w:val="00AF7CB7"/>
    <w:rsid w:val="00B000B3"/>
    <w:rsid w:val="00B00141"/>
    <w:rsid w:val="00B01265"/>
    <w:rsid w:val="00B019FD"/>
    <w:rsid w:val="00B04114"/>
    <w:rsid w:val="00B04444"/>
    <w:rsid w:val="00B04B3C"/>
    <w:rsid w:val="00B05481"/>
    <w:rsid w:val="00B06137"/>
    <w:rsid w:val="00B065B4"/>
    <w:rsid w:val="00B06DEA"/>
    <w:rsid w:val="00B11478"/>
    <w:rsid w:val="00B11E80"/>
    <w:rsid w:val="00B145F1"/>
    <w:rsid w:val="00B14664"/>
    <w:rsid w:val="00B15DE6"/>
    <w:rsid w:val="00B23208"/>
    <w:rsid w:val="00B241ED"/>
    <w:rsid w:val="00B24811"/>
    <w:rsid w:val="00B24827"/>
    <w:rsid w:val="00B252EC"/>
    <w:rsid w:val="00B266F8"/>
    <w:rsid w:val="00B267CF"/>
    <w:rsid w:val="00B27168"/>
    <w:rsid w:val="00B3065C"/>
    <w:rsid w:val="00B318FC"/>
    <w:rsid w:val="00B32482"/>
    <w:rsid w:val="00B33AFA"/>
    <w:rsid w:val="00B346D6"/>
    <w:rsid w:val="00B353AE"/>
    <w:rsid w:val="00B3554A"/>
    <w:rsid w:val="00B372F1"/>
    <w:rsid w:val="00B37771"/>
    <w:rsid w:val="00B40F43"/>
    <w:rsid w:val="00B423EB"/>
    <w:rsid w:val="00B43363"/>
    <w:rsid w:val="00B513C5"/>
    <w:rsid w:val="00B51FF3"/>
    <w:rsid w:val="00B5432B"/>
    <w:rsid w:val="00B54CEB"/>
    <w:rsid w:val="00B562E6"/>
    <w:rsid w:val="00B56D46"/>
    <w:rsid w:val="00B56E0E"/>
    <w:rsid w:val="00B60D62"/>
    <w:rsid w:val="00B61BF5"/>
    <w:rsid w:val="00B6237E"/>
    <w:rsid w:val="00B63885"/>
    <w:rsid w:val="00B64A32"/>
    <w:rsid w:val="00B64E8E"/>
    <w:rsid w:val="00B67CB9"/>
    <w:rsid w:val="00B67FA1"/>
    <w:rsid w:val="00B702F6"/>
    <w:rsid w:val="00B70858"/>
    <w:rsid w:val="00B72303"/>
    <w:rsid w:val="00B75772"/>
    <w:rsid w:val="00B77795"/>
    <w:rsid w:val="00B7781C"/>
    <w:rsid w:val="00B77C6E"/>
    <w:rsid w:val="00B8063D"/>
    <w:rsid w:val="00B8077C"/>
    <w:rsid w:val="00B811C8"/>
    <w:rsid w:val="00B82323"/>
    <w:rsid w:val="00B8236C"/>
    <w:rsid w:val="00B82C36"/>
    <w:rsid w:val="00B83F0C"/>
    <w:rsid w:val="00B86661"/>
    <w:rsid w:val="00B87F77"/>
    <w:rsid w:val="00B903E6"/>
    <w:rsid w:val="00B91C98"/>
    <w:rsid w:val="00B92468"/>
    <w:rsid w:val="00B926DB"/>
    <w:rsid w:val="00B92E30"/>
    <w:rsid w:val="00B934BE"/>
    <w:rsid w:val="00B93A03"/>
    <w:rsid w:val="00B94438"/>
    <w:rsid w:val="00B9509E"/>
    <w:rsid w:val="00B95856"/>
    <w:rsid w:val="00B95B9D"/>
    <w:rsid w:val="00B95ED5"/>
    <w:rsid w:val="00B95FE4"/>
    <w:rsid w:val="00B9630A"/>
    <w:rsid w:val="00B963C1"/>
    <w:rsid w:val="00B96ACB"/>
    <w:rsid w:val="00B97815"/>
    <w:rsid w:val="00BA028B"/>
    <w:rsid w:val="00BA0AC9"/>
    <w:rsid w:val="00BA0C58"/>
    <w:rsid w:val="00BA1661"/>
    <w:rsid w:val="00BA20D9"/>
    <w:rsid w:val="00BA31F1"/>
    <w:rsid w:val="00BA3A61"/>
    <w:rsid w:val="00BA4BC7"/>
    <w:rsid w:val="00BA516A"/>
    <w:rsid w:val="00BA7077"/>
    <w:rsid w:val="00BA782F"/>
    <w:rsid w:val="00BB0D33"/>
    <w:rsid w:val="00BB27A0"/>
    <w:rsid w:val="00BB47D1"/>
    <w:rsid w:val="00BB4B11"/>
    <w:rsid w:val="00BB52C7"/>
    <w:rsid w:val="00BB533B"/>
    <w:rsid w:val="00BB7E44"/>
    <w:rsid w:val="00BC0177"/>
    <w:rsid w:val="00BC1120"/>
    <w:rsid w:val="00BC16DF"/>
    <w:rsid w:val="00BC2BB8"/>
    <w:rsid w:val="00BC73AC"/>
    <w:rsid w:val="00BD1299"/>
    <w:rsid w:val="00BD2714"/>
    <w:rsid w:val="00BD2AB8"/>
    <w:rsid w:val="00BD2ED9"/>
    <w:rsid w:val="00BD4553"/>
    <w:rsid w:val="00BD68AF"/>
    <w:rsid w:val="00BE0365"/>
    <w:rsid w:val="00BE34C4"/>
    <w:rsid w:val="00BE4849"/>
    <w:rsid w:val="00BE679E"/>
    <w:rsid w:val="00BF065A"/>
    <w:rsid w:val="00BF267E"/>
    <w:rsid w:val="00BF3B51"/>
    <w:rsid w:val="00BF3B9B"/>
    <w:rsid w:val="00BF4FEC"/>
    <w:rsid w:val="00BF5A37"/>
    <w:rsid w:val="00BF74C4"/>
    <w:rsid w:val="00C0251C"/>
    <w:rsid w:val="00C02854"/>
    <w:rsid w:val="00C04E78"/>
    <w:rsid w:val="00C04EB9"/>
    <w:rsid w:val="00C10A6A"/>
    <w:rsid w:val="00C10CC7"/>
    <w:rsid w:val="00C10D57"/>
    <w:rsid w:val="00C1235F"/>
    <w:rsid w:val="00C12ED4"/>
    <w:rsid w:val="00C13230"/>
    <w:rsid w:val="00C14C2C"/>
    <w:rsid w:val="00C15E92"/>
    <w:rsid w:val="00C16AEC"/>
    <w:rsid w:val="00C17EA9"/>
    <w:rsid w:val="00C2130B"/>
    <w:rsid w:val="00C21447"/>
    <w:rsid w:val="00C21F3D"/>
    <w:rsid w:val="00C2297B"/>
    <w:rsid w:val="00C23156"/>
    <w:rsid w:val="00C246B8"/>
    <w:rsid w:val="00C24CD6"/>
    <w:rsid w:val="00C253DB"/>
    <w:rsid w:val="00C25403"/>
    <w:rsid w:val="00C26EDB"/>
    <w:rsid w:val="00C27818"/>
    <w:rsid w:val="00C30B40"/>
    <w:rsid w:val="00C354FF"/>
    <w:rsid w:val="00C3650E"/>
    <w:rsid w:val="00C36AD1"/>
    <w:rsid w:val="00C372AE"/>
    <w:rsid w:val="00C3762A"/>
    <w:rsid w:val="00C46316"/>
    <w:rsid w:val="00C53B84"/>
    <w:rsid w:val="00C54838"/>
    <w:rsid w:val="00C5565A"/>
    <w:rsid w:val="00C600A2"/>
    <w:rsid w:val="00C61316"/>
    <w:rsid w:val="00C62006"/>
    <w:rsid w:val="00C62A4F"/>
    <w:rsid w:val="00C64398"/>
    <w:rsid w:val="00C645CD"/>
    <w:rsid w:val="00C70703"/>
    <w:rsid w:val="00C710D8"/>
    <w:rsid w:val="00C71A19"/>
    <w:rsid w:val="00C727A2"/>
    <w:rsid w:val="00C7568A"/>
    <w:rsid w:val="00C75D8B"/>
    <w:rsid w:val="00C769F6"/>
    <w:rsid w:val="00C772D0"/>
    <w:rsid w:val="00C8299D"/>
    <w:rsid w:val="00C83ADE"/>
    <w:rsid w:val="00C83C0C"/>
    <w:rsid w:val="00C85CC7"/>
    <w:rsid w:val="00C862B2"/>
    <w:rsid w:val="00C86CF8"/>
    <w:rsid w:val="00C90617"/>
    <w:rsid w:val="00C9102C"/>
    <w:rsid w:val="00C9261A"/>
    <w:rsid w:val="00C928DD"/>
    <w:rsid w:val="00C93A65"/>
    <w:rsid w:val="00C94198"/>
    <w:rsid w:val="00C94742"/>
    <w:rsid w:val="00C94882"/>
    <w:rsid w:val="00C958D4"/>
    <w:rsid w:val="00C960DB"/>
    <w:rsid w:val="00C96D4B"/>
    <w:rsid w:val="00CA0160"/>
    <w:rsid w:val="00CA0D77"/>
    <w:rsid w:val="00CA0E6A"/>
    <w:rsid w:val="00CA1B1C"/>
    <w:rsid w:val="00CA231A"/>
    <w:rsid w:val="00CA3CC9"/>
    <w:rsid w:val="00CA720E"/>
    <w:rsid w:val="00CB1814"/>
    <w:rsid w:val="00CB1A44"/>
    <w:rsid w:val="00CB28BD"/>
    <w:rsid w:val="00CB4C40"/>
    <w:rsid w:val="00CB4C7F"/>
    <w:rsid w:val="00CB5BD3"/>
    <w:rsid w:val="00CB6836"/>
    <w:rsid w:val="00CB69FF"/>
    <w:rsid w:val="00CC134C"/>
    <w:rsid w:val="00CC1D89"/>
    <w:rsid w:val="00CC1E3A"/>
    <w:rsid w:val="00CC2DE9"/>
    <w:rsid w:val="00CC2EA7"/>
    <w:rsid w:val="00CC2EE6"/>
    <w:rsid w:val="00CC3502"/>
    <w:rsid w:val="00CC36B1"/>
    <w:rsid w:val="00CC409C"/>
    <w:rsid w:val="00CC5AE8"/>
    <w:rsid w:val="00CC701C"/>
    <w:rsid w:val="00CC757B"/>
    <w:rsid w:val="00CC7799"/>
    <w:rsid w:val="00CD141F"/>
    <w:rsid w:val="00CD35E7"/>
    <w:rsid w:val="00CD38E2"/>
    <w:rsid w:val="00CD44EA"/>
    <w:rsid w:val="00CD5798"/>
    <w:rsid w:val="00CD7759"/>
    <w:rsid w:val="00CD7E1B"/>
    <w:rsid w:val="00CE05B0"/>
    <w:rsid w:val="00CE1E12"/>
    <w:rsid w:val="00CE3BC9"/>
    <w:rsid w:val="00CE3E59"/>
    <w:rsid w:val="00CE4791"/>
    <w:rsid w:val="00CE4E2E"/>
    <w:rsid w:val="00CE4E35"/>
    <w:rsid w:val="00CE56FF"/>
    <w:rsid w:val="00CF1467"/>
    <w:rsid w:val="00CF15CC"/>
    <w:rsid w:val="00CF2326"/>
    <w:rsid w:val="00CF2673"/>
    <w:rsid w:val="00CF7943"/>
    <w:rsid w:val="00D00545"/>
    <w:rsid w:val="00D008BE"/>
    <w:rsid w:val="00D01465"/>
    <w:rsid w:val="00D01A81"/>
    <w:rsid w:val="00D024C7"/>
    <w:rsid w:val="00D05E4D"/>
    <w:rsid w:val="00D063F8"/>
    <w:rsid w:val="00D11C7A"/>
    <w:rsid w:val="00D121F9"/>
    <w:rsid w:val="00D13BB7"/>
    <w:rsid w:val="00D15205"/>
    <w:rsid w:val="00D15ACD"/>
    <w:rsid w:val="00D17E7C"/>
    <w:rsid w:val="00D2181F"/>
    <w:rsid w:val="00D230EE"/>
    <w:rsid w:val="00D231F4"/>
    <w:rsid w:val="00D235FC"/>
    <w:rsid w:val="00D2523C"/>
    <w:rsid w:val="00D27275"/>
    <w:rsid w:val="00D272D9"/>
    <w:rsid w:val="00D27381"/>
    <w:rsid w:val="00D302F9"/>
    <w:rsid w:val="00D30524"/>
    <w:rsid w:val="00D3401E"/>
    <w:rsid w:val="00D352B3"/>
    <w:rsid w:val="00D379B0"/>
    <w:rsid w:val="00D404FF"/>
    <w:rsid w:val="00D40E0F"/>
    <w:rsid w:val="00D410AE"/>
    <w:rsid w:val="00D42664"/>
    <w:rsid w:val="00D43C27"/>
    <w:rsid w:val="00D43EA5"/>
    <w:rsid w:val="00D44903"/>
    <w:rsid w:val="00D456BB"/>
    <w:rsid w:val="00D46020"/>
    <w:rsid w:val="00D46470"/>
    <w:rsid w:val="00D50737"/>
    <w:rsid w:val="00D50786"/>
    <w:rsid w:val="00D50997"/>
    <w:rsid w:val="00D510A7"/>
    <w:rsid w:val="00D51BD9"/>
    <w:rsid w:val="00D552F7"/>
    <w:rsid w:val="00D566F4"/>
    <w:rsid w:val="00D56B4C"/>
    <w:rsid w:val="00D57074"/>
    <w:rsid w:val="00D601C7"/>
    <w:rsid w:val="00D616CA"/>
    <w:rsid w:val="00D62BCD"/>
    <w:rsid w:val="00D6304C"/>
    <w:rsid w:val="00D641F7"/>
    <w:rsid w:val="00D66091"/>
    <w:rsid w:val="00D66BF3"/>
    <w:rsid w:val="00D676A6"/>
    <w:rsid w:val="00D70BD8"/>
    <w:rsid w:val="00D71188"/>
    <w:rsid w:val="00D71502"/>
    <w:rsid w:val="00D7289E"/>
    <w:rsid w:val="00D72B8D"/>
    <w:rsid w:val="00D73DDE"/>
    <w:rsid w:val="00D73F29"/>
    <w:rsid w:val="00D741EC"/>
    <w:rsid w:val="00D74856"/>
    <w:rsid w:val="00D766E0"/>
    <w:rsid w:val="00D80788"/>
    <w:rsid w:val="00D81971"/>
    <w:rsid w:val="00D81BF5"/>
    <w:rsid w:val="00D839C7"/>
    <w:rsid w:val="00D84A42"/>
    <w:rsid w:val="00D87E44"/>
    <w:rsid w:val="00D911D2"/>
    <w:rsid w:val="00D912C8"/>
    <w:rsid w:val="00D93C1F"/>
    <w:rsid w:val="00D94796"/>
    <w:rsid w:val="00D95DE8"/>
    <w:rsid w:val="00D962D9"/>
    <w:rsid w:val="00D96D03"/>
    <w:rsid w:val="00D97384"/>
    <w:rsid w:val="00D974FF"/>
    <w:rsid w:val="00D97AD4"/>
    <w:rsid w:val="00D97E2F"/>
    <w:rsid w:val="00DA001A"/>
    <w:rsid w:val="00DA03B5"/>
    <w:rsid w:val="00DA0665"/>
    <w:rsid w:val="00DA49EA"/>
    <w:rsid w:val="00DA5B0C"/>
    <w:rsid w:val="00DA5D27"/>
    <w:rsid w:val="00DA615B"/>
    <w:rsid w:val="00DA6191"/>
    <w:rsid w:val="00DA677C"/>
    <w:rsid w:val="00DA6C0F"/>
    <w:rsid w:val="00DA6E27"/>
    <w:rsid w:val="00DA7181"/>
    <w:rsid w:val="00DB101D"/>
    <w:rsid w:val="00DB2A2F"/>
    <w:rsid w:val="00DC1B36"/>
    <w:rsid w:val="00DC216C"/>
    <w:rsid w:val="00DC2813"/>
    <w:rsid w:val="00DC65EC"/>
    <w:rsid w:val="00DC7041"/>
    <w:rsid w:val="00DC7AB5"/>
    <w:rsid w:val="00DD07A7"/>
    <w:rsid w:val="00DD0A3C"/>
    <w:rsid w:val="00DD0E5C"/>
    <w:rsid w:val="00DD1DC7"/>
    <w:rsid w:val="00DD234E"/>
    <w:rsid w:val="00DD3075"/>
    <w:rsid w:val="00DD33A3"/>
    <w:rsid w:val="00DD3FD5"/>
    <w:rsid w:val="00DD40F8"/>
    <w:rsid w:val="00DD7173"/>
    <w:rsid w:val="00DE36B4"/>
    <w:rsid w:val="00DE4BFA"/>
    <w:rsid w:val="00DE5E09"/>
    <w:rsid w:val="00DE7FF8"/>
    <w:rsid w:val="00DF1504"/>
    <w:rsid w:val="00DF1805"/>
    <w:rsid w:val="00DF7523"/>
    <w:rsid w:val="00DF7F19"/>
    <w:rsid w:val="00E003BD"/>
    <w:rsid w:val="00E008FD"/>
    <w:rsid w:val="00E0370C"/>
    <w:rsid w:val="00E07746"/>
    <w:rsid w:val="00E10D72"/>
    <w:rsid w:val="00E1125F"/>
    <w:rsid w:val="00E11B97"/>
    <w:rsid w:val="00E12DDE"/>
    <w:rsid w:val="00E13377"/>
    <w:rsid w:val="00E13D3A"/>
    <w:rsid w:val="00E15B7D"/>
    <w:rsid w:val="00E169DF"/>
    <w:rsid w:val="00E16BBC"/>
    <w:rsid w:val="00E2085A"/>
    <w:rsid w:val="00E22185"/>
    <w:rsid w:val="00E235BA"/>
    <w:rsid w:val="00E238E4"/>
    <w:rsid w:val="00E23BA2"/>
    <w:rsid w:val="00E23C15"/>
    <w:rsid w:val="00E23C22"/>
    <w:rsid w:val="00E23D5C"/>
    <w:rsid w:val="00E24319"/>
    <w:rsid w:val="00E24844"/>
    <w:rsid w:val="00E251E9"/>
    <w:rsid w:val="00E27F1F"/>
    <w:rsid w:val="00E30FAC"/>
    <w:rsid w:val="00E31383"/>
    <w:rsid w:val="00E316AE"/>
    <w:rsid w:val="00E32544"/>
    <w:rsid w:val="00E351B5"/>
    <w:rsid w:val="00E35C83"/>
    <w:rsid w:val="00E36C15"/>
    <w:rsid w:val="00E37388"/>
    <w:rsid w:val="00E42FB7"/>
    <w:rsid w:val="00E43D35"/>
    <w:rsid w:val="00E4431B"/>
    <w:rsid w:val="00E44AED"/>
    <w:rsid w:val="00E455EF"/>
    <w:rsid w:val="00E459B2"/>
    <w:rsid w:val="00E45F1B"/>
    <w:rsid w:val="00E4668D"/>
    <w:rsid w:val="00E508DF"/>
    <w:rsid w:val="00E527EF"/>
    <w:rsid w:val="00E52D6D"/>
    <w:rsid w:val="00E54191"/>
    <w:rsid w:val="00E544F6"/>
    <w:rsid w:val="00E54EDA"/>
    <w:rsid w:val="00E60325"/>
    <w:rsid w:val="00E64310"/>
    <w:rsid w:val="00E66DDE"/>
    <w:rsid w:val="00E66F59"/>
    <w:rsid w:val="00E67AC9"/>
    <w:rsid w:val="00E70A79"/>
    <w:rsid w:val="00E71454"/>
    <w:rsid w:val="00E73776"/>
    <w:rsid w:val="00E7686C"/>
    <w:rsid w:val="00E76D7C"/>
    <w:rsid w:val="00E805A9"/>
    <w:rsid w:val="00E80927"/>
    <w:rsid w:val="00E8098D"/>
    <w:rsid w:val="00E81BA9"/>
    <w:rsid w:val="00E82CE9"/>
    <w:rsid w:val="00E831FB"/>
    <w:rsid w:val="00E853F2"/>
    <w:rsid w:val="00E877BA"/>
    <w:rsid w:val="00E90915"/>
    <w:rsid w:val="00E93998"/>
    <w:rsid w:val="00E94D99"/>
    <w:rsid w:val="00E95490"/>
    <w:rsid w:val="00E96F54"/>
    <w:rsid w:val="00EA0956"/>
    <w:rsid w:val="00EA0B82"/>
    <w:rsid w:val="00EA2663"/>
    <w:rsid w:val="00EA45C8"/>
    <w:rsid w:val="00EA7F5A"/>
    <w:rsid w:val="00EB0090"/>
    <w:rsid w:val="00EB092F"/>
    <w:rsid w:val="00EB154C"/>
    <w:rsid w:val="00EB1724"/>
    <w:rsid w:val="00EB3278"/>
    <w:rsid w:val="00EB4526"/>
    <w:rsid w:val="00EB5EDC"/>
    <w:rsid w:val="00EB61F1"/>
    <w:rsid w:val="00EC10E0"/>
    <w:rsid w:val="00EC2340"/>
    <w:rsid w:val="00EC28A1"/>
    <w:rsid w:val="00EC47AC"/>
    <w:rsid w:val="00ED135E"/>
    <w:rsid w:val="00ED2910"/>
    <w:rsid w:val="00ED4A16"/>
    <w:rsid w:val="00ED56AC"/>
    <w:rsid w:val="00ED6076"/>
    <w:rsid w:val="00ED6743"/>
    <w:rsid w:val="00EE3704"/>
    <w:rsid w:val="00EE64B6"/>
    <w:rsid w:val="00EE78D9"/>
    <w:rsid w:val="00EF49F8"/>
    <w:rsid w:val="00EF5C91"/>
    <w:rsid w:val="00EF6427"/>
    <w:rsid w:val="00EF652F"/>
    <w:rsid w:val="00EF6FDD"/>
    <w:rsid w:val="00F0105C"/>
    <w:rsid w:val="00F014B1"/>
    <w:rsid w:val="00F018D4"/>
    <w:rsid w:val="00F027A0"/>
    <w:rsid w:val="00F05FC7"/>
    <w:rsid w:val="00F075AD"/>
    <w:rsid w:val="00F076CD"/>
    <w:rsid w:val="00F0774B"/>
    <w:rsid w:val="00F07943"/>
    <w:rsid w:val="00F07F64"/>
    <w:rsid w:val="00F1146B"/>
    <w:rsid w:val="00F13DE8"/>
    <w:rsid w:val="00F13E9A"/>
    <w:rsid w:val="00F1461B"/>
    <w:rsid w:val="00F15B56"/>
    <w:rsid w:val="00F164D8"/>
    <w:rsid w:val="00F166B5"/>
    <w:rsid w:val="00F17C0F"/>
    <w:rsid w:val="00F22575"/>
    <w:rsid w:val="00F23B23"/>
    <w:rsid w:val="00F24F39"/>
    <w:rsid w:val="00F255C8"/>
    <w:rsid w:val="00F25B3E"/>
    <w:rsid w:val="00F26147"/>
    <w:rsid w:val="00F27D1F"/>
    <w:rsid w:val="00F30ACE"/>
    <w:rsid w:val="00F3119A"/>
    <w:rsid w:val="00F31652"/>
    <w:rsid w:val="00F3186A"/>
    <w:rsid w:val="00F32A8D"/>
    <w:rsid w:val="00F32DC3"/>
    <w:rsid w:val="00F332F9"/>
    <w:rsid w:val="00F34E4F"/>
    <w:rsid w:val="00F35728"/>
    <w:rsid w:val="00F35B16"/>
    <w:rsid w:val="00F35EB4"/>
    <w:rsid w:val="00F3605F"/>
    <w:rsid w:val="00F36A76"/>
    <w:rsid w:val="00F36AD7"/>
    <w:rsid w:val="00F37677"/>
    <w:rsid w:val="00F4122A"/>
    <w:rsid w:val="00F41B43"/>
    <w:rsid w:val="00F437B6"/>
    <w:rsid w:val="00F511E7"/>
    <w:rsid w:val="00F54BD3"/>
    <w:rsid w:val="00F55D49"/>
    <w:rsid w:val="00F56987"/>
    <w:rsid w:val="00F601FE"/>
    <w:rsid w:val="00F609A0"/>
    <w:rsid w:val="00F61520"/>
    <w:rsid w:val="00F621E5"/>
    <w:rsid w:val="00F62CB5"/>
    <w:rsid w:val="00F63335"/>
    <w:rsid w:val="00F64453"/>
    <w:rsid w:val="00F71886"/>
    <w:rsid w:val="00F729E3"/>
    <w:rsid w:val="00F72C51"/>
    <w:rsid w:val="00F730A9"/>
    <w:rsid w:val="00F745E7"/>
    <w:rsid w:val="00F76595"/>
    <w:rsid w:val="00F80F9F"/>
    <w:rsid w:val="00F81587"/>
    <w:rsid w:val="00F82A6E"/>
    <w:rsid w:val="00F82DE9"/>
    <w:rsid w:val="00F8334F"/>
    <w:rsid w:val="00F8341A"/>
    <w:rsid w:val="00F85FB8"/>
    <w:rsid w:val="00F87636"/>
    <w:rsid w:val="00F916E2"/>
    <w:rsid w:val="00F925C9"/>
    <w:rsid w:val="00F9331E"/>
    <w:rsid w:val="00F965F0"/>
    <w:rsid w:val="00F967B6"/>
    <w:rsid w:val="00F967DF"/>
    <w:rsid w:val="00F973CC"/>
    <w:rsid w:val="00F97A24"/>
    <w:rsid w:val="00FA0C20"/>
    <w:rsid w:val="00FA18E3"/>
    <w:rsid w:val="00FA6D80"/>
    <w:rsid w:val="00FA70E8"/>
    <w:rsid w:val="00FA7E23"/>
    <w:rsid w:val="00FB16AE"/>
    <w:rsid w:val="00FB2A53"/>
    <w:rsid w:val="00FB39C9"/>
    <w:rsid w:val="00FB5AA9"/>
    <w:rsid w:val="00FB5B1D"/>
    <w:rsid w:val="00FB6623"/>
    <w:rsid w:val="00FB6799"/>
    <w:rsid w:val="00FB6C31"/>
    <w:rsid w:val="00FC250C"/>
    <w:rsid w:val="00FC2514"/>
    <w:rsid w:val="00FC30D7"/>
    <w:rsid w:val="00FC34D0"/>
    <w:rsid w:val="00FC4A12"/>
    <w:rsid w:val="00FC6AAC"/>
    <w:rsid w:val="00FC6B02"/>
    <w:rsid w:val="00FC7477"/>
    <w:rsid w:val="00FC7BF1"/>
    <w:rsid w:val="00FD14C7"/>
    <w:rsid w:val="00FD50FB"/>
    <w:rsid w:val="00FD73CF"/>
    <w:rsid w:val="00FD7596"/>
    <w:rsid w:val="00FD7D45"/>
    <w:rsid w:val="00FD7EA5"/>
    <w:rsid w:val="00FE1BD7"/>
    <w:rsid w:val="00FE46DA"/>
    <w:rsid w:val="00FE47CE"/>
    <w:rsid w:val="00FE4B78"/>
    <w:rsid w:val="00FE4D94"/>
    <w:rsid w:val="00FE7435"/>
    <w:rsid w:val="00FF016C"/>
    <w:rsid w:val="00FF0224"/>
    <w:rsid w:val="00FF16F7"/>
    <w:rsid w:val="00FF4635"/>
    <w:rsid w:val="00FF7239"/>
    <w:rsid w:val="017875B8"/>
    <w:rsid w:val="018E6AAB"/>
    <w:rsid w:val="01B21234"/>
    <w:rsid w:val="02116D6A"/>
    <w:rsid w:val="02261B5E"/>
    <w:rsid w:val="022976E0"/>
    <w:rsid w:val="02683323"/>
    <w:rsid w:val="02C31B82"/>
    <w:rsid w:val="02CD511A"/>
    <w:rsid w:val="02E73EC0"/>
    <w:rsid w:val="02FC46A7"/>
    <w:rsid w:val="032258E3"/>
    <w:rsid w:val="03442F63"/>
    <w:rsid w:val="0352591F"/>
    <w:rsid w:val="03543B08"/>
    <w:rsid w:val="03623BA5"/>
    <w:rsid w:val="036A5165"/>
    <w:rsid w:val="03742584"/>
    <w:rsid w:val="0390639A"/>
    <w:rsid w:val="03F020F3"/>
    <w:rsid w:val="04331A22"/>
    <w:rsid w:val="04733F6C"/>
    <w:rsid w:val="04F12037"/>
    <w:rsid w:val="04FB7844"/>
    <w:rsid w:val="05182A8A"/>
    <w:rsid w:val="053023CE"/>
    <w:rsid w:val="05696BBA"/>
    <w:rsid w:val="05813B1F"/>
    <w:rsid w:val="066B5CCB"/>
    <w:rsid w:val="074F059D"/>
    <w:rsid w:val="077A2996"/>
    <w:rsid w:val="07BB0F81"/>
    <w:rsid w:val="07EF7DD3"/>
    <w:rsid w:val="08124591"/>
    <w:rsid w:val="082766A7"/>
    <w:rsid w:val="083049EA"/>
    <w:rsid w:val="089962F6"/>
    <w:rsid w:val="08A073E0"/>
    <w:rsid w:val="08D81381"/>
    <w:rsid w:val="090B446F"/>
    <w:rsid w:val="09101424"/>
    <w:rsid w:val="09381139"/>
    <w:rsid w:val="096A702E"/>
    <w:rsid w:val="097F0A0B"/>
    <w:rsid w:val="098074CF"/>
    <w:rsid w:val="0A0A0D6A"/>
    <w:rsid w:val="0A1D3680"/>
    <w:rsid w:val="0A29244B"/>
    <w:rsid w:val="0A3974C0"/>
    <w:rsid w:val="0A541351"/>
    <w:rsid w:val="0A5E1FAE"/>
    <w:rsid w:val="0A7C47EC"/>
    <w:rsid w:val="0ACE7EA3"/>
    <w:rsid w:val="0B075DA0"/>
    <w:rsid w:val="0B1F420C"/>
    <w:rsid w:val="0B410025"/>
    <w:rsid w:val="0B4C6ADA"/>
    <w:rsid w:val="0B8A2354"/>
    <w:rsid w:val="0B954986"/>
    <w:rsid w:val="0B9D70E5"/>
    <w:rsid w:val="0BD148C8"/>
    <w:rsid w:val="0BEC1075"/>
    <w:rsid w:val="0C345C5D"/>
    <w:rsid w:val="0C48668C"/>
    <w:rsid w:val="0C5F6229"/>
    <w:rsid w:val="0C62695D"/>
    <w:rsid w:val="0CE27916"/>
    <w:rsid w:val="0D04280C"/>
    <w:rsid w:val="0D122E63"/>
    <w:rsid w:val="0D177856"/>
    <w:rsid w:val="0D321554"/>
    <w:rsid w:val="0D3346DE"/>
    <w:rsid w:val="0D800561"/>
    <w:rsid w:val="0DA10D0E"/>
    <w:rsid w:val="0DB43531"/>
    <w:rsid w:val="0DCC27BC"/>
    <w:rsid w:val="0DE30D3E"/>
    <w:rsid w:val="0DE6534B"/>
    <w:rsid w:val="0E827FBF"/>
    <w:rsid w:val="0E953AB5"/>
    <w:rsid w:val="0EAE40CE"/>
    <w:rsid w:val="0EE05F30"/>
    <w:rsid w:val="0EFD6A37"/>
    <w:rsid w:val="0F066F03"/>
    <w:rsid w:val="0F0A3E18"/>
    <w:rsid w:val="0F103190"/>
    <w:rsid w:val="0F8722C5"/>
    <w:rsid w:val="0FAE55BC"/>
    <w:rsid w:val="0FC47C44"/>
    <w:rsid w:val="0FF419B0"/>
    <w:rsid w:val="0FFC53E7"/>
    <w:rsid w:val="105163F2"/>
    <w:rsid w:val="10BB33AB"/>
    <w:rsid w:val="110918AB"/>
    <w:rsid w:val="113F01FC"/>
    <w:rsid w:val="115D5194"/>
    <w:rsid w:val="116272A0"/>
    <w:rsid w:val="11AB62ED"/>
    <w:rsid w:val="12083713"/>
    <w:rsid w:val="120D4AF7"/>
    <w:rsid w:val="123B61FD"/>
    <w:rsid w:val="12766D94"/>
    <w:rsid w:val="12A12440"/>
    <w:rsid w:val="12DE08AC"/>
    <w:rsid w:val="12EC1E15"/>
    <w:rsid w:val="139C183F"/>
    <w:rsid w:val="13F8386C"/>
    <w:rsid w:val="14042531"/>
    <w:rsid w:val="14527DA8"/>
    <w:rsid w:val="146B0A25"/>
    <w:rsid w:val="14716ECD"/>
    <w:rsid w:val="149466CE"/>
    <w:rsid w:val="14A64411"/>
    <w:rsid w:val="1513734D"/>
    <w:rsid w:val="151713F7"/>
    <w:rsid w:val="15AE5D8C"/>
    <w:rsid w:val="15CC05BF"/>
    <w:rsid w:val="16060C6B"/>
    <w:rsid w:val="16084B30"/>
    <w:rsid w:val="16125031"/>
    <w:rsid w:val="165C5D10"/>
    <w:rsid w:val="16670475"/>
    <w:rsid w:val="16B43FEF"/>
    <w:rsid w:val="16BB7F02"/>
    <w:rsid w:val="16F167B6"/>
    <w:rsid w:val="17606960"/>
    <w:rsid w:val="17663F3F"/>
    <w:rsid w:val="177B2F1E"/>
    <w:rsid w:val="178C3588"/>
    <w:rsid w:val="17C33BC1"/>
    <w:rsid w:val="17CC2D59"/>
    <w:rsid w:val="17D04394"/>
    <w:rsid w:val="17DF2AB8"/>
    <w:rsid w:val="180809F6"/>
    <w:rsid w:val="18137D24"/>
    <w:rsid w:val="189C3241"/>
    <w:rsid w:val="18E67DA9"/>
    <w:rsid w:val="192A34F9"/>
    <w:rsid w:val="193A2AC2"/>
    <w:rsid w:val="199F2018"/>
    <w:rsid w:val="19AA60BB"/>
    <w:rsid w:val="19AF6D95"/>
    <w:rsid w:val="19D10C3A"/>
    <w:rsid w:val="1A256C1F"/>
    <w:rsid w:val="1A4732B7"/>
    <w:rsid w:val="1A4E23BE"/>
    <w:rsid w:val="1AB0686D"/>
    <w:rsid w:val="1ABF29D7"/>
    <w:rsid w:val="1ADE572C"/>
    <w:rsid w:val="1B151BE3"/>
    <w:rsid w:val="1B2217A3"/>
    <w:rsid w:val="1B34337C"/>
    <w:rsid w:val="1B3D6038"/>
    <w:rsid w:val="1B690FEE"/>
    <w:rsid w:val="1B77379E"/>
    <w:rsid w:val="1BC23150"/>
    <w:rsid w:val="1BEC0389"/>
    <w:rsid w:val="1C507B02"/>
    <w:rsid w:val="1C970297"/>
    <w:rsid w:val="1D1D15ED"/>
    <w:rsid w:val="1D223C19"/>
    <w:rsid w:val="1D301902"/>
    <w:rsid w:val="1D3A1FD8"/>
    <w:rsid w:val="1D7D5AD7"/>
    <w:rsid w:val="1D8753FA"/>
    <w:rsid w:val="1D8A60BC"/>
    <w:rsid w:val="1DB579E3"/>
    <w:rsid w:val="1DC84AD6"/>
    <w:rsid w:val="1DD2288D"/>
    <w:rsid w:val="1DFC4CE3"/>
    <w:rsid w:val="1E6C25DF"/>
    <w:rsid w:val="1E7828DC"/>
    <w:rsid w:val="1E9A20FC"/>
    <w:rsid w:val="1ED21570"/>
    <w:rsid w:val="1EE6312D"/>
    <w:rsid w:val="1EEC1C7A"/>
    <w:rsid w:val="1F0559BE"/>
    <w:rsid w:val="1F4F54E5"/>
    <w:rsid w:val="1F613F3D"/>
    <w:rsid w:val="1F62215B"/>
    <w:rsid w:val="1F700C60"/>
    <w:rsid w:val="1F7C3B5B"/>
    <w:rsid w:val="1FB05326"/>
    <w:rsid w:val="1FB90C74"/>
    <w:rsid w:val="201C198C"/>
    <w:rsid w:val="20286924"/>
    <w:rsid w:val="202E7D8B"/>
    <w:rsid w:val="20462310"/>
    <w:rsid w:val="204B2C2A"/>
    <w:rsid w:val="207C5751"/>
    <w:rsid w:val="20A21E92"/>
    <w:rsid w:val="20A7185C"/>
    <w:rsid w:val="20C359E2"/>
    <w:rsid w:val="20CD281D"/>
    <w:rsid w:val="20EF5FD3"/>
    <w:rsid w:val="20F65945"/>
    <w:rsid w:val="210B156D"/>
    <w:rsid w:val="211C35D3"/>
    <w:rsid w:val="21210833"/>
    <w:rsid w:val="214649AB"/>
    <w:rsid w:val="21504F11"/>
    <w:rsid w:val="21B36B39"/>
    <w:rsid w:val="21BA0DE4"/>
    <w:rsid w:val="21C048A0"/>
    <w:rsid w:val="22006CF9"/>
    <w:rsid w:val="225D22FA"/>
    <w:rsid w:val="22644859"/>
    <w:rsid w:val="226D5D67"/>
    <w:rsid w:val="228F5FEA"/>
    <w:rsid w:val="229701F9"/>
    <w:rsid w:val="22C75826"/>
    <w:rsid w:val="22D27F33"/>
    <w:rsid w:val="22DD7BDB"/>
    <w:rsid w:val="236C6451"/>
    <w:rsid w:val="23775858"/>
    <w:rsid w:val="23A267ED"/>
    <w:rsid w:val="23E11B19"/>
    <w:rsid w:val="23F57F69"/>
    <w:rsid w:val="24074860"/>
    <w:rsid w:val="24133C42"/>
    <w:rsid w:val="24144634"/>
    <w:rsid w:val="2424588A"/>
    <w:rsid w:val="24454E90"/>
    <w:rsid w:val="2494635D"/>
    <w:rsid w:val="249D3CF3"/>
    <w:rsid w:val="24E950BA"/>
    <w:rsid w:val="24EA00CC"/>
    <w:rsid w:val="251407A6"/>
    <w:rsid w:val="25446C9F"/>
    <w:rsid w:val="254D1AC1"/>
    <w:rsid w:val="25AD1EF1"/>
    <w:rsid w:val="25BD43C9"/>
    <w:rsid w:val="25CC2FAC"/>
    <w:rsid w:val="25E07901"/>
    <w:rsid w:val="25ED1950"/>
    <w:rsid w:val="261B6E84"/>
    <w:rsid w:val="26571D73"/>
    <w:rsid w:val="26616602"/>
    <w:rsid w:val="267F3368"/>
    <w:rsid w:val="268B4D5A"/>
    <w:rsid w:val="26AE7A20"/>
    <w:rsid w:val="27083551"/>
    <w:rsid w:val="273853AB"/>
    <w:rsid w:val="27980AD0"/>
    <w:rsid w:val="28060F58"/>
    <w:rsid w:val="28791C92"/>
    <w:rsid w:val="28850E33"/>
    <w:rsid w:val="28860A40"/>
    <w:rsid w:val="28F0566D"/>
    <w:rsid w:val="28F070FF"/>
    <w:rsid w:val="28F10EAE"/>
    <w:rsid w:val="28F3687D"/>
    <w:rsid w:val="28FC2377"/>
    <w:rsid w:val="28FE2098"/>
    <w:rsid w:val="295A2C3C"/>
    <w:rsid w:val="29640017"/>
    <w:rsid w:val="29725C58"/>
    <w:rsid w:val="298F4920"/>
    <w:rsid w:val="299F075B"/>
    <w:rsid w:val="29A7369C"/>
    <w:rsid w:val="29C57BF6"/>
    <w:rsid w:val="29CA39C6"/>
    <w:rsid w:val="29EA31D2"/>
    <w:rsid w:val="2A06031F"/>
    <w:rsid w:val="2A160917"/>
    <w:rsid w:val="2A4C3159"/>
    <w:rsid w:val="2A50233B"/>
    <w:rsid w:val="2A625618"/>
    <w:rsid w:val="2A6C1D98"/>
    <w:rsid w:val="2A6C4925"/>
    <w:rsid w:val="2AA31608"/>
    <w:rsid w:val="2B1A39AF"/>
    <w:rsid w:val="2B305B1F"/>
    <w:rsid w:val="2B465E43"/>
    <w:rsid w:val="2B497EB6"/>
    <w:rsid w:val="2B741D4A"/>
    <w:rsid w:val="2B7B46F4"/>
    <w:rsid w:val="2BA2146A"/>
    <w:rsid w:val="2BB570B2"/>
    <w:rsid w:val="2BD24C4D"/>
    <w:rsid w:val="2BDB6C64"/>
    <w:rsid w:val="2BEB1DE9"/>
    <w:rsid w:val="2CA03837"/>
    <w:rsid w:val="2CBC034F"/>
    <w:rsid w:val="2CD031D3"/>
    <w:rsid w:val="2D146635"/>
    <w:rsid w:val="2D346FE7"/>
    <w:rsid w:val="2D4B40CB"/>
    <w:rsid w:val="2D541E2A"/>
    <w:rsid w:val="2D6366F2"/>
    <w:rsid w:val="2D6E0581"/>
    <w:rsid w:val="2D7853A6"/>
    <w:rsid w:val="2E286B08"/>
    <w:rsid w:val="2E5500BB"/>
    <w:rsid w:val="2E5924B8"/>
    <w:rsid w:val="2E943B65"/>
    <w:rsid w:val="2EB14451"/>
    <w:rsid w:val="2F0A7CE7"/>
    <w:rsid w:val="2F2442BF"/>
    <w:rsid w:val="2F837A4C"/>
    <w:rsid w:val="2F8B0825"/>
    <w:rsid w:val="2F9E43FB"/>
    <w:rsid w:val="2FD5450F"/>
    <w:rsid w:val="2FD76F58"/>
    <w:rsid w:val="2FDE6590"/>
    <w:rsid w:val="2FEE49AD"/>
    <w:rsid w:val="300562DB"/>
    <w:rsid w:val="30525EE4"/>
    <w:rsid w:val="306F7BD6"/>
    <w:rsid w:val="30701A25"/>
    <w:rsid w:val="30806446"/>
    <w:rsid w:val="308D3CA9"/>
    <w:rsid w:val="30C10451"/>
    <w:rsid w:val="30DE545D"/>
    <w:rsid w:val="31553A36"/>
    <w:rsid w:val="315E5EF3"/>
    <w:rsid w:val="31681E86"/>
    <w:rsid w:val="3168763C"/>
    <w:rsid w:val="31AE0A75"/>
    <w:rsid w:val="31B724DE"/>
    <w:rsid w:val="31BB0FC1"/>
    <w:rsid w:val="31CF7974"/>
    <w:rsid w:val="31DB0513"/>
    <w:rsid w:val="31F045BA"/>
    <w:rsid w:val="32743B67"/>
    <w:rsid w:val="327F76DE"/>
    <w:rsid w:val="32853A15"/>
    <w:rsid w:val="32A4525F"/>
    <w:rsid w:val="32F767FC"/>
    <w:rsid w:val="32FF3618"/>
    <w:rsid w:val="33476206"/>
    <w:rsid w:val="337E4226"/>
    <w:rsid w:val="338B3895"/>
    <w:rsid w:val="33CD2F4C"/>
    <w:rsid w:val="34021F43"/>
    <w:rsid w:val="34166A12"/>
    <w:rsid w:val="34607072"/>
    <w:rsid w:val="34CB6BC9"/>
    <w:rsid w:val="34D20605"/>
    <w:rsid w:val="34D30F75"/>
    <w:rsid w:val="34D31A6D"/>
    <w:rsid w:val="34E41200"/>
    <w:rsid w:val="355D1E5B"/>
    <w:rsid w:val="356C64B0"/>
    <w:rsid w:val="35CA3C5A"/>
    <w:rsid w:val="35DE11F8"/>
    <w:rsid w:val="35EF6063"/>
    <w:rsid w:val="362902B9"/>
    <w:rsid w:val="362A141E"/>
    <w:rsid w:val="36944D68"/>
    <w:rsid w:val="369D07B7"/>
    <w:rsid w:val="36A8418E"/>
    <w:rsid w:val="36CD61F1"/>
    <w:rsid w:val="36DC2D89"/>
    <w:rsid w:val="36EE2C96"/>
    <w:rsid w:val="37074A98"/>
    <w:rsid w:val="3752241F"/>
    <w:rsid w:val="37951068"/>
    <w:rsid w:val="37CB4212"/>
    <w:rsid w:val="380D566D"/>
    <w:rsid w:val="38213953"/>
    <w:rsid w:val="38557057"/>
    <w:rsid w:val="387615F1"/>
    <w:rsid w:val="38AB7C3E"/>
    <w:rsid w:val="38C82BD9"/>
    <w:rsid w:val="39050DB8"/>
    <w:rsid w:val="393954D1"/>
    <w:rsid w:val="393A1234"/>
    <w:rsid w:val="39421864"/>
    <w:rsid w:val="397D3044"/>
    <w:rsid w:val="39B8490B"/>
    <w:rsid w:val="39C3314D"/>
    <w:rsid w:val="39EB7693"/>
    <w:rsid w:val="3A3A1775"/>
    <w:rsid w:val="3A5C5A56"/>
    <w:rsid w:val="3A5F49FA"/>
    <w:rsid w:val="3A795EB0"/>
    <w:rsid w:val="3A7A05B8"/>
    <w:rsid w:val="3AB158DC"/>
    <w:rsid w:val="3AC807AC"/>
    <w:rsid w:val="3ACF5AE4"/>
    <w:rsid w:val="3AF46337"/>
    <w:rsid w:val="3B10021E"/>
    <w:rsid w:val="3B401390"/>
    <w:rsid w:val="3B692D06"/>
    <w:rsid w:val="3B774F06"/>
    <w:rsid w:val="3B951C63"/>
    <w:rsid w:val="3BE45D68"/>
    <w:rsid w:val="3C275088"/>
    <w:rsid w:val="3C3E2F61"/>
    <w:rsid w:val="3C4C04CE"/>
    <w:rsid w:val="3C6D73A0"/>
    <w:rsid w:val="3CC677BB"/>
    <w:rsid w:val="3CFB6AC5"/>
    <w:rsid w:val="3DB3064F"/>
    <w:rsid w:val="3DD117E5"/>
    <w:rsid w:val="3E0F7723"/>
    <w:rsid w:val="3E175A62"/>
    <w:rsid w:val="3E54255D"/>
    <w:rsid w:val="3E794D73"/>
    <w:rsid w:val="3E906743"/>
    <w:rsid w:val="3EC828C4"/>
    <w:rsid w:val="3ECE1604"/>
    <w:rsid w:val="3ED91840"/>
    <w:rsid w:val="3F745D73"/>
    <w:rsid w:val="3FB20BFF"/>
    <w:rsid w:val="3FBA3F20"/>
    <w:rsid w:val="3FE45BCB"/>
    <w:rsid w:val="3FFA1DB9"/>
    <w:rsid w:val="403D352D"/>
    <w:rsid w:val="40487038"/>
    <w:rsid w:val="40771B36"/>
    <w:rsid w:val="40845CC2"/>
    <w:rsid w:val="408C6D03"/>
    <w:rsid w:val="40B23015"/>
    <w:rsid w:val="40C46581"/>
    <w:rsid w:val="40F66719"/>
    <w:rsid w:val="41557D0E"/>
    <w:rsid w:val="417846D6"/>
    <w:rsid w:val="41916E73"/>
    <w:rsid w:val="41A07546"/>
    <w:rsid w:val="420F706C"/>
    <w:rsid w:val="42203AA0"/>
    <w:rsid w:val="423A6DB8"/>
    <w:rsid w:val="425D1EA8"/>
    <w:rsid w:val="429278C8"/>
    <w:rsid w:val="42A15B87"/>
    <w:rsid w:val="42C2667A"/>
    <w:rsid w:val="43121783"/>
    <w:rsid w:val="43403A87"/>
    <w:rsid w:val="43616DE3"/>
    <w:rsid w:val="43705D26"/>
    <w:rsid w:val="437B6136"/>
    <w:rsid w:val="43BC68E3"/>
    <w:rsid w:val="43C63AEA"/>
    <w:rsid w:val="444E6CED"/>
    <w:rsid w:val="448E51D1"/>
    <w:rsid w:val="45006BF3"/>
    <w:rsid w:val="451B25A2"/>
    <w:rsid w:val="45216F7A"/>
    <w:rsid w:val="45562C6D"/>
    <w:rsid w:val="459E0AE6"/>
    <w:rsid w:val="45B03ABB"/>
    <w:rsid w:val="45F82FD2"/>
    <w:rsid w:val="45FE713F"/>
    <w:rsid w:val="46251BDF"/>
    <w:rsid w:val="463E54FB"/>
    <w:rsid w:val="46473353"/>
    <w:rsid w:val="46745F49"/>
    <w:rsid w:val="46933495"/>
    <w:rsid w:val="469A6CD9"/>
    <w:rsid w:val="47715185"/>
    <w:rsid w:val="47802B10"/>
    <w:rsid w:val="47941C85"/>
    <w:rsid w:val="479A09A9"/>
    <w:rsid w:val="47E84901"/>
    <w:rsid w:val="48027041"/>
    <w:rsid w:val="48524A37"/>
    <w:rsid w:val="485B70B0"/>
    <w:rsid w:val="48725487"/>
    <w:rsid w:val="489456FF"/>
    <w:rsid w:val="489F3899"/>
    <w:rsid w:val="48A87A38"/>
    <w:rsid w:val="48AD3356"/>
    <w:rsid w:val="48BE096F"/>
    <w:rsid w:val="48C41256"/>
    <w:rsid w:val="48DB0A7E"/>
    <w:rsid w:val="48DC1D50"/>
    <w:rsid w:val="48FF7E8E"/>
    <w:rsid w:val="492C2817"/>
    <w:rsid w:val="49571DEB"/>
    <w:rsid w:val="49601137"/>
    <w:rsid w:val="49D2423C"/>
    <w:rsid w:val="49EF506D"/>
    <w:rsid w:val="49FD5D49"/>
    <w:rsid w:val="4A02310C"/>
    <w:rsid w:val="4A1677EB"/>
    <w:rsid w:val="4AA25E6D"/>
    <w:rsid w:val="4AD95CA1"/>
    <w:rsid w:val="4AE8308B"/>
    <w:rsid w:val="4AFE062C"/>
    <w:rsid w:val="4B155B0E"/>
    <w:rsid w:val="4B2A091B"/>
    <w:rsid w:val="4B355817"/>
    <w:rsid w:val="4B514A26"/>
    <w:rsid w:val="4B5722BA"/>
    <w:rsid w:val="4B6B5C96"/>
    <w:rsid w:val="4B6D02BA"/>
    <w:rsid w:val="4B76654F"/>
    <w:rsid w:val="4BA203A0"/>
    <w:rsid w:val="4BBC2DF1"/>
    <w:rsid w:val="4BE35869"/>
    <w:rsid w:val="4C1706F0"/>
    <w:rsid w:val="4C861240"/>
    <w:rsid w:val="4C8E1988"/>
    <w:rsid w:val="4C944912"/>
    <w:rsid w:val="4CF6126C"/>
    <w:rsid w:val="4CF66797"/>
    <w:rsid w:val="4D067472"/>
    <w:rsid w:val="4D0905EE"/>
    <w:rsid w:val="4D0F700A"/>
    <w:rsid w:val="4D3627F6"/>
    <w:rsid w:val="4D414F43"/>
    <w:rsid w:val="4D5611BA"/>
    <w:rsid w:val="4D5A22AF"/>
    <w:rsid w:val="4D672C48"/>
    <w:rsid w:val="4D720545"/>
    <w:rsid w:val="4DAA7245"/>
    <w:rsid w:val="4DAF79E7"/>
    <w:rsid w:val="4DB3044F"/>
    <w:rsid w:val="4DBF3ACD"/>
    <w:rsid w:val="4DC741B6"/>
    <w:rsid w:val="4E041C8D"/>
    <w:rsid w:val="4E0E09CE"/>
    <w:rsid w:val="4EB70B85"/>
    <w:rsid w:val="4EF713CD"/>
    <w:rsid w:val="4F096A6D"/>
    <w:rsid w:val="4F122423"/>
    <w:rsid w:val="4F1D0FF8"/>
    <w:rsid w:val="4F2346E1"/>
    <w:rsid w:val="4F2E3F7C"/>
    <w:rsid w:val="4F877231"/>
    <w:rsid w:val="4F8A1332"/>
    <w:rsid w:val="4FA41C56"/>
    <w:rsid w:val="4FBE6B10"/>
    <w:rsid w:val="4FC3672A"/>
    <w:rsid w:val="4FDE7E85"/>
    <w:rsid w:val="4FEB08B0"/>
    <w:rsid w:val="4FF54B1E"/>
    <w:rsid w:val="501D2273"/>
    <w:rsid w:val="50632F24"/>
    <w:rsid w:val="50683213"/>
    <w:rsid w:val="50B631BE"/>
    <w:rsid w:val="513C4CEF"/>
    <w:rsid w:val="51485DFA"/>
    <w:rsid w:val="514D4BE8"/>
    <w:rsid w:val="51517A8F"/>
    <w:rsid w:val="51785DEA"/>
    <w:rsid w:val="51AB667D"/>
    <w:rsid w:val="51B0576F"/>
    <w:rsid w:val="51D916D7"/>
    <w:rsid w:val="51DF6158"/>
    <w:rsid w:val="51E32AE0"/>
    <w:rsid w:val="51F61669"/>
    <w:rsid w:val="51F75B6F"/>
    <w:rsid w:val="52327A39"/>
    <w:rsid w:val="524C60A5"/>
    <w:rsid w:val="525667C2"/>
    <w:rsid w:val="52C20AC6"/>
    <w:rsid w:val="52EF4A23"/>
    <w:rsid w:val="532D47A6"/>
    <w:rsid w:val="534F3FE0"/>
    <w:rsid w:val="53D84646"/>
    <w:rsid w:val="5405367C"/>
    <w:rsid w:val="54332267"/>
    <w:rsid w:val="54374CF6"/>
    <w:rsid w:val="543D18C5"/>
    <w:rsid w:val="5442370E"/>
    <w:rsid w:val="544C4D9A"/>
    <w:rsid w:val="54533B5A"/>
    <w:rsid w:val="545A326C"/>
    <w:rsid w:val="54722652"/>
    <w:rsid w:val="548F4C2E"/>
    <w:rsid w:val="54983C81"/>
    <w:rsid w:val="549C623C"/>
    <w:rsid w:val="549E739B"/>
    <w:rsid w:val="54D14FDF"/>
    <w:rsid w:val="555000D4"/>
    <w:rsid w:val="556B43C9"/>
    <w:rsid w:val="5584150A"/>
    <w:rsid w:val="558C5D9E"/>
    <w:rsid w:val="55DC664D"/>
    <w:rsid w:val="55F21429"/>
    <w:rsid w:val="56147ED1"/>
    <w:rsid w:val="56BB26FD"/>
    <w:rsid w:val="56CB662A"/>
    <w:rsid w:val="56DC2F3C"/>
    <w:rsid w:val="573B2146"/>
    <w:rsid w:val="578137B9"/>
    <w:rsid w:val="57961D00"/>
    <w:rsid w:val="57A57FA1"/>
    <w:rsid w:val="57AF1607"/>
    <w:rsid w:val="57F136D5"/>
    <w:rsid w:val="58197697"/>
    <w:rsid w:val="58425209"/>
    <w:rsid w:val="58606D73"/>
    <w:rsid w:val="58653D04"/>
    <w:rsid w:val="586B18A3"/>
    <w:rsid w:val="58782077"/>
    <w:rsid w:val="589B3367"/>
    <w:rsid w:val="58E20AC2"/>
    <w:rsid w:val="58EE0B5E"/>
    <w:rsid w:val="58F05B12"/>
    <w:rsid w:val="590F4266"/>
    <w:rsid w:val="592538D3"/>
    <w:rsid w:val="595341F6"/>
    <w:rsid w:val="5978399D"/>
    <w:rsid w:val="597C07A9"/>
    <w:rsid w:val="59AB1C5E"/>
    <w:rsid w:val="59BC359F"/>
    <w:rsid w:val="5A0D6F37"/>
    <w:rsid w:val="5A2E7971"/>
    <w:rsid w:val="5A38689C"/>
    <w:rsid w:val="5A50567B"/>
    <w:rsid w:val="5AB61704"/>
    <w:rsid w:val="5AD1720B"/>
    <w:rsid w:val="5AE827EA"/>
    <w:rsid w:val="5AF767AC"/>
    <w:rsid w:val="5AFA6539"/>
    <w:rsid w:val="5B700676"/>
    <w:rsid w:val="5B821C7D"/>
    <w:rsid w:val="5B8A32EF"/>
    <w:rsid w:val="5BA0624C"/>
    <w:rsid w:val="5BAA262B"/>
    <w:rsid w:val="5BC22908"/>
    <w:rsid w:val="5BDE32B3"/>
    <w:rsid w:val="5C204D47"/>
    <w:rsid w:val="5C2A530C"/>
    <w:rsid w:val="5C335AB8"/>
    <w:rsid w:val="5C49139B"/>
    <w:rsid w:val="5C8B6A6D"/>
    <w:rsid w:val="5CAE592A"/>
    <w:rsid w:val="5CC535C2"/>
    <w:rsid w:val="5CCA744B"/>
    <w:rsid w:val="5CDA4640"/>
    <w:rsid w:val="5CE95EDD"/>
    <w:rsid w:val="5D1B552C"/>
    <w:rsid w:val="5D710E63"/>
    <w:rsid w:val="5D8368E0"/>
    <w:rsid w:val="5DA44F0C"/>
    <w:rsid w:val="5DD24187"/>
    <w:rsid w:val="5DD75BC1"/>
    <w:rsid w:val="5DF9639D"/>
    <w:rsid w:val="5E0D5482"/>
    <w:rsid w:val="5E1A1566"/>
    <w:rsid w:val="5E2D4560"/>
    <w:rsid w:val="5E762D5A"/>
    <w:rsid w:val="5E7F6CC1"/>
    <w:rsid w:val="5E8662EE"/>
    <w:rsid w:val="5E9B618F"/>
    <w:rsid w:val="5EFC66AF"/>
    <w:rsid w:val="5F217668"/>
    <w:rsid w:val="5F5D2E4C"/>
    <w:rsid w:val="5F8F395A"/>
    <w:rsid w:val="5FD103FC"/>
    <w:rsid w:val="5FD94448"/>
    <w:rsid w:val="5FDD02DC"/>
    <w:rsid w:val="6039232E"/>
    <w:rsid w:val="604638E0"/>
    <w:rsid w:val="60493C22"/>
    <w:rsid w:val="60714D8A"/>
    <w:rsid w:val="60AC441A"/>
    <w:rsid w:val="60AF2656"/>
    <w:rsid w:val="60BD5056"/>
    <w:rsid w:val="60DC1509"/>
    <w:rsid w:val="61117DCE"/>
    <w:rsid w:val="614E01AC"/>
    <w:rsid w:val="617900F9"/>
    <w:rsid w:val="61856EA7"/>
    <w:rsid w:val="618D4CCF"/>
    <w:rsid w:val="61C3168D"/>
    <w:rsid w:val="623F3850"/>
    <w:rsid w:val="6240538D"/>
    <w:rsid w:val="62455932"/>
    <w:rsid w:val="624E4921"/>
    <w:rsid w:val="627F66EE"/>
    <w:rsid w:val="628766CD"/>
    <w:rsid w:val="62910899"/>
    <w:rsid w:val="62C274C3"/>
    <w:rsid w:val="62F515A9"/>
    <w:rsid w:val="63275E87"/>
    <w:rsid w:val="63344581"/>
    <w:rsid w:val="636447A9"/>
    <w:rsid w:val="63833AB2"/>
    <w:rsid w:val="63A20716"/>
    <w:rsid w:val="63A2535F"/>
    <w:rsid w:val="63B83A85"/>
    <w:rsid w:val="63CA088E"/>
    <w:rsid w:val="64362234"/>
    <w:rsid w:val="643904FB"/>
    <w:rsid w:val="64802C7A"/>
    <w:rsid w:val="650165B4"/>
    <w:rsid w:val="65327AEB"/>
    <w:rsid w:val="653C41ED"/>
    <w:rsid w:val="65CF76C7"/>
    <w:rsid w:val="65F10B2A"/>
    <w:rsid w:val="662F5919"/>
    <w:rsid w:val="66330A91"/>
    <w:rsid w:val="66552943"/>
    <w:rsid w:val="665910E9"/>
    <w:rsid w:val="6664570A"/>
    <w:rsid w:val="66665F1F"/>
    <w:rsid w:val="66CF417E"/>
    <w:rsid w:val="66DD6333"/>
    <w:rsid w:val="67195E8F"/>
    <w:rsid w:val="67354D97"/>
    <w:rsid w:val="67390CF6"/>
    <w:rsid w:val="676C4141"/>
    <w:rsid w:val="676E4DE6"/>
    <w:rsid w:val="677160F5"/>
    <w:rsid w:val="677F24EB"/>
    <w:rsid w:val="67856A56"/>
    <w:rsid w:val="67965FAB"/>
    <w:rsid w:val="67BE0620"/>
    <w:rsid w:val="67D11CF6"/>
    <w:rsid w:val="67F528CC"/>
    <w:rsid w:val="680824D2"/>
    <w:rsid w:val="6833282B"/>
    <w:rsid w:val="687044E2"/>
    <w:rsid w:val="68EA0A1D"/>
    <w:rsid w:val="692D4D0F"/>
    <w:rsid w:val="693B2076"/>
    <w:rsid w:val="694D2CB2"/>
    <w:rsid w:val="697702A5"/>
    <w:rsid w:val="698349D3"/>
    <w:rsid w:val="69A007E3"/>
    <w:rsid w:val="69BF7EAA"/>
    <w:rsid w:val="6A0347C0"/>
    <w:rsid w:val="6A040ADA"/>
    <w:rsid w:val="6A117D05"/>
    <w:rsid w:val="6A513DA8"/>
    <w:rsid w:val="6A59784D"/>
    <w:rsid w:val="6A905324"/>
    <w:rsid w:val="6AEA2665"/>
    <w:rsid w:val="6B223C5F"/>
    <w:rsid w:val="6B68041F"/>
    <w:rsid w:val="6BD97F0E"/>
    <w:rsid w:val="6BFD0A61"/>
    <w:rsid w:val="6C18054B"/>
    <w:rsid w:val="6C2C07D0"/>
    <w:rsid w:val="6C473395"/>
    <w:rsid w:val="6C7F2F47"/>
    <w:rsid w:val="6C8F6DD5"/>
    <w:rsid w:val="6C987377"/>
    <w:rsid w:val="6CAA6BAB"/>
    <w:rsid w:val="6CCC7015"/>
    <w:rsid w:val="6CE25CC6"/>
    <w:rsid w:val="6D196049"/>
    <w:rsid w:val="6D2F469C"/>
    <w:rsid w:val="6D6F202E"/>
    <w:rsid w:val="6D7417E0"/>
    <w:rsid w:val="6D9442AF"/>
    <w:rsid w:val="6DBD2BF7"/>
    <w:rsid w:val="6DED4DAE"/>
    <w:rsid w:val="6E260993"/>
    <w:rsid w:val="6E475E9C"/>
    <w:rsid w:val="6E5702EE"/>
    <w:rsid w:val="6E9565AD"/>
    <w:rsid w:val="6F1C08FE"/>
    <w:rsid w:val="6F2B7EAB"/>
    <w:rsid w:val="6F3365AD"/>
    <w:rsid w:val="6F401041"/>
    <w:rsid w:val="6F440DA6"/>
    <w:rsid w:val="6F471A15"/>
    <w:rsid w:val="6F6F417D"/>
    <w:rsid w:val="6F9B06DB"/>
    <w:rsid w:val="6FD146A6"/>
    <w:rsid w:val="70586CA4"/>
    <w:rsid w:val="70867024"/>
    <w:rsid w:val="7088487B"/>
    <w:rsid w:val="709E13F4"/>
    <w:rsid w:val="709E1FCB"/>
    <w:rsid w:val="70B27E0B"/>
    <w:rsid w:val="70BE3A0A"/>
    <w:rsid w:val="70CE595E"/>
    <w:rsid w:val="70D8364F"/>
    <w:rsid w:val="7109361B"/>
    <w:rsid w:val="712F6C55"/>
    <w:rsid w:val="7135553A"/>
    <w:rsid w:val="716401C6"/>
    <w:rsid w:val="717A1FB4"/>
    <w:rsid w:val="71A234B0"/>
    <w:rsid w:val="720E76D7"/>
    <w:rsid w:val="72145B3F"/>
    <w:rsid w:val="727147ED"/>
    <w:rsid w:val="72765A4B"/>
    <w:rsid w:val="72834520"/>
    <w:rsid w:val="72AC3B93"/>
    <w:rsid w:val="72D90031"/>
    <w:rsid w:val="72E96729"/>
    <w:rsid w:val="72F64761"/>
    <w:rsid w:val="731576EF"/>
    <w:rsid w:val="73393C9D"/>
    <w:rsid w:val="737E630D"/>
    <w:rsid w:val="739D2305"/>
    <w:rsid w:val="73A26371"/>
    <w:rsid w:val="73B64B9D"/>
    <w:rsid w:val="73B96564"/>
    <w:rsid w:val="73F37A80"/>
    <w:rsid w:val="74092950"/>
    <w:rsid w:val="7463241F"/>
    <w:rsid w:val="74EF5AF1"/>
    <w:rsid w:val="751C1020"/>
    <w:rsid w:val="75286E5D"/>
    <w:rsid w:val="75336204"/>
    <w:rsid w:val="75410AD5"/>
    <w:rsid w:val="755E031A"/>
    <w:rsid w:val="75BE53B5"/>
    <w:rsid w:val="7663724A"/>
    <w:rsid w:val="76A42E28"/>
    <w:rsid w:val="76F341EC"/>
    <w:rsid w:val="77051B54"/>
    <w:rsid w:val="772204D1"/>
    <w:rsid w:val="773604E8"/>
    <w:rsid w:val="773C2EEC"/>
    <w:rsid w:val="776F0000"/>
    <w:rsid w:val="777962D0"/>
    <w:rsid w:val="777A05E8"/>
    <w:rsid w:val="77900175"/>
    <w:rsid w:val="77B07F61"/>
    <w:rsid w:val="77D43567"/>
    <w:rsid w:val="781E5301"/>
    <w:rsid w:val="781E6E5A"/>
    <w:rsid w:val="7840538D"/>
    <w:rsid w:val="7860416B"/>
    <w:rsid w:val="78763961"/>
    <w:rsid w:val="78C16218"/>
    <w:rsid w:val="78DD24E8"/>
    <w:rsid w:val="793D0C2E"/>
    <w:rsid w:val="798F11FB"/>
    <w:rsid w:val="79AD2796"/>
    <w:rsid w:val="79C43F46"/>
    <w:rsid w:val="79DB6C86"/>
    <w:rsid w:val="79E47CC9"/>
    <w:rsid w:val="7A500BF8"/>
    <w:rsid w:val="7A581DA8"/>
    <w:rsid w:val="7A7C67DA"/>
    <w:rsid w:val="7A972DAF"/>
    <w:rsid w:val="7AA84AE8"/>
    <w:rsid w:val="7AC150F4"/>
    <w:rsid w:val="7B084AD9"/>
    <w:rsid w:val="7B13430B"/>
    <w:rsid w:val="7B5619DA"/>
    <w:rsid w:val="7B686E0E"/>
    <w:rsid w:val="7C1B10CB"/>
    <w:rsid w:val="7C4566AB"/>
    <w:rsid w:val="7C9061B7"/>
    <w:rsid w:val="7C917A9A"/>
    <w:rsid w:val="7CE3670A"/>
    <w:rsid w:val="7CE85CC4"/>
    <w:rsid w:val="7D092986"/>
    <w:rsid w:val="7D257D65"/>
    <w:rsid w:val="7D414E6C"/>
    <w:rsid w:val="7D683DB8"/>
    <w:rsid w:val="7DA07678"/>
    <w:rsid w:val="7DB06B3D"/>
    <w:rsid w:val="7DC43DC8"/>
    <w:rsid w:val="7DD04F7C"/>
    <w:rsid w:val="7DF2712A"/>
    <w:rsid w:val="7E6A0FDB"/>
    <w:rsid w:val="7E9F084F"/>
    <w:rsid w:val="7EA12904"/>
    <w:rsid w:val="7EEE66AB"/>
    <w:rsid w:val="7F01339C"/>
    <w:rsid w:val="7F280519"/>
    <w:rsid w:val="7F4D5EC4"/>
    <w:rsid w:val="7F6E2B04"/>
    <w:rsid w:val="7F8D034E"/>
    <w:rsid w:val="7F94688B"/>
    <w:rsid w:val="7FAF7B3A"/>
    <w:rsid w:val="7FB85873"/>
    <w:rsid w:val="7FC00155"/>
    <w:rsid w:val="7FDC0680"/>
    <w:rsid w:val="7FDE1762"/>
    <w:rsid w:val="7FE119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ocked="1"/>
    <w:lsdException w:qFormat="1" w:unhideWhenUsed="0" w:uiPriority="0" w:semiHidden="0" w:name="heading 3" w:locked="1"/>
    <w:lsdException w:qFormat="1" w:unhideWhenUsed="0" w:uiPriority="0" w:semiHidden="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nhideWhenUsed="0"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semiHidden="0" w:name="Default Paragraph Font"/>
    <w:lsdException w:uiPriority="99" w:name="Body Text"/>
    <w:lsdException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nhideWhenUsed="0" w:uiPriority="99" w:semiHidden="0" w:name="Salutation"/>
    <w:lsdException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nhideWhenUsed="0" w:uiPriority="99" w:name="Document Map"/>
    <w:lsdException w:unhideWhenUsed="0"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1"/>
      <w:lang w:val="en-US" w:eastAsia="zh-CN" w:bidi="ar-SA"/>
    </w:rPr>
  </w:style>
  <w:style w:type="paragraph" w:styleId="2">
    <w:name w:val="heading 1"/>
    <w:basedOn w:val="1"/>
    <w:next w:val="1"/>
    <w:link w:val="25"/>
    <w:qFormat/>
    <w:uiPriority w:val="9"/>
    <w:pPr>
      <w:keepNext/>
      <w:tabs>
        <w:tab w:val="left" w:pos="720"/>
        <w:tab w:val="left" w:pos="2700"/>
      </w:tabs>
      <w:spacing w:line="400" w:lineRule="exact"/>
      <w:jc w:val="center"/>
      <w:outlineLvl w:val="0"/>
    </w:pPr>
    <w:rPr>
      <w:b/>
      <w:bCs/>
      <w:kern w:val="44"/>
      <w:sz w:val="44"/>
      <w:szCs w:val="44"/>
    </w:rPr>
  </w:style>
  <w:style w:type="paragraph" w:styleId="3">
    <w:name w:val="heading 3"/>
    <w:basedOn w:val="1"/>
    <w:next w:val="1"/>
    <w:qFormat/>
    <w:locked/>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4">
    <w:name w:val="heading 4"/>
    <w:basedOn w:val="1"/>
    <w:next w:val="1"/>
    <w:qFormat/>
    <w:locked/>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unhideWhenUsed/>
    <w:uiPriority w:val="1"/>
  </w:style>
  <w:style w:type="table" w:default="1" w:styleId="18">
    <w:name w:val="Normal Table"/>
    <w:unhideWhenUsed/>
    <w:uiPriority w:val="99"/>
    <w:tblPr>
      <w:tblStyle w:val="18"/>
      <w:tblCellMar>
        <w:top w:w="0" w:type="dxa"/>
        <w:left w:w="108" w:type="dxa"/>
        <w:bottom w:w="0" w:type="dxa"/>
        <w:right w:w="108" w:type="dxa"/>
      </w:tblCellMar>
    </w:tblPr>
  </w:style>
  <w:style w:type="paragraph" w:styleId="5">
    <w:name w:val="Document Map"/>
    <w:basedOn w:val="1"/>
    <w:link w:val="26"/>
    <w:semiHidden/>
    <w:uiPriority w:val="99"/>
    <w:rPr>
      <w:rFonts w:ascii="宋体"/>
      <w:sz w:val="18"/>
      <w:szCs w:val="18"/>
    </w:rPr>
  </w:style>
  <w:style w:type="paragraph" w:styleId="6">
    <w:name w:val="annotation text"/>
    <w:basedOn w:val="1"/>
    <w:link w:val="27"/>
    <w:semiHidden/>
    <w:uiPriority w:val="99"/>
    <w:pPr>
      <w:jc w:val="left"/>
    </w:pPr>
    <w:rPr>
      <w:kern w:val="0"/>
      <w:sz w:val="20"/>
    </w:rPr>
  </w:style>
  <w:style w:type="paragraph" w:styleId="7">
    <w:name w:val="Salutation"/>
    <w:basedOn w:val="1"/>
    <w:next w:val="1"/>
    <w:link w:val="28"/>
    <w:uiPriority w:val="99"/>
    <w:rPr>
      <w:kern w:val="0"/>
      <w:sz w:val="20"/>
    </w:rPr>
  </w:style>
  <w:style w:type="paragraph" w:styleId="8">
    <w:name w:val="Body Text Indent"/>
    <w:basedOn w:val="1"/>
    <w:link w:val="29"/>
    <w:uiPriority w:val="99"/>
    <w:pPr>
      <w:spacing w:line="400" w:lineRule="exact"/>
      <w:ind w:left="420" w:firstLine="420"/>
    </w:pPr>
    <w:rPr>
      <w:kern w:val="0"/>
      <w:sz w:val="20"/>
    </w:rPr>
  </w:style>
  <w:style w:type="paragraph" w:styleId="9">
    <w:name w:val="Plain Text"/>
    <w:basedOn w:val="1"/>
    <w:link w:val="30"/>
    <w:uiPriority w:val="99"/>
    <w:rPr>
      <w:rFonts w:ascii="宋体" w:hAnsi="Courier New"/>
    </w:rPr>
  </w:style>
  <w:style w:type="paragraph" w:styleId="10">
    <w:name w:val="Date"/>
    <w:basedOn w:val="1"/>
    <w:next w:val="1"/>
    <w:link w:val="31"/>
    <w:uiPriority w:val="99"/>
    <w:pPr>
      <w:ind w:left="100" w:leftChars="2500"/>
    </w:pPr>
    <w:rPr>
      <w:kern w:val="0"/>
      <w:sz w:val="20"/>
    </w:rPr>
  </w:style>
  <w:style w:type="paragraph" w:styleId="11">
    <w:name w:val="Balloon Text"/>
    <w:basedOn w:val="1"/>
    <w:link w:val="32"/>
    <w:semiHidden/>
    <w:uiPriority w:val="99"/>
    <w:rPr>
      <w:sz w:val="18"/>
      <w:szCs w:val="18"/>
    </w:rPr>
  </w:style>
  <w:style w:type="paragraph" w:styleId="12">
    <w:name w:val="footer"/>
    <w:basedOn w:val="1"/>
    <w:link w:val="33"/>
    <w:uiPriority w:val="99"/>
    <w:pPr>
      <w:tabs>
        <w:tab w:val="center" w:pos="4153"/>
        <w:tab w:val="right" w:pos="8306"/>
      </w:tabs>
      <w:snapToGrid w:val="0"/>
      <w:jc w:val="left"/>
    </w:pPr>
    <w:rPr>
      <w:sz w:val="18"/>
      <w:szCs w:val="18"/>
    </w:rPr>
  </w:style>
  <w:style w:type="paragraph" w:styleId="13">
    <w:name w:val="header"/>
    <w:basedOn w:val="1"/>
    <w:link w:val="34"/>
    <w:uiPriority w:val="99"/>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35"/>
    <w:qFormat/>
    <w:locked/>
    <w:uiPriority w:val="0"/>
    <w:pPr>
      <w:spacing w:before="240" w:after="60" w:line="312" w:lineRule="auto"/>
      <w:jc w:val="center"/>
      <w:outlineLvl w:val="1"/>
    </w:pPr>
    <w:rPr>
      <w:rFonts w:ascii="Cambria" w:hAnsi="Cambria"/>
      <w:b/>
      <w:bCs/>
      <w:kern w:val="28"/>
      <w:sz w:val="32"/>
      <w:szCs w:val="32"/>
    </w:rPr>
  </w:style>
  <w:style w:type="paragraph" w:styleId="15">
    <w:name w:val="Normal (Web)"/>
    <w:basedOn w:val="1"/>
    <w:uiPriority w:val="99"/>
    <w:pPr>
      <w:widowControl/>
      <w:spacing w:before="100" w:beforeAutospacing="1" w:after="100" w:afterAutospacing="1"/>
      <w:jc w:val="left"/>
    </w:pPr>
    <w:rPr>
      <w:rFonts w:ascii="宋体" w:hAnsi="宋体" w:cs="宋体"/>
      <w:color w:val="000000"/>
      <w:kern w:val="0"/>
      <w:sz w:val="24"/>
      <w:szCs w:val="24"/>
    </w:rPr>
  </w:style>
  <w:style w:type="paragraph" w:styleId="16">
    <w:name w:val="Title"/>
    <w:basedOn w:val="1"/>
    <w:next w:val="1"/>
    <w:link w:val="36"/>
    <w:qFormat/>
    <w:locked/>
    <w:uiPriority w:val="0"/>
    <w:pPr>
      <w:spacing w:before="240" w:after="60"/>
      <w:jc w:val="center"/>
      <w:outlineLvl w:val="0"/>
    </w:pPr>
    <w:rPr>
      <w:rFonts w:ascii="Cambria" w:hAnsi="Cambria"/>
      <w:b/>
      <w:bCs/>
      <w:sz w:val="32"/>
      <w:szCs w:val="32"/>
    </w:rPr>
  </w:style>
  <w:style w:type="paragraph" w:styleId="17">
    <w:name w:val="annotation subject"/>
    <w:basedOn w:val="6"/>
    <w:next w:val="6"/>
    <w:link w:val="37"/>
    <w:unhideWhenUsed/>
    <w:uiPriority w:val="99"/>
    <w:rPr>
      <w:b/>
      <w:bCs/>
      <w:kern w:val="2"/>
      <w:sz w:val="21"/>
    </w:rPr>
  </w:style>
  <w:style w:type="table" w:styleId="19">
    <w:name w:val="Table Grid"/>
    <w:basedOn w:val="18"/>
    <w:uiPriority w:val="59"/>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locked/>
    <w:uiPriority w:val="0"/>
    <w:rPr>
      <w:b/>
    </w:rPr>
  </w:style>
  <w:style w:type="character" w:styleId="22">
    <w:name w:val="page number"/>
    <w:uiPriority w:val="99"/>
  </w:style>
  <w:style w:type="character" w:styleId="23">
    <w:name w:val="Hyperlink"/>
    <w:unhideWhenUsed/>
    <w:uiPriority w:val="99"/>
    <w:rPr>
      <w:color w:val="0000FF"/>
      <w:u w:val="single"/>
    </w:rPr>
  </w:style>
  <w:style w:type="character" w:styleId="24">
    <w:name w:val="annotation reference"/>
    <w:semiHidden/>
    <w:uiPriority w:val="99"/>
    <w:rPr>
      <w:sz w:val="21"/>
      <w:szCs w:val="21"/>
    </w:rPr>
  </w:style>
  <w:style w:type="character" w:customStyle="1" w:styleId="25">
    <w:name w:val="标题 1 字符"/>
    <w:link w:val="2"/>
    <w:uiPriority w:val="9"/>
    <w:rPr>
      <w:b/>
      <w:bCs/>
      <w:kern w:val="44"/>
      <w:sz w:val="44"/>
      <w:szCs w:val="44"/>
    </w:rPr>
  </w:style>
  <w:style w:type="character" w:customStyle="1" w:styleId="26">
    <w:name w:val="文档结构图 字符"/>
    <w:link w:val="5"/>
    <w:locked/>
    <w:uiPriority w:val="99"/>
    <w:rPr>
      <w:rFonts w:ascii="宋体" w:cs="宋体"/>
      <w:kern w:val="2"/>
      <w:sz w:val="18"/>
      <w:szCs w:val="18"/>
    </w:rPr>
  </w:style>
  <w:style w:type="character" w:customStyle="1" w:styleId="27">
    <w:name w:val="批注文字 字符"/>
    <w:link w:val="6"/>
    <w:semiHidden/>
    <w:uiPriority w:val="99"/>
    <w:rPr>
      <w:szCs w:val="21"/>
    </w:rPr>
  </w:style>
  <w:style w:type="character" w:customStyle="1" w:styleId="28">
    <w:name w:val="称呼 字符"/>
    <w:link w:val="7"/>
    <w:semiHidden/>
    <w:uiPriority w:val="99"/>
    <w:rPr>
      <w:szCs w:val="21"/>
    </w:rPr>
  </w:style>
  <w:style w:type="character" w:customStyle="1" w:styleId="29">
    <w:name w:val="正文文本缩进 字符"/>
    <w:link w:val="8"/>
    <w:semiHidden/>
    <w:uiPriority w:val="99"/>
    <w:rPr>
      <w:szCs w:val="21"/>
    </w:rPr>
  </w:style>
  <w:style w:type="character" w:customStyle="1" w:styleId="30">
    <w:name w:val="纯文本 字符"/>
    <w:link w:val="9"/>
    <w:locked/>
    <w:uiPriority w:val="99"/>
    <w:rPr>
      <w:rFonts w:ascii="宋体" w:hAnsi="Courier New" w:cs="宋体"/>
      <w:kern w:val="2"/>
      <w:sz w:val="21"/>
      <w:szCs w:val="21"/>
    </w:rPr>
  </w:style>
  <w:style w:type="character" w:customStyle="1" w:styleId="31">
    <w:name w:val="日期 字符"/>
    <w:link w:val="10"/>
    <w:semiHidden/>
    <w:uiPriority w:val="99"/>
    <w:rPr>
      <w:szCs w:val="21"/>
    </w:rPr>
  </w:style>
  <w:style w:type="character" w:customStyle="1" w:styleId="32">
    <w:name w:val="批注框文本 字符"/>
    <w:link w:val="11"/>
    <w:locked/>
    <w:uiPriority w:val="99"/>
    <w:rPr>
      <w:kern w:val="2"/>
      <w:sz w:val="18"/>
      <w:szCs w:val="18"/>
    </w:rPr>
  </w:style>
  <w:style w:type="character" w:customStyle="1" w:styleId="33">
    <w:name w:val="页脚 字符"/>
    <w:link w:val="12"/>
    <w:locked/>
    <w:uiPriority w:val="99"/>
    <w:rPr>
      <w:kern w:val="2"/>
      <w:sz w:val="18"/>
      <w:szCs w:val="18"/>
    </w:rPr>
  </w:style>
  <w:style w:type="character" w:customStyle="1" w:styleId="34">
    <w:name w:val="页眉 字符"/>
    <w:link w:val="13"/>
    <w:locked/>
    <w:uiPriority w:val="99"/>
    <w:rPr>
      <w:kern w:val="2"/>
      <w:sz w:val="18"/>
      <w:szCs w:val="18"/>
    </w:rPr>
  </w:style>
  <w:style w:type="character" w:customStyle="1" w:styleId="35">
    <w:name w:val="副标题 字符"/>
    <w:link w:val="14"/>
    <w:uiPriority w:val="0"/>
    <w:rPr>
      <w:rFonts w:ascii="Cambria" w:hAnsi="Cambria" w:cs="Times New Roman"/>
      <w:b/>
      <w:bCs/>
      <w:kern w:val="28"/>
      <w:sz w:val="32"/>
      <w:szCs w:val="32"/>
    </w:rPr>
  </w:style>
  <w:style w:type="character" w:customStyle="1" w:styleId="36">
    <w:name w:val="标题 字符"/>
    <w:link w:val="16"/>
    <w:uiPriority w:val="0"/>
    <w:rPr>
      <w:rFonts w:ascii="Cambria" w:hAnsi="Cambria" w:cs="Times New Roman"/>
      <w:b/>
      <w:bCs/>
      <w:kern w:val="2"/>
      <w:sz w:val="32"/>
      <w:szCs w:val="32"/>
    </w:rPr>
  </w:style>
  <w:style w:type="character" w:customStyle="1" w:styleId="37">
    <w:name w:val="批注主题 字符"/>
    <w:link w:val="17"/>
    <w:semiHidden/>
    <w:uiPriority w:val="99"/>
    <w:rPr>
      <w:b/>
      <w:bCs/>
      <w:kern w:val="2"/>
      <w:sz w:val="21"/>
      <w:szCs w:val="21"/>
    </w:rPr>
  </w:style>
  <w:style w:type="paragraph" w:customStyle="1" w:styleId="38">
    <w:name w:val="_Style 1"/>
    <w:basedOn w:val="1"/>
    <w:qFormat/>
    <w:uiPriority w:val="99"/>
    <w:pPr>
      <w:ind w:firstLine="420" w:firstLineChars="200"/>
    </w:pPr>
  </w:style>
  <w:style w:type="paragraph" w:styleId="39">
    <w:name w:val="List Paragraph"/>
    <w:basedOn w:val="1"/>
    <w:qFormat/>
    <w:uiPriority w:val="99"/>
    <w:pPr>
      <w:ind w:firstLine="420" w:firstLineChars="200"/>
    </w:pPr>
  </w:style>
  <w:style w:type="paragraph" w:customStyle="1" w:styleId="40">
    <w:name w:val="reader-word-layer"/>
    <w:basedOn w:val="1"/>
    <w:uiPriority w:val="99"/>
    <w:pPr>
      <w:widowControl/>
      <w:spacing w:before="100" w:beforeAutospacing="1" w:after="100" w:afterAutospacing="1"/>
      <w:jc w:val="left"/>
    </w:pPr>
    <w:rPr>
      <w:rFonts w:ascii="宋体" w:hAnsi="宋体" w:cs="宋体"/>
      <w:kern w:val="0"/>
      <w:sz w:val="24"/>
      <w:szCs w:val="24"/>
    </w:rPr>
  </w:style>
  <w:style w:type="paragraph" w:customStyle="1" w:styleId="41">
    <w:name w:val="Normal"/>
    <w:uiPriority w:val="0"/>
    <w:pPr>
      <w:jc w:val="both"/>
    </w:pPr>
    <w:rPr>
      <w:kern w:val="2"/>
      <w:sz w:val="21"/>
      <w:szCs w:val="21"/>
      <w:lang w:val="en-US" w:eastAsia="zh-CN" w:bidi="ar-SA"/>
    </w:rPr>
  </w:style>
  <w:style w:type="paragraph" w:customStyle="1" w:styleId="42">
    <w:name w:val="在表格内文字"/>
    <w:basedOn w:val="1"/>
    <w:uiPriority w:val="99"/>
    <w:rPr>
      <w:rFonts w:eastAsia="楷体"/>
    </w:rPr>
  </w:style>
  <w:style w:type="paragraph" w:customStyle="1" w:styleId="43">
    <w:name w:val="List Paragraph"/>
    <w:basedOn w:val="1"/>
    <w:qFormat/>
    <w:uiPriority w:val="99"/>
    <w:pPr>
      <w:ind w:firstLine="420" w:firstLineChars="200"/>
    </w:pPr>
  </w:style>
  <w:style w:type="table" w:customStyle="1" w:styleId="44">
    <w:name w:val="Table Normal"/>
    <w:unhideWhenUsed/>
    <w:qFormat/>
    <w:uiPriority w:val="2"/>
    <w:pPr>
      <w:widowControl w:val="0"/>
      <w:autoSpaceDE w:val="0"/>
      <w:autoSpaceDN w:val="0"/>
    </w:pPr>
    <w:rPr>
      <w:rFonts w:ascii="等线" w:hAnsi="等线" w:eastAsia="等线"/>
      <w:sz w:val="22"/>
      <w:szCs w:val="22"/>
      <w:lang w:val="en-US" w:eastAsia="en-US" w:bidi="ar-SA"/>
    </w:rPr>
    <w:tblPr>
      <w:tblStyle w:val="18"/>
      <w:tblCellMar>
        <w:top w:w="0" w:type="dxa"/>
        <w:left w:w="0" w:type="dxa"/>
        <w:bottom w:w="0" w:type="dxa"/>
        <w:right w:w="0" w:type="dxa"/>
      </w:tblCellMar>
    </w:tblPr>
  </w:style>
  <w:style w:type="paragraph" w:customStyle="1" w:styleId="45">
    <w:name w:val="Table Paragraph"/>
    <w:basedOn w:val="1"/>
    <w:qFormat/>
    <w:uiPriority w:val="1"/>
    <w:pPr>
      <w:autoSpaceDE w:val="0"/>
      <w:autoSpaceDN w:val="0"/>
      <w:jc w:val="left"/>
    </w:pPr>
    <w:rPr>
      <w:rFonts w:ascii="宋体" w:hAnsi="宋体" w:cs="宋体"/>
      <w:kern w:val="0"/>
      <w:sz w:val="22"/>
      <w:szCs w:val="22"/>
      <w:lang w:val="zh-CN" w:bidi="zh-CN"/>
    </w:rPr>
  </w:style>
  <w:style w:type="character" w:customStyle="1" w:styleId="46">
    <w:name w:val="font41"/>
    <w:basedOn w:val="20"/>
    <w:qFormat/>
    <w:uiPriority w:val="0"/>
    <w:rPr>
      <w:rFonts w:hint="eastAsia" w:ascii="宋体" w:hAnsi="宋体" w:eastAsia="宋体" w:cs="宋体"/>
      <w:color w:val="000000"/>
      <w:sz w:val="21"/>
      <w:szCs w:val="21"/>
      <w:u w:val="none"/>
    </w:rPr>
  </w:style>
  <w:style w:type="character" w:customStyle="1" w:styleId="47">
    <w:name w:val="font91"/>
    <w:basedOn w:val="20"/>
    <w:qFormat/>
    <w:uiPriority w:val="0"/>
    <w:rPr>
      <w:rFonts w:hint="default" w:ascii="Times New Roman" w:hAnsi="Times New Roman" w:cs="Times New Roman"/>
      <w:color w:val="000000"/>
      <w:sz w:val="21"/>
      <w:szCs w:val="21"/>
      <w:u w:val="none"/>
    </w:rPr>
  </w:style>
  <w:style w:type="paragraph" w:customStyle="1" w:styleId="48">
    <w:name w:val="其他"/>
    <w:basedOn w:val="1"/>
    <w:qFormat/>
    <w:uiPriority w:val="0"/>
    <w:pPr>
      <w:widowControl w:val="0"/>
      <w:shd w:val="clear" w:color="auto" w:fill="auto"/>
      <w:spacing w:line="275" w:lineRule="exact"/>
    </w:pPr>
    <w:rPr>
      <w:rFonts w:ascii="宋体" w:hAnsi="宋体" w:eastAsia="宋体" w:cs="宋体"/>
      <w:sz w:val="20"/>
      <w:szCs w:val="20"/>
      <w:u w:val="none"/>
      <w:lang w:val="zh-CN" w:eastAsia="zh-CN" w:bidi="zh-CN"/>
    </w:rPr>
  </w:style>
  <w:style w:type="paragraph" w:customStyle="1" w:styleId="49">
    <w:name w:val="正文首行缩进 2 字符"/>
    <w:basedOn w:val="1"/>
    <w:qFormat/>
    <w:uiPriority w:val="0"/>
    <w:pPr>
      <w:autoSpaceDE w:val="0"/>
      <w:autoSpaceDN w:val="0"/>
      <w:adjustRightInd w:val="0"/>
      <w:snapToGrid w:val="0"/>
      <w:spacing w:line="312" w:lineRule="atLeast"/>
      <w:ind w:firstLine="200" w:firstLineChars="200"/>
      <w:textAlignment w:val="center"/>
    </w:pPr>
    <w:rPr>
      <w:rFonts w:cs="宋体"/>
      <w:kern w:val="0"/>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ujs</Company>
  <Pages>1</Pages>
  <Words>19159</Words>
  <Characters>20300</Characters>
  <Lines>158</Lines>
  <Paragraphs>44</Paragraphs>
  <TotalTime>11</TotalTime>
  <ScaleCrop>false</ScaleCrop>
  <LinksUpToDate>false</LinksUpToDate>
  <CharactersWithSpaces>20411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2025-08-04T17:55:00Z</dcterms:created>
  <dc:creator>USER</dc:creator>
  <cp:lastModifiedBy>极简</cp:lastModifiedBy>
  <cp:lastPrinted>2025-07-11T12:55:00Z</cp:lastPrinted>
  <dcterms:modified xsi:type="dcterms:W3CDTF">2026-09-04T08:43:45Z</dcterms:modified>
  <dc:title>附件一：教学大纲格式及示例</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eyJoZGlkIjoiZjNiMzZkNjNjYWEwNDM3OGZiZjliOTZjNmEwNTkwOWMiLCJ1c2VySWQiOiI4Nzc2NDMyNTEifQ==</vt:lpwstr>
  </property>
  <property fmtid="{D5CDD505-2E9C-101B-9397-08002B2CF9AE}" pid="4" name="ICV">
    <vt:lpwstr>B0CDAD37AA324798BAD2A8AC4F19B410_13</vt:lpwstr>
  </property>
</Properties>
</file>