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/>
          <w:sz w:val="32"/>
        </w:rPr>
        <w:t>《特种加工技术》课程教学大纲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特种加工技术  Nontraditional Machining Technology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25JD32105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第7学期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26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机械制造技术基础、数控技术、智能测试技术或同等基础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毕业实习、毕业设计（论文）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本课程是智能制造工程专业第7学期专业选修课，面向难加工材料、复杂型面、微细结构和高质量表面，系统介绍电火花、电化学、激光、超声、高能束和复合加工。培养方案将本课程与《增材制造技术》设置为二选一，因此不重复增材制造成形原理和工艺体系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学生能够比较特种加工方法，分析材料去除机理和主要工艺参数，完成典型难加工零件的工艺选择、参数分析和质量控制，使用实验数据形成可复核结论，并识别高压电、电解液、激光辐射、烟尘和废液等安全环保风险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采用“机理讲授—设备案例—参数/质量分析—实验验证—工艺方案设计”。实验使用现有设备或等效平台；无法直接开展的高能束、微细和复合加工采用样件、视频、可复现实验数据和工程案例分析。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2026年9月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809"/>
        <w:gridCol w:w="4248"/>
        <w:gridCol w:w="4229"/>
      </w:tblGrid>
      <w:tr>
        <w:trPr>
          <w:tblHeader w:val="true"/>
        </w:trPr>
        <w:tc>
          <w:tcPr>
            <w:tcW w:type="dxa" w:w="80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422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1.知识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1.1 理解特种加工分类、能量形式、材料去除机制及与传统切削/增材制造的边界。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1.2 掌握电火花成形和线切割的放电机理、设备及工艺规律。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1.3 掌握电化学加工机理、电解液、工具阴极、间隙及主要工艺。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1.4 掌握激光、超声和水射流加工机理、设备、参数及质量特征。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1.5 了解电子束、离子束、微细与复合加工的原理和应用边界。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1.6 掌握特种加工工艺设计、质量评价、安全防护和环境控制原则。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2.能力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2.1 能根据材料、结构、精度和表面质量要求选择特种加工方法。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2.2 能分析电火花/线切割参数对效率、精度、粗糙度和工具损耗的影响。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2.3 能分析电化学加工中的电极、电解液、间隙、流场和环境风险。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2.4 能分析激光、超声或水射流加工参数及热影响、锥度、崩边等问题。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2.5 能查阅资料并比较高能束、微细和复合加工的适用范围。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2.6 能实施基本实验、整理数据并形成参数—质量结论。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3.素质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3.1 形成多指标工艺选择意识。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3.2 形成高压电和工作液安全意识。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3.3 形成电解液、废液和腐蚀环境管理意识。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3.4 形成激光辐射、烟尘、噪声职业防护意识。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3.5 形成尊重实验事实和资料来源的工程研究意识。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3.6 形成节能减排、材料高效利用和持续学习意识。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通过典型零件、工艺数据、实验或方案评审实现目标达成。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70"/>
        <w:gridCol w:w="1424"/>
        <w:gridCol w:w="688"/>
        <w:gridCol w:w="1137"/>
        <w:gridCol w:w="3640"/>
        <w:gridCol w:w="1111"/>
      </w:tblGrid>
      <w:tr>
        <w:trPr>
          <w:tblHeader w:val="true"/>
        </w:trPr>
        <w:tc>
          <w:tcPr>
            <w:tcW w:type="dxa" w:w="107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42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8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777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11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特种加工概论与方法选择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分类、特点、能量形式、材料去除机制；难加工材料、复杂结构；与传统切削和增材制造的边界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1.1，2.1，3.1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电火花成形与线切割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放电机理、脉冲电源、工作介质、工具电极、伺服与排屑；材料去除率、工具损耗、粗糙度；线切割设备与工艺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1.2，2.2，3.2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电化学加工与表面处理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阳极溶解、电解液、工具阴极、间隙与流场；电解加工、电解磨削、电解抛光；杂散腐蚀与废液处理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1.3，2.3，3.3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激光、超声与水射流加工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激光切割/打孔及参数与热影响；超声加工工具与磨料；脆硬材料加工；磨料水射流原理与质量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1.4，2.4，3.4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高能束、微细与复合加工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电子束、离子束、等离子体；微细电火花/电化学；超声辅助、电化学复合、激光复合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1.5，2.5，3.5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工艺设计、质量与可持续制造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工艺选择、设备/工装/参数、精度与表面完整性、工艺试验、成本能耗、安全环保和综合零件案例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结合安全、环保、质量和先进制造案例强化工程责任。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1.6，2.6，3.6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掌握本单元机理与工艺，能进行参数或方案分析并说明适用边界。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讲授、设备/样件案例、参数数据、方案讨论</w:t>
            </w:r>
          </w:p>
        </w:tc>
        <w:tc>
          <w:tcPr>
            <w:tcW w:type="dxa" w:w="1111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理论总学时 26</w:t>
      </w:r>
    </w:p>
    <w:p>
      <w:pPr>
        <w:keepNext/>
        <w:pageBreakBefore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四、实验教学环节及基本要求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68"/>
        <w:gridCol w:w="1407"/>
        <w:gridCol w:w="707"/>
        <w:gridCol w:w="905"/>
        <w:gridCol w:w="4273"/>
        <w:gridCol w:w="710"/>
      </w:tblGrid>
      <w:tr>
        <w:trPr>
          <w:tblHeader w:val="true"/>
        </w:trPr>
        <w:tc>
          <w:tcPr>
            <w:tcW w:type="dxa" w:w="106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实验项目</w:t>
            </w:r>
          </w:p>
        </w:tc>
        <w:tc>
          <w:tcPr>
            <w:tcW w:type="dxa" w:w="14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实验内容</w:t>
            </w:r>
          </w:p>
        </w:tc>
        <w:tc>
          <w:tcPr>
            <w:tcW w:type="dxa" w:w="7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5178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实验要求</w:t>
            </w:r>
          </w:p>
        </w:tc>
        <w:tc>
          <w:tcPr>
            <w:tcW w:type="dxa" w:w="71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电火花/线切割参数与质量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改变典型工艺参数，记录加工时间、表面质量、尺寸或工具损耗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验证/综合型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1.2，2.2，2.6，3.2，3.5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严格执行设备安全、职业健康和数据诚信要求。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能够记录参数与质量指标并形成可复核结论。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设备或等效平台实验、样件观察、数据分析、报告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激光/超声参数与缺陷观察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比较不同参数或材料的切缝、孔形、热影响、崩边或表面状态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验证/综合型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1.4，2.4，2.6，3.4，3.5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严格执行设备安全、职业健康和数据诚信要求。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能够记录参数与质量指标并形成可复核结论。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设备或等效平台实验、样件观察、数据分析、报告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方法比较与综合工艺验证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针对典型难加工零件比较多种方案，利用样件和实验数据验证关键质量指标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验证/综合型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1.1，1.6，2.1，2.6，3.1，3.6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严格执行设备安全、职业健康和数据诚信要求。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能够记录参数与质量指标并形成可复核结论。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设备或等效平台实验、样件观察、数据分析、报告</w:t>
            </w:r>
          </w:p>
        </w:tc>
        <w:tc>
          <w:tcPr>
            <w:tcW w:type="dxa" w:w="710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实验总学时 6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五、课程评价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00"/>
        <w:gridCol w:w="600"/>
        <w:gridCol w:w="600"/>
        <w:gridCol w:w="700"/>
        <w:gridCol w:w="1100"/>
        <w:gridCol w:w="1100"/>
        <w:gridCol w:w="1100"/>
        <w:gridCol w:w="1100"/>
        <w:gridCol w:w="1370"/>
      </w:tblGrid>
      <w:tr>
        <w:trPr>
          <w:tblHeader w:val="true"/>
        </w:trPr>
        <w:tc>
          <w:tcPr>
            <w:tcW w:type="dxa" w:w="13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理论学时</w:t>
            </w:r>
          </w:p>
        </w:tc>
        <w:tc>
          <w:tcPr>
            <w:tcW w:type="dxa" w:w="7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实验学时</w:t>
            </w:r>
          </w:p>
        </w:tc>
        <w:tc>
          <w:tcPr>
            <w:tcW w:type="dxa" w:w="4400"/>
            <w:vAlign w:val="center"/>
            <w:gridSpan w:val="4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type="dxa" w:w="137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3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平时表现（15%）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课程作业（20%）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实验（30%）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综合工艺项目（35%）</w:t>
            </w:r>
          </w:p>
        </w:tc>
        <w:tc>
          <w:tcPr>
            <w:tcW w:type="dxa" w:w="137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特种加工概论与方法选择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全过程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电火花成形与线切割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7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1.2，2.2，3.2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电化学加工与表面处理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1.3，2.3，3.3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激光、超声与水射流加工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高能束、微细与复合加工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0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1.5，2.5，3.5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工艺设计、质量与可持续制造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1.6，2.6，3.6</w:t>
            </w:r>
          </w:p>
        </w:tc>
      </w:tr>
      <w:tr>
        <w:tc>
          <w:tcPr>
            <w:tcW w:type="dxa" w:w="13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26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6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>
      <w:pPr>
        <w:keepNext w:val="0"/>
        <w:spacing w:before="0" w:after="0" w:line="300" w:lineRule="auto"/>
        <w:jc w:val="both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>
      <w:pPr>
        <w:keepNext w:val="0"/>
        <w:spacing w:before="0" w:after="0" w:line="288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本课程采用平时表现、课程作业、实验和综合工艺项目相结合的方式。最终成绩100%=平时表现15%＋课程作业20%＋实验30%＋综合工艺项目35%。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考勤与安全规范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出勤完整，严格遵守课堂、仪器、接线、数据和实验安全规范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出勤良好，偶有轻微迟到或规范疏漏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出勤基本正常，能遵守主要规范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达到最低出勤要求，经提醒能遵守规范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缺勤较多或多次违反仪器、接线、数据或安全规范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课堂学习与参与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主动参与测试链、信号、传感器和误差分析，能清晰说明依据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能够参与主要活动并回答问题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基本参与课堂任务，能完成主要要求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经提醒可参与并完成基础要求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长期不参与或无法完成基本分析任务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工程记录与技术表达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练习及时正确，参数、单位、图表、原始数据和判断依据记录完整可复核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练习基本正确，记录较完整，少量问题可自主修正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完成主要练习，有基本记录和验证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在指导下达到最低完成与记录要求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大量缺交、无原始数据或提交结果无法解释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（2）课程作业评分标准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方法选择与机理分析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方法选择有依据，机理与参数分析正确，质量、安全和环保边界明确。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电火花与电化学工艺分析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方法选择有依据，机理与参数分析正确，质量、安全和环保边界明确。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激光/超声质量分析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方法选择有依据，机理与参数分析正确，质量、安全和环保边界明确。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前沿资料与综合工艺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方法选择有依据，机理与参数分析正确，质量、安全和环保边界明确。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（3）实验评分标准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安全与准备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准备完整，严格执行安全规范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准备较完整，少量疏漏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完成主要准备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存在明显安全风险或准备不足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操作与过程记录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操作规范，参数和过程记录完整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操作基本规范，记录较完整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完成主要操作与记录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经指导完成基本操作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操作不规范或缺关键记录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原始数据完整性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15%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原始数据真实完整且可追溯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有主要原始数据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数据存在缺项但可用于基本分析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数据缺失、不可用或无法追溯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数据处理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处理方法正确，图表规范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处理基本正确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完成主要处理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经指导完成基础处理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处理错误或结果无法复现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结果分析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能联系机理解释参数—质量关系及误差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解释较充分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有基本结果解释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解释较弱但达到最低要求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无有效解释或结论明显错误</w:t>
            </w:r>
          </w:p>
        </w:tc>
      </w:tr>
      <w:tr>
        <w:trPr>
          <w:cantSplit/>
        </w:trP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报告规范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10%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报告完整，样件/图像/数据证据充分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报告较完整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完成主要内容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存在明显缺项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报告缺失或无法核验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综合评价</w:t>
            </w:r>
          </w:p>
        </w:tc>
        <w:tc>
          <w:tcPr>
            <w:tcW w:type="dxa" w:w="700"/>
            <w:vAlign w:val="center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—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达到实验目标并能提出改进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达到主要目标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达到基本目标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勉强达到最低目标</w:t>
            </w:r>
          </w:p>
        </w:tc>
        <w:tc>
          <w:tcPr>
            <w:tcW w:type="dxa" w:w="1400"/>
            <w:vAlign w:val="center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未达到实验目标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（4）综合工艺项目评分标准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需求与方法选择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工艺机理与参数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质量与实验验证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安全环保与可持续性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工艺文件与技术表达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rPr>
          <w:cantSplit/>
        </w:trP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改进与创新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方案完整、依据充分、数据可复核，符合质量、安全和环境要求。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相关课程目标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六、参考书目及学习资料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白基成, 刘晋春, 郭永丰, 杨晓冬, 等. 特种加工（第7版）[M]. 北京：机械工业出版社，2022. ISBN 9787111679868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[1] 周旭光, 伍端阳, 肖海兵. 特种加工技术（第五版）[M]. 西安：西安电子科技大学出版社，2024. ISBN 9787560672861。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[2] 周旭光, 郭晓霞, 李迎, 李玉炜. 特种加工技术（第四版）[M]. 西安：西安电子科技大学出版社，2022. ISBN 9787560663289。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 xml:space="preserve">制定人：　　　　　　　　审定人：　　　　　　　　批准人：　　　　　　　　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智能测试技术课程教学大纲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