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《程序设计基础（C&amp;C++）Ⅱ》课程教学大纲</w:t>
      </w:r>
    </w:p>
    <w:p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1"/>
        <w:gridCol w:w="1134"/>
        <w:gridCol w:w="964"/>
        <w:gridCol w:w="1134"/>
        <w:gridCol w:w="1304"/>
        <w:gridCol w:w="964"/>
        <w:gridCol w:w="1134"/>
        <w:gridCol w:w="1191"/>
      </w:tblGrid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课程名称（中英文）</w:t>
            </w:r>
          </w:p>
        </w:tc>
        <w:tc>
          <w:tcPr>
            <w:tcW w:type="dxa" w:w="1191"/>
            <w:gridSpan w:val="7"/>
          </w:tcPr>
          <w:p>
            <w:pPr>
              <w:spacing w:after="0" w:line="285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程序设计基础（C&amp;C++）Ⅱ  Fundamentals of Programming (C &amp; C++) II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课程代码</w:t>
            </w:r>
          </w:p>
        </w:tc>
        <w:tc>
          <w:tcPr>
            <w:tcW w:type="dxa" w:w="1134"/>
            <w:gridSpan w:val="3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25JX31802</w:t>
            </w:r>
          </w:p>
        </w:tc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课程类别</w:t>
            </w:r>
          </w:p>
        </w:tc>
        <w:tc>
          <w:tcPr>
            <w:tcW w:type="dxa" w:w="1191"/>
            <w:gridSpan w:val="3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学科基础类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课程性质</w:t>
            </w:r>
          </w:p>
        </w:tc>
        <w:tc>
          <w:tcPr>
            <w:tcW w:type="dxa" w:w="1134"/>
            <w:gridSpan w:val="3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必修课</w:t>
            </w:r>
          </w:p>
        </w:tc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授课语言</w:t>
            </w:r>
          </w:p>
        </w:tc>
        <w:tc>
          <w:tcPr>
            <w:tcW w:type="dxa" w:w="1191"/>
            <w:gridSpan w:val="3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授课学期</w:t>
            </w:r>
          </w:p>
        </w:tc>
        <w:tc>
          <w:tcPr>
            <w:tcW w:type="dxa" w:w="1134"/>
            <w:gridSpan w:val="3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第4学期</w:t>
            </w:r>
          </w:p>
        </w:tc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type="dxa" w:w="1191"/>
            <w:gridSpan w:val="3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134"/>
            <w:gridSpan w:val="2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课程学时及分配</w:t>
            </w:r>
          </w:p>
        </w:tc>
        <w:tc>
          <w:tcPr>
            <w:tcW w:type="dxa" w:w="96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总学时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理论</w:t>
            </w:r>
          </w:p>
        </w:tc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实践</w:t>
            </w:r>
          </w:p>
        </w:tc>
        <w:tc>
          <w:tcPr>
            <w:tcW w:type="dxa" w:w="96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实验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上机</w:t>
            </w:r>
          </w:p>
        </w:tc>
        <w:tc>
          <w:tcPr>
            <w:tcW w:type="dxa" w:w="119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项目式</w:t>
            </w:r>
          </w:p>
        </w:tc>
      </w:tr>
      <w:tr>
        <w:tc>
          <w:tcPr>
            <w:tcW w:type="dxa" w:w="1134"/>
            <w:gridSpan w:val="2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96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19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适用专业</w:t>
            </w:r>
          </w:p>
        </w:tc>
        <w:tc>
          <w:tcPr>
            <w:tcW w:type="dxa" w:w="1191"/>
            <w:gridSpan w:val="7"/>
          </w:tcPr>
          <w:p>
            <w:pPr>
              <w:spacing w:after="0" w:line="285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智能制造工程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授课学院</w:t>
            </w:r>
          </w:p>
        </w:tc>
        <w:tc>
          <w:tcPr>
            <w:tcW w:type="dxa" w:w="1191"/>
            <w:gridSpan w:val="7"/>
          </w:tcPr>
          <w:p>
            <w:pPr>
              <w:spacing w:after="0" w:line="285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计算机与信息技术学院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先修课程</w:t>
            </w:r>
          </w:p>
        </w:tc>
        <w:tc>
          <w:tcPr>
            <w:tcW w:type="dxa" w:w="1191"/>
            <w:gridSpan w:val="7"/>
          </w:tcPr>
          <w:p>
            <w:pPr>
              <w:spacing w:after="0" w:line="285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程序设计基础（C&amp;C++）Ⅰ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后续课程</w:t>
            </w:r>
          </w:p>
        </w:tc>
        <w:tc>
          <w:tcPr>
            <w:tcW w:type="dxa" w:w="1191"/>
            <w:gridSpan w:val="7"/>
          </w:tcPr>
          <w:p>
            <w:pPr>
              <w:spacing w:after="0" w:line="285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数据结构（C）、微机原理及接口技术、人工智能技术与应用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课程简介</w:t>
            </w:r>
          </w:p>
        </w:tc>
        <w:tc>
          <w:tcPr>
            <w:tcW w:type="dxa" w:w="1191"/>
            <w:gridSpan w:val="7"/>
          </w:tcPr>
          <w:p>
            <w:pPr>
              <w:spacing w:after="40" w:line="325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本课程是《程序设计基础（C&amp;C++）Ⅰ》的进阶课程，以 C++ 语言和面向对象程序设计为主要载体，在学生已经具备 C 语言结构化程序设计、数组、指针和函数基础的前提下，重点学习类与对象、构造与析构、继承与派生、多态、运算符重载、虚函数、模板、命名空间和异常处理等机制。课程承担从“能够编写过程式程序”向“能够进行面向对象建模与程序设计”的能力转换，为后续数据结构、嵌入式软件、人工智能应用以及复杂工程软件开发奠定程序设计基础。</w:t>
            </w:r>
          </w:p>
          <w:p>
            <w:pPr>
              <w:spacing w:after="40" w:line="325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通过本课程的学习，学生能够理解面向对象程序设计的基本思想，能够根据问题对象及其关系设计类、对象和类层次结构，能够利用封装、继承和多态提高程序的可维护性与可扩展性；能够使用模板、命名空间和异常处理组织较为规范、健壮的 C++ 程序，并能够在开发环境中完成面向对象程序的编写、调试、测试和改进。</w:t>
            </w:r>
          </w:p>
          <w:p>
            <w:pPr>
              <w:spacing w:after="40" w:line="325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课程采用“概念建模—代码实现—上机验证—重构比较—综合设计”的教学方法。以教材案例和课堂练习建立面向对象概念，通过类设计、继承关系、多态行为和模板程序的连续上机训练强化理解；组织 C 与 C++ 实现对比、对象生命周期跟踪、类层次重构和异常场景测试，形成抽象建模、代码复用、接口设计和程序健壮性意识。</w:t>
            </w:r>
          </w:p>
        </w:tc>
      </w:tr>
      <w:tr>
        <w:tc>
          <w:tcPr>
            <w:tcW w:type="dxa" w:w="153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大纲更新时间</w:t>
            </w:r>
          </w:p>
        </w:tc>
        <w:tc>
          <w:tcPr>
            <w:tcW w:type="dxa" w:w="1191"/>
            <w:gridSpan w:val="7"/>
          </w:tcPr>
          <w:p>
            <w:pPr>
              <w:spacing w:after="0" w:line="285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2025年9月</w:t>
            </w:r>
          </w:p>
        </w:tc>
      </w:tr>
    </w:tbl>
    <w:p/>
    <w:p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"/>
        <w:gridCol w:w="4706"/>
        <w:gridCol w:w="3685"/>
      </w:tblGrid>
      <w:tr>
        <w:trPr>
          <w:tblHeader w:val="true"/>
        </w:trPr>
        <w:tc>
          <w:tcPr>
            <w:tcW w:type="dxa" w:w="96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课程总目标</w:t>
            </w:r>
          </w:p>
        </w:tc>
        <w:tc>
          <w:tcPr>
            <w:tcW w:type="dxa" w:w="4706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课程子目标（参考学校定位、培养目标、毕业要求）</w:t>
            </w:r>
          </w:p>
        </w:tc>
        <w:tc>
          <w:tcPr>
            <w:tcW w:type="dxa" w:w="3685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达成方法</w:t>
            </w:r>
          </w:p>
        </w:tc>
      </w:tr>
      <w:tr>
        <w:trPr>
          <w:cantSplit/>
        </w:trPr>
        <w:tc>
          <w:tcPr>
            <w:tcW w:type="dxa" w:w="964"/>
            <w:vMerge w:val="restart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1.知识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1.1 了解本课程知识体系及其与《程序设计基础（C&amp;C++）Ⅰ》和后续课程的关系，理解从结构化程序设计向面向对象程序设计发展的基本逻辑；掌握面向对象三个核心概念以及 C++ 输入输出、数据类型、内联函数、函数重载、默认参数、动态内存分配与释放和基本文件操作。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 C 与 C++ 程序对比说明课程衔接和面向对象思想；结合教材第7章讲授 C++ 基础机制，安排代码迁移、动态内存和文件操作上机任务。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 掌握类类型定义、成员访问控制、对象创建与使用、构造函数和析构函数、重载构造与复制构造、对象数组与对象指针、this 指针、静态成员、友元、类的组合、初始化与释放顺序、常对象与常成员等类与对象机制。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通过对象建模和生命周期跟踪系统讲授类与对象机制；采用“需求—类设计—对象行为—运行验证”训练模式，安排构造、复制、组合和静态成员等专项上机任务。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 掌握派生类、不同继承方式、派生类构造与析构、同名成员访问、多继承、二义性和虚基类等机制，理解类层次结构和代码复用的基本原理。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结合类图和程序结构讲解继承关系与访问规则；通过程序重构比较继承与重复代码，安排多继承、二义性和构造顺序实验。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 掌握多态、赋值兼容规则、运算符重载、虚函数和动态绑定等机制，理解统一接口和运行时多态在可扩展程序设计中的作用。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通过静态绑定与动态绑定运行轨迹对比讲解多态；以统一接口处理不同对象的案例训练虚函数设计，并安排运算符重载和多态综合任务。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 掌握函数模板与类模板的基本使用方法，理解命名空间的作用，掌握异常抛出、捕获与处理的基本流程，理解泛型程序设计和异常处理对程序复用性、可维护性和健壮性的意义。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结合重复算法重构讲解模板；通过命名冲突案例说明命名空间；设置异常场景实验，要求学生设计异常检测、抛出、捕获和恢复流程。</w:t>
            </w:r>
          </w:p>
        </w:tc>
      </w:tr>
      <w:tr>
        <w:trPr>
          <w:cantSplit/>
        </w:trPr>
        <w:tc>
          <w:tcPr>
            <w:tcW w:type="dxa" w:w="964"/>
            <w:vMerge w:val="restart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2.能力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 能够将已有 C 程序迁移到 C++ 环境，正确使用 C++ 输入输出、函数重载、默认参数、动态内存和文件操作完成基础程序，并能够比较过程式与面向对象程序设计的主要差异。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 C/C++ 代码迁移和功能等价实现任务，通过编译运行与结果比较训练新语言机制的应用和课程衔接。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 能够根据问题中的对象、属性和行为设计类，合理确定访问权限、数据成员、成员函数和对象生命周期，完成具有封装性的程序模块。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以账户、几何对象、设备状态等任务开展对象建模练习；要求绘制简单类关系、实现构造析构并通过测试验证对象状态。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 能够识别对象之间的继承关系，建立合理的基类与派生类层次，使用继承、组合等方式实现功能复用，并分析不同继承方式和多继承中的访问与二义性问题。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通过重复代码重构、基类提取和多继承案例开展上机训练，要求学生说明继承选择、访问规则和构造析构顺序。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 能够根据程序需求使用运算符重载、虚函数和多态机制设计统一接口，使不同派生对象通过共同接口表现不同运行行为，并能够分析静态绑定与动态绑定差异。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安排运算符重载、虚函数和基类指针/引用多态任务，通过运行轨迹、断点调试和结果解释训练接口设计与动态行为分析。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2.5 能够综合使用类、继承、多态、模板、命名空间和异常处理完成基本面向对象程序，进行调试、测试和重构，并对设计方案的可读性、复用性、耦合度和健壮性进行分析。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以综合面向对象程序为载体，要求完成设计、编码、异常处理、测试和重构；组织代码讲评，比较不同方案的复用性和可维护性。</w:t>
            </w:r>
          </w:p>
        </w:tc>
      </w:tr>
      <w:tr>
        <w:trPr>
          <w:cantSplit/>
        </w:trPr>
        <w:tc>
          <w:tcPr>
            <w:tcW w:type="dxa" w:w="964"/>
            <w:vMerge w:val="restart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3.素质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 形成从现实对象和工程任务中抽象数据、行为和关系的建模意识，理解抽象、封装和明确职责对复杂程序设计的重要性。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通过对象识别、类职责划分和 C/C++ 对比，引导学生从“步骤堆叠”转向“对象与职责”分析，训练抽象建模思维。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 形成重视对象生命周期、资源管理和接口边界的质量意识，理解构造、析构、复制和访问控制对程序可靠性与维护性的影响。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通过对象生命周期跟踪、资源释放错误和访问控制反例，训练学生关注资源责任、状态一致性和接口约束。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 形成重视代码复用、层次结构和模块解耦的工程设计意识，能够在继承、组合等方案之间进行基本权衡，避免以重复代码简单堆叠功能。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通过重复代码重构和继承/组合方案比较，引导学生依据“是否为合理的类关系”而非仅为复用代码做设计决策。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 形成面向变化进行接口设计和基于运行证据分析多态行为的意识，培养严谨调试、规范表达和对程序行为负责的工程习惯。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通过多态运行轨迹、虚函数错误案例和接口替换实验，要求学生解释程序实际绑定行为并使用调试证据验证判断。</w:t>
            </w:r>
          </w:p>
        </w:tc>
      </w:tr>
      <w:tr>
        <w:trPr>
          <w:cantSplit/>
        </w:trPr>
        <w:tc>
          <w:tcPr>
            <w:tcW w:type="dxa" w:w="3024"/>
            <w:vMerge/>
          </w:tcPr>
          <w:p/>
        </w:tc>
        <w:tc>
          <w:tcPr>
            <w:tcW w:type="dxa" w:w="470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 形成重视通用性、异常场景和程序健壮性的质量意识，养成持续学习新语言机制、查阅技术资料、测试边界条件并不断重构改进的习惯。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通过模板复用、异常场景和综合程序重构训练，引导学生为失败路径设计处理策略，并通过文档和测试记录表达改进过程。</w:t>
            </w:r>
          </w:p>
        </w:tc>
      </w:tr>
    </w:tbl>
    <w:p/>
    <w:p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三、上机教学环节及基本要求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4"/>
        <w:gridCol w:w="1928"/>
        <w:gridCol w:w="567"/>
        <w:gridCol w:w="4309"/>
        <w:gridCol w:w="1247"/>
      </w:tblGrid>
      <w:tr>
        <w:trPr>
          <w:tblHeader w:val="true"/>
        </w:trPr>
        <w:tc>
          <w:tcPr>
            <w:tcW w:type="dxa" w:w="130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单元标题</w:t>
            </w:r>
          </w:p>
        </w:tc>
        <w:tc>
          <w:tcPr>
            <w:tcW w:type="dxa" w:w="1928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教学内容</w:t>
            </w:r>
          </w:p>
        </w:tc>
        <w:tc>
          <w:tcPr>
            <w:tcW w:type="dxa" w:w="567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学时</w:t>
            </w:r>
          </w:p>
        </w:tc>
        <w:tc>
          <w:tcPr>
            <w:tcW w:type="dxa" w:w="4309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课程要求</w:t>
            </w:r>
          </w:p>
        </w:tc>
        <w:tc>
          <w:tcPr>
            <w:tcW w:type="dxa" w:w="1247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课程目标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绪论与 C++ 编程基础</w:t>
            </w:r>
          </w:p>
        </w:tc>
        <w:tc>
          <w:tcPr>
            <w:tcW w:type="dxa" w:w="1928"/>
          </w:tcPr>
          <w:p>
            <w:pPr>
              <w:spacing w:after="0" w:line="270" w:lineRule="exact"/>
              <w:jc w:val="left"/>
            </w:pPr>
            <w:r>
              <w:t>课程知识体系与学习要求；Visual Studio Code（VS Code）下 C++ 程序编译、运行与调试；面向对象三个核心概念；C++ 输入输出；C++ 数据类型；内联函数；函数重载；默认参数；动态内存分配与释放；基本文件操作</w:t>
            </w: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>
            <w:pPr>
              <w:spacing w:after="20" w:line="250" w:lineRule="exac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 C 到 C++ 的语言演进与面向对象思想，理解软件技术持续迭代、抽象能力和持续学习的重要性；结合规范资源管理培养工程责任意识。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理解本课程与 C 语言课程的递进关系以及面向对象三个核心概念；掌握 C++ 基础语法扩展、动态内存和基本文件操作。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能够将基础 C 程序迁移到 C++ 环境，使用 C++ 输入输出、重载、默认参数和动态内存完成程序，并比较过程式与面向对象思路。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形成主动迁移既有知识、抽象问题和持续学习新工具的意识，建立基本的对象建模观念。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课程导入、概念对比、代码迁移、上机实验、C/C++ 实现比较</w:t>
            </w:r>
          </w:p>
        </w:tc>
        <w:tc>
          <w:tcPr>
            <w:tcW w:type="dxa" w:w="124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第一单元 类与对象及封装</w:t>
            </w:r>
          </w:p>
        </w:tc>
        <w:tc>
          <w:tcPr>
            <w:tcW w:type="dxa" w:w="1928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类类型定义；成员访问控制；对象使用；构造函数与析构函数；重载构造；复制构造；对象数组与对象指针；this 指针；类类型作为参数；静态成员；友元；类的组合；初始化与释放顺序；常对象与常成员</w:t>
            </w:r>
          </w:p>
        </w:tc>
        <w:tc>
          <w:tcPr>
            <w:tcW w:type="dxa" w:w="56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4309"/>
          </w:tcPr>
          <w:p>
            <w:pPr>
              <w:spacing w:after="20" w:line="250" w:lineRule="exac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通过封装、访问控制和对象生命周期管理理解“明确边界、各负其责”的工程规范，强化资源责任、状态一致性和软件质量意识。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掌握类与对象核心机制、访问控制、构造析构、复制、静态成员、友元、组合及常对象等内容，理解对象生命周期。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能够从问题中识别对象、属性和行为并设计类，正确管理对象创建、复制与销毁，使用组合、静态成员等机制组织程序。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形成明确职责、保护内部状态和规范管理资源的设计意识，养成关注对象生命周期与接口边界的质量习惯。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对象建模、代码演示、生命周期跟踪、类设计练习、上机实现、错误案例分析</w:t>
            </w:r>
          </w:p>
        </w:tc>
        <w:tc>
          <w:tcPr>
            <w:tcW w:type="dxa" w:w="124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第二单元 继承、派生与类层次结构</w:t>
            </w:r>
          </w:p>
        </w:tc>
        <w:tc>
          <w:tcPr>
            <w:tcW w:type="dxa" w:w="1928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派生类概念；公有继承；派生类构造与析构；保护成员；基类与派生类同名成员；私有继承与保护继承；多继承；二义性；虚基类</w:t>
            </w:r>
          </w:p>
        </w:tc>
        <w:tc>
          <w:tcPr>
            <w:tcW w:type="dxa" w:w="56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>
            <w:pPr>
              <w:spacing w:after="20" w:line="250" w:lineRule="exac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通过继承与代码复用分析“复用与约束”的关系，强调合理抽象、避免重复劳动和遵循类关系本质，培养系统化设计意识。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掌握继承方式、访问规则、派生类构造析构、多继承、二义性和虚基类，理解类层次与复用机制。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能够识别合理的继承关系，建立基类与派生类层次，分析不同继承方式和多继承中的访问、构造顺序及二义性。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形成重视代码复用、层次结构和模块解耦的工程意识，能够对继承与组合方案进行基本权衡。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类图分析、代码重构、继承案例、上机练习、构造顺序跟踪</w:t>
            </w:r>
          </w:p>
        </w:tc>
        <w:tc>
          <w:tcPr>
            <w:tcW w:type="dxa" w:w="124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第三单元 多态、运算符重载与动态绑定</w:t>
            </w:r>
          </w:p>
        </w:tc>
        <w:tc>
          <w:tcPr>
            <w:tcW w:type="dxa" w:w="1928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多态；运算符重载；赋值兼容规则；虚函数；动态绑定；基类指针/引用；统一接口设计</w:t>
            </w:r>
          </w:p>
        </w:tc>
        <w:tc>
          <w:tcPr>
            <w:tcW w:type="dxa" w:w="56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>
            <w:pPr>
              <w:spacing w:after="20" w:line="250" w:lineRule="exac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通过统一接口支持不同对象行为，理解兼容、协同和面向变化进行设计的价值；强调必须依据实际运行轨迹和调试证据判断程序行为。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掌握多态、赋值兼容、运算符重载、虚函数和动态绑定机制，理解静态绑定与动态绑定差异。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能够设计和使用统一接口，通过虚函数实现运行时多态，完成运算符重载并分析不同对象的实际绑定行为。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形成面向变化设计接口、基于证据分析程序行为和对运行结果负责的工程习惯。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运行过程跟踪、接口设计、代码比较、多态综合任务、断点调试</w:t>
            </w:r>
          </w:p>
        </w:tc>
        <w:tc>
          <w:tcPr>
            <w:tcW w:type="dxa" w:w="124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第四单元 模板、命名空间与异常处理</w:t>
            </w:r>
          </w:p>
        </w:tc>
        <w:tc>
          <w:tcPr>
            <w:tcW w:type="dxa" w:w="1928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函数模板；类模板；命名空间；异常处理；异常抛出、捕获与恢复；综合面向对象程序重构</w:t>
            </w:r>
          </w:p>
        </w:tc>
        <w:tc>
          <w:tcPr>
            <w:tcW w:type="dxa" w:w="56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20" w:line="250" w:lineRule="exac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通过泛型复用和异常处理理解通用性、鲁棒性、风险预案和质量责任的重要性，培养持续改进和主动学习意识。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掌握函数模板、类模板、命名空间和异常处理的基本语法与工作机制，理解其对复用、组织和健壮性的作用。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能够编写基本模板程序，使用命名空间组织代码，设计异常检测、抛出和捕获流程，并综合课程知识完成程序重构。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形成重视异常场景、边界条件、程序健壮性和持续重构的质量意识，养成查阅技术资料与持续学习的习惯。</w:t>
            </w:r>
          </w:p>
          <w:p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模板示例、命名冲突案例、异常实验、代码重构、综合上机</w:t>
            </w:r>
          </w:p>
        </w:tc>
        <w:tc>
          <w:tcPr>
            <w:tcW w:type="dxa" w:w="124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1.5，2.5，3.5</w:t>
            </w:r>
          </w:p>
        </w:tc>
      </w:tr>
    </w:tbl>
    <w:p>
      <w:pPr>
        <w:spacing w:after="60"/>
        <w:jc w:val="left"/>
      </w:pPr>
      <w:r>
        <w:rPr>
          <w:rFonts w:ascii="Times New Roman" w:hAnsi="Times New Roman" w:eastAsia="宋体"/>
          <w:b/>
          <w:sz w:val="21"/>
        </w:rPr>
        <w:t>上机总学时 48</w:t>
      </w:r>
    </w:p>
    <w:p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四、课程评价</w:t>
      </w:r>
    </w:p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（一）考核内容、考核方式与课程目标对应关系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680"/>
        <w:gridCol w:w="737"/>
        <w:gridCol w:w="1701"/>
        <w:gridCol w:w="1134"/>
        <w:gridCol w:w="1134"/>
        <w:gridCol w:w="2381"/>
      </w:tblGrid>
      <w:tr>
        <w:trPr>
          <w:tblHeader w:val="true"/>
        </w:trPr>
        <w:tc>
          <w:tcPr>
            <w:tcW w:type="dxa" w:w="1587"/>
            <w:vAlign w:val="center"/>
            <w:vMerge w:val="restart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考核内容</w:t>
            </w:r>
          </w:p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680"/>
            <w:vAlign w:val="center"/>
            <w:vMerge w:val="restart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总学时</w:t>
            </w:r>
          </w:p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737"/>
            <w:vAlign w:val="center"/>
            <w:vMerge w:val="restart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上机学时</w:t>
            </w:r>
          </w:p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134"/>
            <w:vAlign w:val="center"/>
            <w:gridSpan w:val="3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考核方式及占比（100%）</w:t>
            </w:r>
          </w:p>
        </w:tc>
        <w:tc>
          <w:tcPr>
            <w:tcW w:type="dxa" w:w="2381"/>
            <w:vAlign w:val="center"/>
            <w:vMerge w:val="restart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课程目标</w:t>
            </w:r>
          </w:p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</w:tr>
      <w:tr>
        <w:trPr>
          <w:tblHeader w:val="true"/>
        </w:trPr>
        <w:tc>
          <w:tcPr>
            <w:tcW w:type="dxa" w:w="1587"/>
            <w:vAlign w:val="center"/>
            <w:vMerge/>
            <w:tcMar>
              <w:top w:w="120" w:type="dxa"/>
              <w:start w:w="70" w:type="dxa"/>
              <w:bottom w:w="120" w:type="dxa"/>
              <w:end w:w="70" w:type="dxa"/>
            </w:tcMar>
          </w:tcPr>
          <w:p/>
        </w:tc>
        <w:tc>
          <w:tcPr>
            <w:tcW w:type="dxa" w:w="680"/>
            <w:vAlign w:val="center"/>
            <w:vMerge/>
            <w:tcMar>
              <w:top w:w="120" w:type="dxa"/>
              <w:start w:w="70" w:type="dxa"/>
              <w:bottom w:w="120" w:type="dxa"/>
              <w:end w:w="70" w:type="dxa"/>
            </w:tcMar>
          </w:tcPr>
          <w:p/>
        </w:tc>
        <w:tc>
          <w:tcPr>
            <w:tcW w:type="dxa" w:w="737"/>
            <w:vAlign w:val="center"/>
            <w:vMerge/>
            <w:tcMar>
              <w:top w:w="120" w:type="dxa"/>
              <w:start w:w="70" w:type="dxa"/>
              <w:bottom w:w="120" w:type="dxa"/>
              <w:end w:w="70" w:type="dxa"/>
            </w:tcMar>
          </w:tcPr>
          <w:p/>
        </w:tc>
        <w:tc>
          <w:tcPr>
            <w:tcW w:type="dxa" w:w="1701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平时表现（20%）</w:t>
            </w:r>
          </w:p>
        </w:tc>
        <w:tc>
          <w:tcPr>
            <w:tcW w:type="dxa" w:w="113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课程作业（20%）</w:t>
            </w:r>
          </w:p>
        </w:tc>
        <w:tc>
          <w:tcPr>
            <w:tcW w:type="dxa" w:w="113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期末考试（60%）</w:t>
            </w:r>
          </w:p>
        </w:tc>
        <w:tc>
          <w:tcPr>
            <w:tcW w:type="dxa" w:w="2381"/>
            <w:vAlign w:val="center"/>
            <w:vMerge/>
            <w:tcMar>
              <w:top w:w="120" w:type="dxa"/>
              <w:start w:w="70" w:type="dxa"/>
              <w:bottom w:w="120" w:type="dxa"/>
              <w:end w:w="70" w:type="dxa"/>
            </w:tcMar>
          </w:tcPr>
          <w:p/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绪论与 C++ 编程基础</w:t>
            </w:r>
          </w:p>
        </w:tc>
        <w:tc>
          <w:tcPr>
            <w:tcW w:type="dxa" w:w="68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73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vMerge w:val="restart"/>
          </w:tcPr>
          <w:p>
            <w:pPr>
              <w:spacing w:after="0" w:line="264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平时表现不按考核内容区分占比，按照考勤、课堂表现、随堂练习与代码规范综合记录，详见“平时表现评分标准”。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15%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15%</w:t>
            </w:r>
          </w:p>
        </w:tc>
        <w:tc>
          <w:tcPr>
            <w:tcW w:type="dxa" w:w="238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第一单元 类与对象及封装</w:t>
            </w:r>
          </w:p>
        </w:tc>
        <w:tc>
          <w:tcPr>
            <w:tcW w:type="dxa" w:w="68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73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296"/>
            <w:vMerge/>
          </w:tcPr>
          <w:p/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30%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30%</w:t>
            </w:r>
          </w:p>
        </w:tc>
        <w:tc>
          <w:tcPr>
            <w:tcW w:type="dxa" w:w="238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第二单元 继承、派生与类层次结构</w:t>
            </w:r>
          </w:p>
        </w:tc>
        <w:tc>
          <w:tcPr>
            <w:tcW w:type="dxa" w:w="68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296"/>
            <w:vMerge/>
          </w:tcPr>
          <w:p/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type="dxa" w:w="238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第三单元 多态、运算符重载与动态绑定</w:t>
            </w:r>
          </w:p>
        </w:tc>
        <w:tc>
          <w:tcPr>
            <w:tcW w:type="dxa" w:w="68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296"/>
            <w:vMerge/>
          </w:tcPr>
          <w:p/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25%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25%</w:t>
            </w:r>
          </w:p>
        </w:tc>
        <w:tc>
          <w:tcPr>
            <w:tcW w:type="dxa" w:w="238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第四单元 模板、命名空间与异常处理</w:t>
            </w:r>
          </w:p>
        </w:tc>
        <w:tc>
          <w:tcPr>
            <w:tcW w:type="dxa" w:w="68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296"/>
            <w:vMerge/>
          </w:tcPr>
          <w:p/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238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1.5，2.5，3.5</w:t>
            </w:r>
          </w:p>
        </w:tc>
      </w:tr>
      <w:tr>
        <w:tc>
          <w:tcPr>
            <w:tcW w:type="dxa" w:w="158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type="dxa" w:w="68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48</w:t>
            </w:r>
          </w:p>
        </w:tc>
        <w:tc>
          <w:tcPr>
            <w:tcW w:type="dxa" w:w="737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48</w:t>
            </w:r>
          </w:p>
        </w:tc>
        <w:tc>
          <w:tcPr>
            <w:tcW w:type="dxa" w:w="170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type="dxa" w:w="1134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type="dxa" w:w="238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—</w:t>
            </w:r>
          </w:p>
        </w:tc>
      </w:tr>
    </w:tbl>
    <w:p/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（二）考核方式与评分标准</w:t>
      </w:r>
    </w:p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1.考核方式</w:t>
      </w:r>
    </w:p>
    <w:p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考试。</w:t>
      </w:r>
    </w:p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2.评分说明</w:t>
      </w:r>
    </w:p>
    <w:p>
      <w:pPr>
        <w:spacing w:after="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课程考核方式包括平时表现、课程作业和期末考试三种，每一种均折合成百分制记录。最终成绩100%=平时表现20%＋课程作业20%＋期末考试60%。课程作业以单元编程任务、上机作业、OJ练习及必要的程序说明为主要载体；期末考试以机考为主，综合考查程序阅读、运行结果分析、错误定位、程序补全和程序设计能力。</w:t>
      </w:r>
    </w:p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3.评分标准分项说明</w:t>
      </w:r>
    </w:p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（1）平时表现评分标准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1"/>
        <w:gridCol w:w="680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191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55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评分指标</w:t>
            </w:r>
          </w:p>
        </w:tc>
        <w:tc>
          <w:tcPr>
            <w:tcW w:type="dxa" w:w="680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55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指标权重</w:t>
            </w:r>
          </w:p>
        </w:tc>
        <w:tc>
          <w:tcPr>
            <w:tcW w:type="dxa" w:w="147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55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90–100（优）</w:t>
            </w:r>
          </w:p>
        </w:tc>
        <w:tc>
          <w:tcPr>
            <w:tcW w:type="dxa" w:w="147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55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80–89（良）</w:t>
            </w:r>
          </w:p>
        </w:tc>
        <w:tc>
          <w:tcPr>
            <w:tcW w:type="dxa" w:w="147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55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70–79（中）</w:t>
            </w:r>
          </w:p>
        </w:tc>
        <w:tc>
          <w:tcPr>
            <w:tcW w:type="dxa" w:w="147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55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60–69（及格）</w:t>
            </w:r>
          </w:p>
        </w:tc>
        <w:tc>
          <w:tcPr>
            <w:tcW w:type="dxa" w:w="1474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55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考勤与课堂规范</w:t>
            </w:r>
          </w:p>
        </w:tc>
        <w:tc>
          <w:tcPr>
            <w:tcW w:type="dxa" w:w="680"/>
          </w:tcPr>
          <w:p>
            <w:pPr>
              <w:spacing w:after="0" w:line="249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30%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出勤完整，遵守课堂与上机规范，无迟到早退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出勤良好，偶有轻微迟到但不影响学习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出勤基本正常，能遵守主要规范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出勤达到最低要求，经提醒能遵守规范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缺勤较多或多次违反课堂、上机规范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课堂学习与参与</w:t>
            </w:r>
          </w:p>
        </w:tc>
        <w:tc>
          <w:tcPr>
            <w:tcW w:type="dxa" w:w="680"/>
          </w:tcPr>
          <w:p>
            <w:pPr>
              <w:spacing w:after="0" w:line="249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30%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主动参与分析、讨论和代码讲评，能清晰表达思路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能够参与主要课堂活动并回答问题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基本参与课堂任务，能完成主要要求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经提醒可参与并完成基础要求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长期不参与课堂学习或无法完成基本任务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随堂练习与代码规范</w:t>
            </w:r>
          </w:p>
        </w:tc>
        <w:tc>
          <w:tcPr>
            <w:tcW w:type="dxa" w:w="680"/>
          </w:tcPr>
          <w:p>
            <w:pPr>
              <w:spacing w:after="0" w:line="249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40%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练习完成及时、正确率高，代码结构清晰、命名和缩进规范，能主动验证结果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练习基本正确，代码较规范，少量问题可自主修正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完成主要练习，代码基本可读，存在若干错误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在指导下完成基础练习并达到最低规范</w:t>
            </w:r>
          </w:p>
        </w:tc>
        <w:tc>
          <w:tcPr>
            <w:tcW w:type="dxa" w:w="1474"/>
          </w:tcPr>
          <w:p>
            <w:pPr>
              <w:spacing w:after="0" w:line="249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大量缺交、无法运行或代码严重不规范</w:t>
            </w:r>
          </w:p>
        </w:tc>
      </w:tr>
    </w:tbl>
    <w:p/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850"/>
        <w:gridCol w:w="5386"/>
        <w:gridCol w:w="1417"/>
      </w:tblGrid>
      <w:tr>
        <w:trPr>
          <w:tblHeader w:val="true"/>
        </w:trPr>
        <w:tc>
          <w:tcPr>
            <w:tcW w:type="dxa" w:w="1701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386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考核目标与评分要求</w:t>
            </w:r>
          </w:p>
        </w:tc>
        <w:tc>
          <w:tcPr>
            <w:tcW w:type="dxa" w:w="1417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绪论与 C++ 编程基础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能够完成 C/C++ 基础代码迁移，正确使用 C++ I/O、函数重载、默认参数、动态内存和文件操作；能说明与 C 程序设计的主要差异。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类与对象及封装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类职责与访问控制合理；构造、析构、复制和对象生命周期处理正确；能够使用对象数组、指针、静态成员、友元或组合等机制完成指定任务。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继承、派生与类层次结构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能够建立合理的基类/派生类关系，正确处理访问规则、构造析构顺序和同名成员；能分析多继承二义性并使用虚基类等机制解决典型问题。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多态、运算符重载与动态绑定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能够设计适当的运算符重载和虚函数接口，通过基类指针或引用实现运行时多态；能解释静态/动态绑定并通过测试验证实际行为。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模板、命名空间与异常处理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能够使用函数/类模板完成通用程序，合理使用命名空间并设计基本异常处理流程；综合程序具有基本健壮性和可读性。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70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type="dxa" w:w="85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type="dxa" w:w="5386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（3）期末考试评分标准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850"/>
        <w:gridCol w:w="5386"/>
        <w:gridCol w:w="1417"/>
      </w:tblGrid>
      <w:tr>
        <w:trPr>
          <w:tblHeader w:val="true"/>
        </w:trPr>
        <w:tc>
          <w:tcPr>
            <w:tcW w:type="dxa" w:w="1701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386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考点与要求</w:t>
            </w:r>
          </w:p>
        </w:tc>
        <w:tc>
          <w:tcPr>
            <w:tcW w:type="dxa" w:w="1417"/>
            <w:vAlign w:val="center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spacing w:after="0" w:line="264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绪论与 C++ 编程基础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理解面向对象核心概念和 C++ 基础扩展；掌握 I/O、函数重载、默认参数、动态内存和文件操作，能够阅读、补全和分析基础 C++ 程序。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类与对象及封装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掌握类定义、访问控制、构造析构、复制构造、对象数组与指针、this、静态成员、友元、组合和常对象等；能够进行类设计、对象状态分析和程序实现。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继承、派生与类层次结构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掌握继承方式、派生类构造析构、多继承、二义性和虚基类；能够分析类层次、访问关系和对象构造过程，并完成继承程序设计。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多态、运算符重载与动态绑定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掌握多态、赋值兼容、运算符重载和虚函数；能够分析动态绑定、基类指针/引用行为，并设计统一接口实现多态程序。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模板、命名空间与异常处理</w:t>
            </w:r>
          </w:p>
        </w:tc>
        <w:tc>
          <w:tcPr>
            <w:tcW w:type="dxa" w:w="850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5386"/>
          </w:tcPr>
          <w:p>
            <w:pPr>
              <w:spacing w:after="0" w:line="261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掌握模板、命名空间和异常处理基本机制；能够完成模板程序阅读与编写，分析异常处理流程，并理解其对复用性与健壮性的作用。</w:t>
            </w:r>
          </w:p>
        </w:tc>
        <w:tc>
          <w:tcPr>
            <w:tcW w:type="dxa" w:w="1417"/>
          </w:tcPr>
          <w:p>
            <w:pPr>
              <w:spacing w:after="0" w:line="261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701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type="dxa" w:w="850"/>
          </w:tcPr>
          <w:p>
            <w:pPr>
              <w:spacing w:after="0" w:line="27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type="dxa" w:w="5386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 w:line="27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五、参考书目及学习资料</w:t>
      </w:r>
    </w:p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（一）选用教材</w:t>
      </w:r>
    </w:p>
    <w:p>
      <w:pPr>
        <w:spacing w:after="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戴波. C与C++程序设计（第二版）[M]. 北京：北京大学出版社，2025. ISBN 9787301362648</w:t>
      </w:r>
    </w:p>
    <w:p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（二）学习资料</w:t>
      </w:r>
    </w:p>
    <w:p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[1] 陈家骏, 郑滔. 程序设计教程：用C++语言编程（第4版）[M]. 北京：机械工业出版社，2023. ISBN 9787111716976。</w:t>
      </w:r>
    </w:p>
    <w:p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[2] 刘厚泉, 李政伟, 葛欣. C++程序设计基础教程（第2版）[M]. 北京：机械工业出版社，2023. ISBN 9787111729686。</w:t>
      </w:r>
    </w:p>
    <w:p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[3] 宁涛, 王佳玉. C++语言程序设计（第2版·微课视频版）[M]. 北京：清华大学出版社，2022. ISBN 9787302602248。</w:t>
      </w:r>
    </w:p>
    <w:p>
      <w:pPr>
        <w:spacing w:before="200" w:after="80"/>
        <w:jc w:val="left"/>
      </w:pPr>
      <w:r>
        <w:rPr>
          <w:rFonts w:ascii="Times New Roman" w:hAnsi="Times New Roman" w:eastAsia="宋体"/>
          <w:b w:val="0"/>
          <w:sz w:val="21"/>
        </w:rPr>
        <w:t xml:space="preserve">制定人：　　　　　　　　审定人：　　　　　　　　批准人：　　　　　　　　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2025年9月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程序设计基础（C&amp;C++）Ⅱ课程教学大纲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