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3" w:lineRule="auto" w:before="0" w:after="0"/>
        <w:jc w:val="center"/>
      </w:pPr>
      <w:r>
        <w:rPr>
          <w:rFonts w:ascii="Times New Roman" w:hAnsi="Times New Roman" w:cs="Times New Roman" w:eastAsia="宋体"/>
        </w:rPr>
        <w:t>《计算机网络（B）》课程教学大纲</w:t>
      </w:r>
    </w:p>
    <w:p>
      <w:pPr>
        <w:keepNext/>
        <w:spacing w:line="283" w:lineRule="auto" w:before="100" w:after="60"/>
      </w:pPr>
      <w:r>
        <w:rPr>
          <w:rFonts w:ascii="Times New Roman" w:hAnsi="Times New Roman" w:eastAsia="黑体"/>
          <w:b/>
          <w:sz w:val="28"/>
        </w:rPr>
        <w:t>一、课程基本信息</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1"/>
        <w:gridCol w:w="1634"/>
        <w:gridCol w:w="1215"/>
        <w:gridCol w:w="1104"/>
        <w:gridCol w:w="477"/>
        <w:gridCol w:w="627"/>
        <w:gridCol w:w="1033"/>
        <w:gridCol w:w="1033"/>
      </w:tblGrid>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课程名称（中英文）</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计算机网络（B）  Computer Networks (B)</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课程代码</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25JX21801</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课程类别</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专业类</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课程性质</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选修课</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授课语言</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中文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授课学期</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第6学期</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学分</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3</w:t>
            </w:r>
          </w:p>
        </w:tc>
      </w:tr>
      <w:tr>
        <w:trPr>
          <w:cantSplit/>
        </w:trPr>
        <w:tc>
          <w:tcPr>
            <w:tcW w:type="dxa" w:w="3565"/>
            <w:gridSpan w:val="2"/>
            <w:vMerge w:val="restart"/>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课程学时及分配</w:t>
            </w:r>
          </w:p>
        </w:tc>
        <w:tc>
          <w:tcPr>
            <w:tcW w:type="dxa" w:w="1215"/>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总学时</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理论</w:t>
            </w:r>
          </w:p>
        </w:tc>
        <w:tc>
          <w:tcPr>
            <w:tcW w:type="dxa" w:w="47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实践</w:t>
            </w:r>
          </w:p>
        </w:tc>
        <w:tc>
          <w:tcPr>
            <w:tcW w:type="dxa" w:w="62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实验</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上机</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项目式</w:t>
            </w:r>
          </w:p>
        </w:tc>
      </w:tr>
      <w:tr>
        <w:trPr>
          <w:cantSplit/>
        </w:trPr>
        <w:tc>
          <w:tcPr>
            <w:tcW w:type="dxa" w:w="3565"/>
            <w:gridSpan w:val="2"/>
            <w:vMerge/>
            <w:tcMar>
              <w:top w:w="80" w:type="dxa"/>
              <w:start w:w="70" w:type="dxa"/>
              <w:bottom w:w="80" w:type="dxa"/>
              <w:end w:w="70" w:type="dxa"/>
            </w:tcMar>
          </w:tcPr>
          <w:p/>
        </w:tc>
        <w:tc>
          <w:tcPr>
            <w:tcW w:type="dxa" w:w="1215"/>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48</w:t>
            </w:r>
          </w:p>
        </w:tc>
        <w:tc>
          <w:tcPr>
            <w:tcW w:type="dxa" w:w="110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48</w:t>
            </w:r>
          </w:p>
        </w:tc>
        <w:tc>
          <w:tcPr>
            <w:tcW w:type="dxa" w:w="47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c>
          <w:tcPr>
            <w:tcW w:type="dxa" w:w="62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c>
          <w:tcPr>
            <w:tcW w:type="dxa" w:w="1033"/>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c>
          <w:tcPr>
            <w:tcW w:type="dxa" w:w="1033"/>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适用专业</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智能制造工程</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授课学院</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计算机与信息技术学院</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先修课程</w:t>
            </w:r>
          </w:p>
        </w:tc>
        <w:tc>
          <w:tcPr>
            <w:tcW w:type="dxa" w:w="7123"/>
            <w:gridSpan w:val="7"/>
            <w:tcMar>
              <w:top w:w="80" w:type="dxa"/>
              <w:start w:w="70" w:type="dxa"/>
              <w:bottom w:w="80" w:type="dxa"/>
              <w:end w:w="70" w:type="dxa"/>
            </w:tcMar>
            <w:vAlign w:val="center"/>
          </w:tcPr>
          <w:p>
            <w:pPr>
              <w:spacing w:line="240" w:lineRule="auto" w:before="0" w:after="0"/>
              <w:jc w:val="left"/>
            </w:pPr>
            <w:r>
              <w:rPr>
                <w:rFonts w:ascii="Times New Roman" w:hAnsi="Times New Roman" w:cs="Times New Roman" w:eastAsia="宋体"/>
                <w:b w:val="0"/>
                <w:sz w:val="17"/>
              </w:rPr>
              <w:t>数据结构（C）、程序设计基础（C&amp;C++）Ⅱ、工程建模与科学计算可视化基础（Python）</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后续课程</w:t>
            </w:r>
          </w:p>
        </w:tc>
        <w:tc>
          <w:tcPr>
            <w:tcW w:type="dxa" w:w="7123"/>
            <w:gridSpan w:val="7"/>
            <w:tcMar>
              <w:top w:w="80" w:type="dxa"/>
              <w:start w:w="70" w:type="dxa"/>
              <w:bottom w:w="80" w:type="dxa"/>
              <w:end w:w="70" w:type="dxa"/>
            </w:tcMar>
            <w:vAlign w:val="center"/>
          </w:tcPr>
          <w:p>
            <w:pPr>
              <w:spacing w:line="240" w:lineRule="auto" w:before="0" w:after="0"/>
              <w:jc w:val="left"/>
            </w:pPr>
            <w:r>
              <w:rPr>
                <w:rFonts w:ascii="Times New Roman" w:hAnsi="Times New Roman" w:cs="Times New Roman" w:eastAsia="宋体"/>
                <w:b w:val="0"/>
                <w:sz w:val="17"/>
              </w:rPr>
              <w:t>先进装备系统设计与开发（ROS）、智能生产计划管理（MES/ERP）、毕业设计（论文）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课程简介</w:t>
            </w:r>
          </w:p>
        </w:tc>
        <w:tc>
          <w:tcPr>
            <w:tcW w:type="dxa" w:w="7123"/>
            <w:gridSpan w:val="7"/>
            <w:tcMar>
              <w:top w:w="80" w:type="dxa"/>
              <w:start w:w="70" w:type="dxa"/>
              <w:bottom w:w="80" w:type="dxa"/>
              <w:end w:w="70" w:type="dxa"/>
            </w:tcMar>
            <w:vAlign w:val="center"/>
          </w:tcPr>
          <w:p>
            <w:pPr>
              <w:spacing w:before="0" w:after="20" w:line="250" w:lineRule="auto"/>
            </w:pPr>
            <w:r>
              <w:rPr>
                <w:rFonts w:ascii="Times New Roman" w:hAnsi="Times New Roman" w:cs="Times New Roman" w:eastAsia="宋体"/>
                <w:b/>
                <w:sz w:val="18"/>
              </w:rPr>
              <w:t>课程基本定位</w:t>
              <w:br/>
            </w:r>
            <w:r>
              <w:rPr>
                <w:rFonts w:ascii="Times New Roman" w:hAnsi="Times New Roman" w:cs="Times New Roman" w:eastAsia="宋体"/>
                <w:b w:val="0"/>
                <w:sz w:val="17"/>
              </w:rPr>
              <w:t>本课程是智能制造工程专业的专业选修课，系统讲授计算机网络的基本概念、体系结构、分组交换和端到端通信原理，建立“网络体系结构—局域网与数据链路—IP网络—运输层—应用层—网络管理与安全”的知识主线。课程名称中的“（B）”按培养方案作为课程版本名称保留。本课程侧重通用计算机网络原理与网络系统分析，不替代同组选修课《工业网络技术及应用》中面向PROFINET、EtherCAT、OPC UA等工业协议的专门内容。课程通过智能装备、边缘计算、ROS、MES和物联网等场景说明通用网络原理在智能制造系统中的作用。</w:t>
            </w:r>
          </w:p>
          <w:p>
            <w:pPr>
              <w:spacing w:before="0" w:after="20" w:line="250" w:lineRule="auto"/>
            </w:pPr>
            <w:r>
              <w:rPr>
                <w:rFonts w:ascii="Times New Roman" w:hAnsi="Times New Roman" w:cs="Times New Roman" w:eastAsia="宋体"/>
                <w:b/>
                <w:sz w:val="18"/>
              </w:rPr>
              <w:t>核心学习结果</w:t>
              <w:br/>
            </w:r>
            <w:r>
              <w:rPr>
                <w:rFonts w:ascii="Times New Roman" w:hAnsi="Times New Roman" w:cs="Times New Roman" w:eastAsia="宋体"/>
                <w:b w:val="0"/>
                <w:sz w:val="17"/>
              </w:rPr>
              <w:t>学生能够解释分层、封装、分组交换、时延、吞吐量和可靠传输等基本概念；能够识读以太网帧、ARP、IP、ICMP、TCP、UDP、DNS和HTTP等典型协议的数据流与报文关系；能够完成IPv4子网划分、IPv6地址理解和基本路由分析；能够解释TCP连接、流量控制、拥塞控制及其性能影响；能够从链路、地址、路由、端口、域名和应用服务等层次定位常见网络故障；能够形成包含拓扑、地址规划、分层设备、关键协议、安全边界和验证方法的中小型网络设计方案，并说明其在智能制造、机器人和边缘系统中的适用边界。</w:t>
            </w:r>
          </w:p>
          <w:p>
            <w:pPr>
              <w:spacing w:before="0" w:after="20" w:line="250" w:lineRule="auto"/>
            </w:pPr>
            <w:r>
              <w:rPr>
                <w:rFonts w:ascii="Times New Roman" w:hAnsi="Times New Roman" w:cs="Times New Roman" w:eastAsia="宋体"/>
                <w:b/>
                <w:sz w:val="18"/>
              </w:rPr>
              <w:t>主要教学方法</w:t>
              <w:br/>
            </w:r>
            <w:r>
              <w:rPr>
                <w:rFonts w:ascii="Times New Roman" w:hAnsi="Times New Roman" w:cs="Times New Roman" w:eastAsia="宋体"/>
                <w:b w:val="0"/>
                <w:sz w:val="17"/>
              </w:rPr>
              <w:t>采用原理讲授、协议报文解析、分层通信过程推演、Wireshark或教师提供抓包数据演示、网络拓扑与地址规划练习、故障案例研讨和方案评审相结合的方式。培养方案未设置实验、上机或项目式学时，因此抓包、网络仿真、Socket示例和路由配置等均作为课堂演示、课内分析或课后作业，不单列实践学时。教学坚持“先理解协议行为，再使用工具验证”，不把设备命令和厂商认证内容作为课程主线；所有网络探测、抓包和配置必须在授权环境、教师提供数据或隔离仿真环境中进行。</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大纲更新时间</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2026年9月</w:t>
            </w:r>
          </w:p>
        </w:tc>
      </w:tr>
    </w:tbl>
    <w:p>
      <w:pPr>
        <w:keepNext/>
        <w:spacing w:line="283" w:lineRule="auto" w:before="100" w:after="60"/>
      </w:pPr>
      <w:r>
        <w:rPr>
          <w:rFonts w:ascii="Times New Roman" w:hAnsi="Times New Roman" w:eastAsia="黑体"/>
          <w:b/>
          <w:sz w:val="28"/>
        </w:rPr>
        <w:t>二、课程目标</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50"/>
        <w:gridCol w:w="4650"/>
        <w:gridCol w:w="3354"/>
      </w:tblGrid>
      <w:tr>
        <w:trPr>
          <w:tblHeader w:val="true"/>
          <w:cantSplit/>
        </w:trPr>
        <w:tc>
          <w:tcPr>
            <w:tcW w:type="dxa" w:w="10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课程总目标</w:t>
            </w:r>
          </w:p>
        </w:tc>
        <w:tc>
          <w:tcPr>
            <w:tcW w:type="dxa" w:w="46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课程子目标（参考学校定位、培养目标、毕业要求）</w:t>
            </w:r>
          </w:p>
        </w:tc>
        <w:tc>
          <w:tcPr>
            <w:tcW w:type="dxa" w:w="3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达成方法</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1.知识</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1.1 理解计算机网络组成、分层体系结构、分组交换和关键性能指标。</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通过分层动画、时延计算和端到端数据流推演检验。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1.2 掌握数据链路、以太网交换和无线局域网的基本机制。</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通过帧结构、MAC/ARP与交换过程案例检验。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1.3 掌握IP编址、子网、路由转发、ICMP、NAT和IPv6的核心原理。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通过子网计算、路由表和IPv6对比案例检验。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1.4 掌握UDP/TCP、可靠传输、流量控制和拥塞控制的基本机制。</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通过TCP状态、报文序列和性能案例检验。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1.5 掌握DNS、HTTP、邮件、DHCP等典型应用协议及客户端/服务器模型。</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通过DNS/HTTP过程和服务故障链分析检验。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1.6 理解网络管理、安全机制及SDN、云边缘和物联网等新型网络技术。</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通过故障树、安全案例和网络方案评审检验。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2.能力</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2.1 能够沿协议栈分析端到端通信过程并估算基本时延和吞吐量。</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通过体系结构与性能分析任务检验。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2.2 能够依据MAC、ARP、交换表和帧信息分析局域网通信与常见故障。</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通过局域网协议与故障分析作业检验。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2.3 能够完成IPv4子网规划、路由表分析和基本IPv6地址识读，并定位网络层故障。</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通过地址规划、路由与ICMP分析任务检验。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2.4 能够依据端口、TCP状态、序号确认和网络现象分析端到端通信问题。</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通过TCP/UDP报文和状态分析检验。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2.5 能够从域名、端口、请求响应和服务依赖关系分析应用访问故障。</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通过DNS、HTTP和DHCP案例检验。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2.6 能够按分层顺序定位常见网络故障并形成中小型网络设计与验证方案。</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通过综合网络报告和个人核验检验。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3.素质</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3.1 形成以标准、模型和可测指标描述网络问题的工程习惯。</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通过性能计算、拓扑分析和方案说明检验。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3.2 形成规范配置、广播域边界和无线接入安全意识。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通过以太网、VLAN/WLAN和故障复盘检验。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3.3 形成地址资源规划、配置可追溯和兼顾可扩展性的系统意识。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通过IPv4/IPv6地址规划和路由分析检验。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3.4 形成从端到端性能、可靠性和资源公平性评价传输方案的意识。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通过拥塞、重传和性能案例检验。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3.5 形成数据隐私、服务可用性、接口规范和合法使用网络服务的意识。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通过应用服务、安全和隐私案例检验。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3.6 形成合法授权、最小权限、可恢复、持续学习和跨专业沟通意识。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通过网络安全、诊断和智能制造应用案例检验。</w:t>
            </w:r>
          </w:p>
        </w:tc>
      </w:tr>
    </w:tbl>
    <w:p>
      <w:pPr>
        <w:keepNext/>
        <w:spacing w:line="283" w:lineRule="auto" w:before="100" w:after="60"/>
      </w:pPr>
      <w:r>
        <w:rPr>
          <w:rFonts w:ascii="Times New Roman" w:hAnsi="Times New Roman" w:eastAsia="黑体"/>
          <w:b/>
          <w:sz w:val="28"/>
        </w:rPr>
        <w:t>三、理论教学环节及基本要求</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900"/>
        <w:gridCol w:w="600"/>
        <w:gridCol w:w="4000"/>
        <w:gridCol w:w="1254"/>
      </w:tblGrid>
      <w:tr>
        <w:trPr>
          <w:tblHeader w:val="true"/>
          <w:cantSplit/>
        </w:trPr>
        <w:tc>
          <w:tcPr>
            <w:tcW w:type="dxa" w:w="13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单元标题</w:t>
            </w:r>
          </w:p>
        </w:tc>
        <w:tc>
          <w:tcPr>
            <w:tcW w:type="dxa" w:w="1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教学内容</w:t>
            </w:r>
          </w:p>
        </w:tc>
        <w:tc>
          <w:tcPr>
            <w:tcW w:type="dxa" w:w="6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学时</w:t>
            </w:r>
          </w:p>
        </w:tc>
        <w:tc>
          <w:tcPr>
            <w:tcW w:type="dxa" w:w="40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课程要求</w:t>
            </w:r>
          </w:p>
        </w:tc>
        <w:tc>
          <w:tcPr>
            <w:tcW w:type="dxa" w:w="12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第一单元 计算机网络概论、体系结构与性能</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计算机网络组成、分类与拓扑；互联网边缘、接入网和核心网；分组交换与电路交换；协议、服务、接口与分层；OSI参考模型和TCP/IP体系；封装与解封装；带宽、吞吐量、发送时延、传播时延、排队时延、丢包和往返时延；网络标准与互联网治理概念。</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6</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思政融入点：通过我国互联网基础设施、网络标准和关键基础设施案例，理解网络技术对社会运行、工程安全和自主创新的重要性。</w:t>
              <w:br/>
              <w:t>预期学习成果：</w:t>
              <w:br/>
              <w:t>知识层面：理解计算机网络组成、分层体系结构、分组交换和关键性能指标。</w:t>
              <w:br/>
              <w:t>能力层面：能够沿协议栈分析端到端通信过程并估算基本时延和吞吐量。</w:t>
              <w:br/>
              <w:t>素养层面：形成以标准、模型和可测指标描述网络问题的工程习惯。</w:t>
              <w:br/>
              <w:t>教学方式：讲授、分层动画、时延计算、端到端数据流推演</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1.1，2.1，3.1</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第二单元 物理层、数据链路层、以太网与无线局域网</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数据通信基础；信号、带宽与传输介质概念；差错检测；数据链路成帧、透明传输与可靠传输思想；MAC地址与ARP；以太网帧、交换机学习与转发；广播域与VLAN概念；无线局域网802.11基本组成、信道共享、接入点和移动终端；链路层设备及典型故障。</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8</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思政融入点：通过MAC欺骗、错误环路和无线网络配置风险案例，强化授权访问、网络边界和规范运维意识。</w:t>
              <w:br/>
              <w:t>预期学习成果：</w:t>
              <w:br/>
              <w:t>知识层面：掌握数据链路、以太网交换和无线局域网的基本机制。</w:t>
              <w:br/>
              <w:t>能力层面：能够依据MAC、ARP、交换表和帧信息分析局域网通信与常见故障。</w:t>
              <w:br/>
              <w:t>素养层面：形成规范配置、广播域边界和无线接入安全意识。</w:t>
              <w:br/>
              <w:t>教学方式：讲授、帧结构解析、交换过程推演、抓包演示、局域网案例</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1.2，2.2，3.2</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第三单元 网络层、IPv4/IPv6、路由与网络互联</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网络层服务与数据平面/控制平面；IPv4数据报；分类地址与CIDR；子网划分与地址规划；ARP与ICMP关系；路由表、最长前缀匹配；静态路由和动态路由思想；RIP/OSPF/BGP概念；NAT；IPv6地址与基本首部；IPv4向IPv6演进；路由器转发、MTU和分片概念。</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10</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思政融入点：通过地址规划、路由错误和IPv6演进案例，培养面向长期演进、规范使用公共资源和持续学习新技术的意识。</w:t>
              <w:br/>
              <w:t>预期学习成果：</w:t>
              <w:br/>
              <w:t>知识层面：掌握IP编址、子网、路由转发、ICMP、NAT和IPv6的核心原理。</w:t>
              <w:br/>
              <w:t>能力层面：能够完成IPv4子网规划、路由表分析和基本IPv6地址识读，并定位网络层故障。</w:t>
              <w:br/>
              <w:t>素养层面：形成地址资源规划、配置可追溯和兼顾可扩展性的系统意识。</w:t>
              <w:br/>
              <w:t>教学方式：讲授、子网计算、路由表推演、Traceroute/ICMP案例、IPv6对比</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1.3，2.3，3.3</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第四单元 运输层、UDP/TCP与端到端可靠传输</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端口与进程复用/分用；UDP报文与适用场景；TCP报文段、序号与确认；三次握手与连接释放；滑动窗口；超时与重传；流量控制；拥塞控制基本思想；RTT估计；连接状态与常见异常；Socket接口概念；QUIC与现代传输协议概览。</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8</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思政融入点：通过拥塞、超时和资源竞争案例理解网络共享、公平使用和性能优化中的工程责任。</w:t>
              <w:br/>
              <w:t>预期学习成果：</w:t>
              <w:br/>
              <w:t>知识层面：掌握UDP/TCP、可靠传输、流量控制和拥塞控制的基本机制。</w:t>
              <w:br/>
              <w:t>能力层面：能够依据端口、TCP状态、序号确认和网络现象分析端到端通信问题。</w:t>
              <w:br/>
              <w:t>素养层面：形成从端到端性能、可靠性和资源公平性评价传输方案的意识。</w:t>
              <w:br/>
              <w:t>教学方式：讲授、TCP状态图、报文序列推演、抓包案例、性能分析</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1.4，2.4，3.4</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第五单元 应用层协议与网络服务</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客户端/服务器与P2P；DNS层次结构、递归/迭代查询和缓存；HTTP/HTTPS请求响应、状态码、连接复用与Web缓存；电子邮件SMTP/POP3/IMAP概念；DHCP；FTP/SFTP概念；Socket应用模型；REST/API、WebSocket、MQTT等现代应用通信概览；CDN与内容分发概念。</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8</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思政融入点：通过域名、Web服务、隐私和数据泄露案例讨论网络服务的社会责任、个人信息保护和合规使用。</w:t>
              <w:br/>
              <w:t>预期学习成果：</w:t>
              <w:br/>
              <w:t>知识层面：掌握DNS、HTTP、邮件、DHCP等典型应用协议及客户端/服务器模型。</w:t>
              <w:br/>
              <w:t>能力层面：能够从域名、端口、请求响应和服务依赖关系分析应用访问故障。</w:t>
              <w:br/>
              <w:t>素养层面：形成数据隐私、服务可用性、接口规范和合法使用网络服务的意识。</w:t>
              <w:br/>
              <w:t>教学方式：讲授、DNS/HTTP过程图、报文案例、服务故障链分析</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1.5，2.5，3.5</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第六单元 网络管理、安全、新型网络与智能制造应用</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网络管理与监测基本概念；Ping、Traceroute、ARP表、路由表、DNS查询和抓包的合规使用；网络安全目标；认证、加密、TLS、防火墙、VPN、访问控制和常见攻击概念；无线/移动网络概览；SDN、网络虚拟化、云/边缘网络和IoT概念；计算机网络与ROS、MES、工业互联网及智能装备系统的关系；网络设计、诊断与验证方法。</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8</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思政融入点：以网络安全事件、未经授权扫描和关键系统失联案例强调网络空间法治、职业规范、最小权限和工程伦理。</w:t>
              <w:br/>
              <w:t>预期学习成果：</w:t>
              <w:br/>
              <w:t>知识层面：理解网络管理、安全机制及SDN、云边缘和物联网等新型网络技术。</w:t>
              <w:br/>
              <w:t>能力层面：能够按分层顺序定位常见网络故障并形成中小型网络设计与验证方案。</w:t>
              <w:br/>
              <w:t>素养层面：形成合法授权、最小权限、可恢复、持续学习和跨专业沟通意识。</w:t>
              <w:br/>
              <w:t>教学方式：讲授、故障树、抓包演示、安全案例、网络方案评审</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1.6，2.6，3.6</w:t>
            </w:r>
          </w:p>
        </w:tc>
      </w:tr>
    </w:tbl>
    <w:p>
      <w:pPr>
        <w:keepNext/>
        <w:spacing w:line="283" w:lineRule="auto" w:before="60" w:after="20"/>
      </w:pPr>
      <w:r>
        <w:rPr>
          <w:rFonts w:ascii="Times New Roman" w:hAnsi="Times New Roman" w:eastAsia="宋体"/>
          <w:b/>
          <w:sz w:val="21"/>
        </w:rPr>
        <w:t>理论总学时：48学时。</w:t>
      </w:r>
    </w:p>
    <w:p>
      <w:pPr>
        <w:keepNext/>
        <w:spacing w:line="283" w:lineRule="auto" w:before="100" w:after="60"/>
      </w:pPr>
      <w:r>
        <w:rPr>
          <w:rFonts w:ascii="Times New Roman" w:hAnsi="Times New Roman" w:eastAsia="黑体"/>
          <w:b/>
          <w:sz w:val="28"/>
        </w:rPr>
        <w:t>四、课程评价</w:t>
      </w:r>
    </w:p>
    <w:p>
      <w:pPr>
        <w:keepNext/>
        <w:spacing w:line="283" w:lineRule="auto" w:before="80" w:after="40"/>
      </w:pPr>
      <w:r>
        <w:rPr>
          <w:rFonts w:ascii="Times New Roman" w:hAnsi="Times New Roman" w:eastAsia="宋体"/>
          <w:b/>
          <w:sz w:val="24"/>
        </w:rPr>
        <w:t>（一）考核内容、考核方式与课程目标对应关系</w:t>
      </w:r>
    </w:p>
    <w:p>
      <w:pPr>
        <w:spacing w:line="283" w:lineRule="auto" w:before="0" w:after="0"/>
        <w:ind w:firstLine="420"/>
        <w:jc w:val="left"/>
      </w:pPr>
      <w:r>
        <w:rPr>
          <w:rFonts w:ascii="Times New Roman" w:hAnsi="Times New Roman" w:cs="Times New Roman" w:eastAsia="宋体"/>
        </w:rPr>
        <w:t>本课程采用考查。总评由平时学习与课堂分析20%、课程作业（协议与报文分析）20%、期末综合考查60%构成。期末综合考查采用网络设计与故障分析综合报告和个人核验答辩，不安排期末笔试或机考。下表各考核列百分比为该项考核内部的教学内容分配，各列分别合计100%。</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45"/>
        <w:gridCol w:w="746"/>
        <w:gridCol w:w="746"/>
        <w:gridCol w:w="746"/>
        <w:gridCol w:w="959"/>
        <w:gridCol w:w="959"/>
        <w:gridCol w:w="959"/>
        <w:gridCol w:w="1435"/>
      </w:tblGrid>
      <w:tr>
        <w:trPr>
          <w:tblHeader w:val="true"/>
          <w:cantSplit/>
        </w:trPr>
        <w:tc>
          <w:tcPr>
            <w:tcW w:type="dxa" w:w="1545"/>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考核内容</w:t>
            </w:r>
          </w:p>
        </w:tc>
        <w:tc>
          <w:tcPr>
            <w:tcW w:type="dxa" w:w="746"/>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总学时</w:t>
            </w:r>
          </w:p>
        </w:tc>
        <w:tc>
          <w:tcPr>
            <w:tcW w:type="dxa" w:w="746"/>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理论学时</w:t>
            </w:r>
          </w:p>
        </w:tc>
        <w:tc>
          <w:tcPr>
            <w:tcW w:type="dxa" w:w="746"/>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上机学时</w:t>
            </w:r>
          </w:p>
        </w:tc>
        <w:tc>
          <w:tcPr>
            <w:tcW w:type="dxa" w:w="959"/>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平时学习与课堂分析（20%）</w:t>
            </w:r>
          </w:p>
        </w:tc>
        <w:tc>
          <w:tcPr>
            <w:tcW w:type="dxa" w:w="959"/>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课程作业（20%）</w:t>
            </w:r>
          </w:p>
        </w:tc>
        <w:tc>
          <w:tcPr>
            <w:tcW w:type="dxa" w:w="959"/>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期末综合考查（60%）</w:t>
            </w:r>
          </w:p>
        </w:tc>
        <w:tc>
          <w:tcPr>
            <w:tcW w:type="dxa" w:w="1435"/>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课程目标</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计算机网络概论、体系结构与性能</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6</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6</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1.1，2.1，3.1</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物理层、数据链路层、以太网与无线局域网</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1.2，2.2，3.2</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网络层、IPv4/IPv6、路由与网络互联</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1.3，2.3，3.3</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运输层、UDP/TCP与端到端可靠传输</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16%</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1.4，2.4，3.4</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应用层协议与网络服务</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1.5，2.5，3.5</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网络管理、安全、新型网络与智能制造应用</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19%</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1.6，2.6，3.6</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合计</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48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48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全部课程目标</w:t>
            </w:r>
          </w:p>
        </w:tc>
      </w:tr>
    </w:tbl>
    <w:p>
      <w:pPr>
        <w:keepNext/>
        <w:spacing w:line="283" w:lineRule="auto" w:before="80" w:after="40"/>
      </w:pPr>
      <w:r>
        <w:rPr>
          <w:rFonts w:ascii="Times New Roman" w:hAnsi="Times New Roman" w:eastAsia="宋体"/>
          <w:b/>
          <w:sz w:val="24"/>
        </w:rPr>
        <w:t>（二）考核方式与评分标准</w:t>
      </w:r>
    </w:p>
    <w:p>
      <w:pPr>
        <w:keepNext/>
        <w:spacing w:line="283" w:lineRule="auto" w:before="60" w:after="20"/>
      </w:pPr>
      <w:r>
        <w:rPr>
          <w:rFonts w:ascii="Times New Roman" w:hAnsi="Times New Roman" w:eastAsia="宋体"/>
          <w:b/>
          <w:sz w:val="21"/>
        </w:rPr>
        <w:t>1.考核方式</w:t>
      </w:r>
    </w:p>
    <w:p>
      <w:pPr>
        <w:spacing w:line="283" w:lineRule="auto" w:before="0" w:after="0"/>
        <w:ind w:firstLine="420"/>
        <w:jc w:val="left"/>
      </w:pPr>
      <w:r>
        <w:rPr>
          <w:rFonts w:ascii="Times New Roman" w:hAnsi="Times New Roman" w:cs="Times New Roman" w:eastAsia="宋体"/>
        </w:rPr>
        <w:t>考查（期末采用综合考查，不安排期末笔试或机考）。</w:t>
      </w:r>
    </w:p>
    <w:p>
      <w:pPr>
        <w:keepNext/>
        <w:spacing w:line="283" w:lineRule="auto" w:before="60" w:after="20"/>
      </w:pPr>
      <w:r>
        <w:rPr>
          <w:rFonts w:ascii="Times New Roman" w:hAnsi="Times New Roman" w:eastAsia="宋体"/>
          <w:b/>
          <w:sz w:val="21"/>
        </w:rPr>
        <w:t>2.评分说明</w:t>
      </w:r>
    </w:p>
    <w:p>
      <w:pPr>
        <w:spacing w:line="283" w:lineRule="auto" w:before="0" w:after="0"/>
        <w:ind w:firstLine="420"/>
        <w:jc w:val="left"/>
      </w:pPr>
      <w:r>
        <w:rPr>
          <w:rFonts w:ascii="Times New Roman" w:hAnsi="Times New Roman" w:cs="Times New Roman" w:eastAsia="宋体"/>
        </w:rPr>
        <w:t>各项按百分制评分。总评成绩=平时学习与课堂分析×20%＋课程作业×20%＋期末综合考查×60%。课程作业以协议与报文分析为主要载体；期末综合考查由网络设计与故障分析综合报告和个人核验答辩共同组成，其中综合报告占期末综合考查的80%，个人核验答辩占20%。培养方案未设置实验、上机和项目式学时，Wireshark抓包、网络仿真、Socket示例和路由配置仅作为课堂演示、课内分析或课程作业材料，不另计实践学时。所有网络探测、抓包和配置必须在授权环境、教师提供数据或隔离仿真环境中完成。</w:t>
      </w:r>
    </w:p>
    <w:p>
      <w:pPr>
        <w:spacing w:line="283" w:lineRule="auto" w:before="0" w:after="20"/>
        <w:ind w:firstLine="420"/>
        <w:jc w:val="left"/>
      </w:pPr>
      <w:r>
        <w:rPr>
          <w:rFonts w:ascii="Times New Roman" w:hAnsi="Times New Roman" w:eastAsia="宋体"/>
          <w:b w:val="0"/>
          <w:sz w:val="21"/>
        </w:rPr>
        <w:t>各评分指标按共用档级判定：优秀90—100分，原理正确、证据充分、方案完整且能独立解释；良好80—89分，主要内容正确、证据完整，少量非关键缺陷；中等70—79分，完成基本分析与方案，边界或论证不够充分；及格60—69分，在指导下完成基本要求，但诊断、验证或文档较弱；不及格0—59分，核心分析错误、方案不可实施、无有效证据或无法解释本人提交内容。</w:t>
      </w:r>
    </w:p>
    <w:p>
      <w:pPr>
        <w:keepNext/>
        <w:spacing w:line="283" w:lineRule="auto" w:before="60" w:after="20"/>
      </w:pPr>
      <w:r>
        <w:rPr>
          <w:rFonts w:ascii="Times New Roman" w:hAnsi="Times New Roman" w:eastAsia="宋体"/>
          <w:b/>
          <w:sz w:val="21"/>
        </w:rPr>
        <w:t>3.评分标准分项说明</w:t>
      </w:r>
    </w:p>
    <w:p>
      <w:pPr>
        <w:keepNext/>
        <w:spacing w:line="283" w:lineRule="auto" w:before="60" w:after="20"/>
      </w:pPr>
      <w:r>
        <w:rPr>
          <w:rFonts w:ascii="Times New Roman" w:hAnsi="Times New Roman" w:eastAsia="宋体"/>
          <w:b/>
          <w:sz w:val="21"/>
        </w:rPr>
        <w:t>（1）平时学习与课堂分析评分标准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评分指标</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指标权重</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课堂参与与网络原理分析</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能够准确使用网络术语，参与分层、协议、地址、性能和故障分析，并说明判断依据。</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过程记录与资料规范</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35%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课堂记录、协议图、地址规划、抓包截图或资料来源完整，参数、单位和引用可追溯。</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安全、协作与学习责任</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遵守网络访问和数据安全边界，主动说明不确定项，能够查阅教材、标准或官方资料。</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合计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r>
          </w:p>
        </w:tc>
      </w:tr>
    </w:tbl>
    <w:p>
      <w:pPr>
        <w:keepNext/>
        <w:spacing w:line="283" w:lineRule="auto" w:before="0" w:after="0"/>
      </w:pPr>
      <w:r>
        <w:rPr>
          <w:rFonts w:ascii="Times New Roman" w:hAnsi="Times New Roman" w:cs="Times New Roman" w:eastAsia="宋体"/>
        </w:rPr>
        <w:t>（2）课程作业评分标准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6"/>
              </w:rPr>
              <w:t>考核内容</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体系结构与性能分析</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分析分层、封装、交换方式、时延与吞吐量问题。</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1.1，2.1，3.1</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以太网、ARP与局域网</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依据MAC、ARP、交换和WLAN机制解释帧传递与典型故障。</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1.2，2.2，3.2</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IP编址与路由</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完成子网划分、路由表、ICMP/NAT或IPv6分析。</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1.3，2.3，3.3</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TCP/UDP与可靠传输</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依据端口、连接状态、序号确认、重传和拥塞机制分析通信。</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1.4，2.4，3.4</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应用协议与服务链</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分析DNS、HTTP、DHCP等服务的请求响应与故障依赖。</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1.5，2.5，3.5</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管理、安全与新型网络</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按分层思路定位网络问题，并说明安全边界和新技术适用性。</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1.6，2.6，3.6</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合计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r>
          </w:p>
        </w:tc>
      </w:tr>
    </w:tbl>
    <w:p>
      <w:pPr>
        <w:keepNext/>
        <w:spacing w:line="283" w:lineRule="auto" w:before="0" w:after="0"/>
      </w:pPr>
      <w:r>
        <w:rPr>
          <w:rFonts w:ascii="Times New Roman" w:hAnsi="Times New Roman" w:cs="Times New Roman" w:eastAsia="宋体"/>
        </w:rPr>
        <w:t>（3）期末综合考查评分标准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6"/>
              </w:rPr>
              <w:t>考核内容</w:t>
            </w:r>
          </w:p>
        </w:tc>
        <w:tc>
          <w:tcPr>
            <w:tcW w:type="dxa" w:w="900"/>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6"/>
              </w:rPr>
              <w:t>成绩占比</w:t>
            </w:r>
          </w:p>
        </w:tc>
        <w:tc>
          <w:tcPr>
            <w:tcW w:type="dxa" w:w="5100"/>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6"/>
              </w:rPr>
              <w:t>评分要求</w:t>
            </w:r>
          </w:p>
        </w:tc>
        <w:tc>
          <w:tcPr>
            <w:tcW w:type="dxa" w:w="135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6"/>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网络需求、拓扑与性能指标</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明确用户/设备、通信关系、规模、带宽、时延、可用性和安全需求，形成结构清楚的网络拓扑。</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1.1，2.1，3.1</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局域网、IP地址与路由设计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交换、VLAN/WLAN、IPv4/IPv6地址、子网、网关、路由和必要的NAT设计正确，能够说明广播域、可达性和扩展性。</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1.2，1.3，2.2，2.3，3.2，3.3</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运输层与应用服务设计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能依据应用特点说明TCP/UDP选择，正确描述DNS、Web、DHCP等服务依赖、端口和访问路径。</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1.4，1.5，2.4，2.5，3.4，3.5</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故障分析、网络管理、安全与验收</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能按分层顺序定位故障，提出监测、访问控制、备份恢复和验证方法，并说明工具使用和安全边界。</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1.6，2.6，3.6</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综合报告证据与技术文档</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报告中的拓扑、地址表、协议分析、抓包或仿真证据、测试过程和引用完整，结论可复核。</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2.1—2.6，3.1—3.6</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个人核验、答辩与方案修改</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能独立解释报告中的分层、协议、地址、路由和服务关系；针对给定故障或需求变化完成方案修改，并说明验证步骤、风险和个人贡献。</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1.1—1.6，2.1—2.6，3.1—3.6</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合计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r>
          </w:p>
        </w:tc>
      </w:tr>
    </w:tbl>
    <w:p>
      <w:pPr>
        <w:keepNext/>
        <w:spacing w:line="283" w:lineRule="auto" w:before="100" w:after="60"/>
      </w:pPr>
      <w:r>
        <w:rPr>
          <w:rFonts w:ascii="Times New Roman" w:hAnsi="Times New Roman" w:eastAsia="黑体"/>
          <w:b/>
          <w:sz w:val="28"/>
        </w:rPr>
        <w:t>五、参考书目及学习资料</w:t>
      </w:r>
    </w:p>
    <w:p>
      <w:pPr>
        <w:keepNext/>
        <w:spacing w:line="283" w:lineRule="auto" w:before="80" w:after="40"/>
      </w:pPr>
      <w:r>
        <w:rPr>
          <w:rFonts w:ascii="Times New Roman" w:hAnsi="Times New Roman" w:eastAsia="宋体"/>
          <w:b/>
          <w:sz w:val="24"/>
        </w:rPr>
        <w:t>（一）选用教材</w:t>
      </w:r>
    </w:p>
    <w:p>
      <w:pPr>
        <w:spacing w:line="264" w:lineRule="auto" w:before="0" w:after="0"/>
        <w:ind w:firstLine="420"/>
        <w:jc w:val="left"/>
      </w:pPr>
      <w:r>
        <w:rPr>
          <w:rFonts w:ascii="Times New Roman" w:hAnsi="Times New Roman" w:cs="Times New Roman" w:eastAsia="宋体"/>
          <w:b w:val="0"/>
          <w:sz w:val="20"/>
        </w:rPr>
        <w:t>胡亮, 徐高潮, 张宗升, 霍严梅, 车喜龙. 计算机网络[M]. 北京：高等教育出版社，2024. ISBN 9787040612875</w:t>
      </w:r>
    </w:p>
    <w:p>
      <w:pPr>
        <w:keepNext/>
        <w:spacing w:line="283" w:lineRule="auto" w:before="80" w:after="40"/>
      </w:pPr>
      <w:r>
        <w:rPr>
          <w:rFonts w:ascii="Times New Roman" w:hAnsi="Times New Roman" w:eastAsia="宋体"/>
          <w:b/>
          <w:sz w:val="24"/>
        </w:rPr>
        <w:t>（二）学习资料</w:t>
      </w:r>
    </w:p>
    <w:p>
      <w:pPr>
        <w:spacing w:line="252" w:lineRule="auto" w:before="0" w:after="0"/>
        <w:jc w:val="left"/>
      </w:pPr>
      <w:r>
        <w:rPr>
          <w:rFonts w:ascii="Times New Roman" w:hAnsi="Times New Roman" w:cs="Times New Roman" w:eastAsia="宋体"/>
          <w:b w:val="0"/>
          <w:sz w:val="19"/>
        </w:rPr>
        <w:t>[1] 袁华, 王昊翔, 黄敏. 深入理解计算机网络[M]. 北京：清华大学出版社，2024. ISBN 9787302662709</w:t>
      </w:r>
    </w:p>
    <w:p>
      <w:pPr>
        <w:spacing w:line="252" w:lineRule="auto" w:before="0" w:after="0"/>
        <w:jc w:val="left"/>
      </w:pPr>
      <w:r>
        <w:rPr>
          <w:rFonts w:ascii="Times New Roman" w:hAnsi="Times New Roman" w:cs="Times New Roman" w:eastAsia="宋体"/>
          <w:b w:val="0"/>
          <w:sz w:val="19"/>
        </w:rPr>
        <w:t>[2] 冯博琴, 陈妍. 计算机网络（第4版）[M]. 北京：高等教育出版社，2023. ISBN 9787040599909</w:t>
      </w:r>
    </w:p>
    <w:p>
      <w:pPr>
        <w:spacing w:line="252" w:lineRule="auto" w:before="0" w:after="0"/>
        <w:jc w:val="left"/>
      </w:pPr>
      <w:r>
        <w:rPr>
          <w:rFonts w:ascii="Times New Roman" w:hAnsi="Times New Roman" w:cs="Times New Roman" w:eastAsia="宋体"/>
          <w:b w:val="0"/>
          <w:sz w:val="19"/>
        </w:rPr>
        <w:t>[3] 杨玺, 王艳. 计算机网络实践教程[M]. 北京：清华大学出版社，2025. ISBN 9787302694236</w:t>
      </w:r>
    </w:p>
    <w:p>
      <w:pPr>
        <w:spacing w:line="252" w:lineRule="auto" w:before="0" w:after="0"/>
        <w:jc w:val="left"/>
      </w:pPr>
      <w:r>
        <w:rPr>
          <w:rFonts w:ascii="Times New Roman" w:hAnsi="Times New Roman" w:cs="Times New Roman" w:eastAsia="宋体"/>
          <w:b w:val="0"/>
          <w:sz w:val="19"/>
        </w:rPr>
        <w:t>[4] 李成友, 于承敏, 亓民勇, 李元振, 李季. 计算机网络[M]. 北京：清华大学出版社，2025. ISBN 9787302696865</w:t>
      </w:r>
    </w:p>
    <w:p>
      <w:pPr>
        <w:spacing w:line="283" w:lineRule="auto" w:before="0" w:after="20"/>
        <w:ind w:firstLine="420"/>
        <w:jc w:val="left"/>
      </w:pPr>
      <w:r>
        <w:rPr>
          <w:rFonts w:ascii="Times New Roman" w:hAnsi="Times New Roman" w:eastAsia="宋体"/>
          <w:b w:val="0"/>
          <w:sz w:val="21"/>
        </w:rPr>
        <w:t>制定人：________________　审定人：________________　批准人：________________</w:t>
      </w:r>
    </w:p>
    <w:p>
      <w:pPr>
        <w:spacing w:line="283" w:lineRule="auto" w:before="0" w:after="20"/>
        <w:ind w:firstLine="420"/>
        <w:jc w:val="left"/>
      </w:pPr>
      <w:r>
        <w:rPr>
          <w:rFonts w:ascii="Times New Roman" w:hAnsi="Times New Roman" w:eastAsia="宋体"/>
          <w:b w:val="0"/>
          <w:sz w:val="21"/>
        </w:rPr>
        <w:t>日期：________________</w:t>
      </w:r>
    </w:p>
    <w:sectPr w:rsidR="00FC693F" w:rsidRPr="0006063C" w:rsidSect="00034616">
      <w:footerReference w:type="default" r:id="rId9"/>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计算机网络（B）课程教学大纲（三项考核版）</dc:title>
  <dc:subject/>
  <dc:creator/>
  <cp:keywords/>
  <dc:description/>
  <cp:lastModifiedBy/>
  <cp:revision>1</cp:revision>
  <dcterms:created xsi:type="dcterms:W3CDTF">2013-12-23T23:15:00Z</dcterms:created>
  <dcterms:modified xsi:type="dcterms:W3CDTF">2013-12-23T23:15:00Z</dcterms:modified>
  <cp:category/>
</cp:coreProperties>
</file>