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160" w:line="276" w:lineRule="auto"/>
        <w:jc w:val="center"/>
      </w:pPr>
      <w:r>
        <w:rPr>
          <w:rFonts w:ascii="Times New Roman" w:hAnsi="Times New Roman" w:eastAsia="黑体" w:cs="Times New Roman"/>
          <w:b/>
          <w:sz w:val="32"/>
        </w:rPr>
        <w:t>《机器人技术与应用（A）》课程教学大纲</w:t>
      </w:r>
    </w:p>
    <w:p>
      <w:pPr>
        <w:keepNext/>
        <w:spacing w:before="140" w:after="60" w:line="276" w:lineRule="auto"/>
      </w:pPr>
      <w:r>
        <w:rPr>
          <w:rFonts w:ascii="Times New Roman" w:hAnsi="Times New Roman" w:eastAsia="黑体" w:cs="Times New Roman"/>
          <w:b/>
          <w:sz w:val="28"/>
        </w:rPr>
        <w:t>一、课程基本信息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931"/>
        <w:gridCol w:w="1634"/>
        <w:gridCol w:w="1215"/>
        <w:gridCol w:w="1104"/>
        <w:gridCol w:w="477"/>
        <w:gridCol w:w="627"/>
        <w:gridCol w:w="1033"/>
        <w:gridCol w:w="1033"/>
      </w:tblGrid>
      <w:tr>
        <w:tc>
          <w:tcPr>
            <w:tcW w:type="dxa" w:w="1931"/>
            <w:vAlign w:val="center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课程名称（中英文）</w:t>
            </w:r>
          </w:p>
        </w:tc>
        <w:tc>
          <w:tcPr>
            <w:tcW w:type="dxa" w:w="7123"/>
            <w:vAlign w:val="center"/>
            <w:gridSpan w:val="7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机器人技术与应用（A）  Robotics Technology and Applications (A)</w:t>
            </w:r>
          </w:p>
        </w:tc>
      </w:tr>
      <w:tr>
        <w:tc>
          <w:tcPr>
            <w:tcW w:type="dxa" w:w="1931"/>
            <w:vAlign w:val="center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课程代码</w:t>
            </w:r>
          </w:p>
        </w:tc>
        <w:tc>
          <w:tcPr>
            <w:tcW w:type="dxa" w:w="2849"/>
            <w:vAlign w:val="center"/>
            <w:gridSpan w:val="2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25JD31403</w:t>
            </w:r>
          </w:p>
        </w:tc>
        <w:tc>
          <w:tcPr>
            <w:tcW w:type="dxa" w:w="1581"/>
            <w:vAlign w:val="center"/>
            <w:gridSpan w:val="2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课程类别</w:t>
            </w:r>
          </w:p>
        </w:tc>
        <w:tc>
          <w:tcPr>
            <w:tcW w:type="dxa" w:w="2693"/>
            <w:vAlign w:val="center"/>
            <w:gridSpan w:val="3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专业类</w:t>
            </w:r>
          </w:p>
        </w:tc>
      </w:tr>
      <w:tr>
        <w:tc>
          <w:tcPr>
            <w:tcW w:type="dxa" w:w="1931"/>
            <w:vAlign w:val="center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课程性质</w:t>
            </w:r>
          </w:p>
        </w:tc>
        <w:tc>
          <w:tcPr>
            <w:tcW w:type="dxa" w:w="2849"/>
            <w:vAlign w:val="center"/>
            <w:gridSpan w:val="2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必修课</w:t>
            </w:r>
          </w:p>
        </w:tc>
        <w:tc>
          <w:tcPr>
            <w:tcW w:type="dxa" w:w="1581"/>
            <w:vAlign w:val="center"/>
            <w:gridSpan w:val="2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授课语言</w:t>
            </w:r>
          </w:p>
        </w:tc>
        <w:tc>
          <w:tcPr>
            <w:tcW w:type="dxa" w:w="2693"/>
            <w:vAlign w:val="center"/>
            <w:gridSpan w:val="3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中文</w:t>
            </w:r>
          </w:p>
        </w:tc>
      </w:tr>
      <w:tr>
        <w:tc>
          <w:tcPr>
            <w:tcW w:type="dxa" w:w="1931"/>
            <w:vAlign w:val="center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授课学期</w:t>
            </w:r>
          </w:p>
        </w:tc>
        <w:tc>
          <w:tcPr>
            <w:tcW w:type="dxa" w:w="2849"/>
            <w:vAlign w:val="center"/>
            <w:gridSpan w:val="2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第5学期</w:t>
            </w:r>
          </w:p>
        </w:tc>
        <w:tc>
          <w:tcPr>
            <w:tcW w:type="dxa" w:w="1581"/>
            <w:vAlign w:val="center"/>
            <w:gridSpan w:val="2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学分</w:t>
            </w:r>
          </w:p>
        </w:tc>
        <w:tc>
          <w:tcPr>
            <w:tcW w:type="dxa" w:w="2693"/>
            <w:vAlign w:val="center"/>
            <w:gridSpan w:val="3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3.5</w:t>
            </w:r>
          </w:p>
        </w:tc>
      </w:tr>
      <w:tr>
        <w:tc>
          <w:tcPr>
            <w:tcW w:type="dxa" w:w="1931"/>
            <w:vAlign w:val="center"/>
            <w:vMerge w:val="restart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课程学时及分配</w:t>
            </w:r>
          </w:p>
        </w:tc>
        <w:tc>
          <w:tcPr>
            <w:tcW w:type="dxa" w:w="1634"/>
            <w:vAlign w:val="center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总学时</w:t>
            </w:r>
          </w:p>
        </w:tc>
        <w:tc>
          <w:tcPr>
            <w:tcW w:type="dxa" w:w="1215"/>
            <w:vAlign w:val="center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理论</w:t>
            </w:r>
          </w:p>
        </w:tc>
        <w:tc>
          <w:tcPr>
            <w:tcW w:type="dxa" w:w="1104"/>
            <w:vAlign w:val="center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实践</w:t>
            </w:r>
          </w:p>
        </w:tc>
        <w:tc>
          <w:tcPr>
            <w:tcW w:type="dxa" w:w="1104"/>
            <w:vAlign w:val="center"/>
            <w:gridSpan w:val="2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实验</w:t>
            </w:r>
          </w:p>
        </w:tc>
        <w:tc>
          <w:tcPr>
            <w:tcW w:type="dxa" w:w="1033"/>
            <w:vAlign w:val="center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上机</w:t>
            </w:r>
          </w:p>
        </w:tc>
        <w:tc>
          <w:tcPr>
            <w:tcW w:type="dxa" w:w="1033"/>
            <w:vAlign w:val="center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项目式</w:t>
            </w:r>
          </w:p>
        </w:tc>
      </w:tr>
      <w:tr>
        <w:tc>
          <w:tcPr>
            <w:tcW w:type="dxa" w:w="1931"/>
            <w:vAlign w:val="center"/>
            <w:vMerge/>
            <w:tcMar>
              <w:top w:w="70" w:type="dxa"/>
              <w:bottom w:w="70" w:type="dxa"/>
              <w:start w:w="70" w:type="dxa"/>
              <w:end w:w="70" w:type="dxa"/>
            </w:tcMar>
          </w:tcPr>
          <w:p/>
        </w:tc>
        <w:tc>
          <w:tcPr>
            <w:tcW w:type="dxa" w:w="1634"/>
            <w:vAlign w:val="center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56</w:t>
            </w:r>
          </w:p>
        </w:tc>
        <w:tc>
          <w:tcPr>
            <w:tcW w:type="dxa" w:w="1215"/>
            <w:vAlign w:val="center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24</w:t>
            </w:r>
          </w:p>
        </w:tc>
        <w:tc>
          <w:tcPr>
            <w:tcW w:type="dxa" w:w="1104"/>
            <w:vAlign w:val="center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1104"/>
            <w:vAlign w:val="center"/>
            <w:gridSpan w:val="2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8</w:t>
            </w:r>
          </w:p>
        </w:tc>
        <w:tc>
          <w:tcPr>
            <w:tcW w:type="dxa" w:w="1033"/>
            <w:vAlign w:val="center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16</w:t>
            </w:r>
          </w:p>
        </w:tc>
        <w:tc>
          <w:tcPr>
            <w:tcW w:type="dxa" w:w="1033"/>
            <w:vAlign w:val="center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8</w:t>
            </w:r>
          </w:p>
        </w:tc>
      </w:tr>
      <w:tr>
        <w:tc>
          <w:tcPr>
            <w:tcW w:type="dxa" w:w="1931"/>
            <w:vAlign w:val="center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适用专业</w:t>
            </w:r>
          </w:p>
        </w:tc>
        <w:tc>
          <w:tcPr>
            <w:tcW w:type="dxa" w:w="7123"/>
            <w:vAlign w:val="center"/>
            <w:gridSpan w:val="7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智能制造工程</w:t>
            </w:r>
          </w:p>
        </w:tc>
      </w:tr>
      <w:tr>
        <w:tc>
          <w:tcPr>
            <w:tcW w:type="dxa" w:w="1931"/>
            <w:vAlign w:val="center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授课学院</w:t>
            </w:r>
          </w:p>
        </w:tc>
        <w:tc>
          <w:tcPr>
            <w:tcW w:type="dxa" w:w="7123"/>
            <w:vAlign w:val="center"/>
            <w:gridSpan w:val="7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机械与动力工程学院</w:t>
            </w:r>
          </w:p>
        </w:tc>
      </w:tr>
      <w:tr>
        <w:tc>
          <w:tcPr>
            <w:tcW w:type="dxa" w:w="1931"/>
            <w:vAlign w:val="center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先修课程</w:t>
            </w:r>
          </w:p>
        </w:tc>
        <w:tc>
          <w:tcPr>
            <w:tcW w:type="dxa" w:w="7123"/>
            <w:vAlign w:val="center"/>
            <w:gridSpan w:val="7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线性代数（A）、工程力学（A）、机械设计基础、微机原理及接口技术、工程建模与科学计算可视化基础（Python）</w:t>
            </w:r>
          </w:p>
        </w:tc>
      </w:tr>
      <w:tr>
        <w:tc>
          <w:tcPr>
            <w:tcW w:type="dxa" w:w="1931"/>
            <w:vAlign w:val="center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后续课程</w:t>
            </w:r>
          </w:p>
        </w:tc>
        <w:tc>
          <w:tcPr>
            <w:tcW w:type="dxa" w:w="7123"/>
            <w:vAlign w:val="center"/>
            <w:gridSpan w:val="7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机械控制工程、人工智能技术与应用、先进装备系统设计与开发（ROS）、毕业设计（论文）</w:t>
            </w:r>
          </w:p>
        </w:tc>
      </w:tr>
      <w:tr>
        <w:tc>
          <w:tcPr>
            <w:tcW w:type="dxa" w:w="1931"/>
            <w:vAlign w:val="center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课程简介</w:t>
            </w:r>
          </w:p>
        </w:tc>
        <w:tc>
          <w:tcPr>
            <w:tcW w:type="dxa" w:w="7123"/>
            <w:vAlign w:val="center"/>
            <w:gridSpan w:val="7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after="20" w:line="259" w:lineRule="auto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课程基本定位</w:t>
              <w:br/>
            </w:r>
            <w:r>
              <w:rPr>
                <w:rFonts w:ascii="Times New Roman" w:hAnsi="Times New Roman" w:eastAsia="宋体" w:cs="Times New Roman"/>
                <w:b w:val="0"/>
                <w:sz w:val="17"/>
              </w:rPr>
              <w:t>本课程是智能制造工程专业核心必修课，承接线性代数、工程力学、机械设计、微机接口与Python科学计算基础，面向机器人系统的建模、分析、仿真与应用。课程保留已稳定实施的机器人分类、串联机器人运动学和动力学基础，但不再从Python语法起步，而是直接使用NumPy、SciPy、Matplotlib、SpatialMath和Robotics Toolbox for Python等工具，将位姿表示、运动学、雅可比、轨迹规划和动力学模型转化为可运行、可视化、可验证的程序。课程同时扩展轮式移动机器人、足式与轮足式机器人等构型，形成“空间数学—串联机械臂—动力学与控制—移动机器人—足式/轮足机器人—系统应用”的连续主线。</w:t>
            </w:r>
          </w:p>
          <w:p>
            <w:pPr>
              <w:spacing w:after="20" w:line="259" w:lineRule="auto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核心学习结果</w:t>
              <w:br/>
            </w:r>
            <w:r>
              <w:rPr>
                <w:rFonts w:ascii="Times New Roman" w:hAnsi="Times New Roman" w:eastAsia="宋体" w:cs="Times New Roman"/>
                <w:b w:val="0"/>
                <w:sz w:val="17"/>
              </w:rPr>
              <w:t>通过本课程学习，学生能够解释工业机器人、协作机器人、轮式移动机器人、足式及轮足式机器人的构型、驱动、感知和应用特点；能够建立二维/三维刚体位姿和串联机器人D-H或等价运动学模型，完成正运动学、逆运动学、雅可比、工作空间和奇异性分析；能够理解机器人动力学方程中惯性、科氏/离心、重力和驱动力矩的物理意义，完成轨迹与关节控制基础仿真；能够建立差速、自行车或全向轮式移动机器人的运动学模型，完成里程计、路径规划或轨迹跟踪实验；能够从支撑多边形、质心、接触和运动模式角度比较足式与轮足式机器人；能够以Python代码、模型、实验数据、图表和测试记录说明机器人系统行为及其适用边界。</w:t>
            </w:r>
          </w:p>
          <w:p>
            <w:pPr>
              <w:spacing w:after="20" w:line="259" w:lineRule="auto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主要教学方法</w:t>
              <w:br/>
            </w:r>
            <w:r>
              <w:rPr>
                <w:rFonts w:ascii="Times New Roman" w:hAnsi="Times New Roman" w:eastAsia="宋体" w:cs="Times New Roman"/>
                <w:b w:val="0"/>
                <w:sz w:val="17"/>
              </w:rPr>
              <w:t>课程采用“原理短讲—公式/模型推导—Python实现—仿真可视化—实验验证—工程复盘”的理实融合方法。上机部分以Visual Studio Code（VS Code）和Python为主要环境，使用NumPy/SciPy/Matplotlib、SpatialMath和Robotics Toolbox for Python；可按设备条件使用Swift、PyBullet、Webots或等价仿真环境，但不绑定单一平台。实验部分优先使用现有桌面机械臂、移动机器人或轮足/四足平台，无相应硬件时使用可复现实验数据或等价数字模型。ROS的节点、通信和系统工程内容留给后续《先进装备系统设计与开发（ROS）》课程，本课程重点建立机器人学模型、算法和验证能力。</w:t>
            </w:r>
          </w:p>
        </w:tc>
      </w:tr>
      <w:tr>
        <w:tc>
          <w:tcPr>
            <w:tcW w:type="dxa" w:w="1931"/>
            <w:vAlign w:val="center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大纲更新时间</w:t>
            </w:r>
          </w:p>
        </w:tc>
        <w:tc>
          <w:tcPr>
            <w:tcW w:type="dxa" w:w="7123"/>
            <w:vAlign w:val="center"/>
            <w:gridSpan w:val="7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2026年9月</w:t>
            </w:r>
          </w:p>
        </w:tc>
      </w:tr>
    </w:tbl>
    <w:p>
      <w:pPr>
        <w:keepNext w:val="0"/>
        <w:spacing w:before="0" w:after="0" w:line="276" w:lineRule="auto"/>
      </w:pPr>
    </w:p>
    <w:p>
      <w:pPr>
        <w:keepNext/>
        <w:spacing w:before="140" w:after="60" w:line="276" w:lineRule="auto"/>
      </w:pPr>
      <w:r>
        <w:rPr>
          <w:rFonts w:ascii="Times New Roman" w:hAnsi="Times New Roman" w:eastAsia="黑体" w:cs="Times New Roman"/>
          <w:b/>
          <w:sz w:val="28"/>
        </w:rPr>
        <w:t>二、课程目标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080"/>
        <w:gridCol w:w="4590"/>
        <w:gridCol w:w="3620"/>
      </w:tblGrid>
      <w:tr>
        <w:trPr>
          <w:tblHeader w:val="true"/>
        </w:trPr>
        <w:tc>
          <w:tcPr>
            <w:tcW w:type="dxa" w:w="1080"/>
            <w:vAlign w:val="center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课程总目标</w:t>
            </w:r>
          </w:p>
        </w:tc>
        <w:tc>
          <w:tcPr>
            <w:tcW w:type="dxa" w:w="4590"/>
            <w:vAlign w:val="center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课程子目标（参考学校定位、培养目标、毕业要求）</w:t>
            </w:r>
          </w:p>
        </w:tc>
        <w:tc>
          <w:tcPr>
            <w:tcW w:type="dxa" w:w="3620"/>
            <w:vAlign w:val="center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达成方法</w:t>
            </w:r>
          </w:p>
        </w:tc>
      </w:tr>
      <w:tr>
        <w:trPr>
          <w:cantSplit/>
        </w:trPr>
        <w:tc>
          <w:tcPr>
            <w:tcW w:type="dxa" w:w="1080"/>
            <w:vMerge w:val="restart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1.知识</w:t>
            </w:r>
          </w:p>
        </w:tc>
        <w:tc>
          <w:tcPr>
            <w:tcW w:type="dxa" w:w="459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1.1 理解机器人的定义、组成、分类、性能指标与应用，掌握刚体位置、姿态、齐次变换、SO(2)/SE(2)、SO(3)/SE(3)、欧拉角、轴角和四元数等机器人空间数学基础。</w:t>
            </w:r>
          </w:p>
        </w:tc>
        <w:tc>
          <w:tcPr>
            <w:tcW w:type="dxa" w:w="362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通过工业机械臂、协作机器人、轮式、足式和轮足式机器人案例建立构型谱系；使用坐标系链、位姿变换和Python可视化说明不同表示的联系与奇异问题。</w:t>
            </w:r>
          </w:p>
        </w:tc>
      </w:tr>
      <w:tr>
        <w:trPr>
          <w:cantSplit/>
        </w:trPr>
        <w:tc>
          <w:tcPr>
            <w:tcW w:type="dxa" w:w="1080"/>
            <w:vMerge/>
            <w:vAlign w:val="center"/>
          </w:tcPr>
          <w:p/>
        </w:tc>
        <w:tc>
          <w:tcPr>
            <w:tcW w:type="dxa" w:w="459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1.2 掌握串联机器人连杆与关节建模、D-H参数或等价指数积表示、正运动学与逆运动学，理解多解、无解、关节限位、工作空间和构型选择。</w:t>
            </w:r>
          </w:p>
        </w:tc>
        <w:tc>
          <w:tcPr>
            <w:tcW w:type="dxa" w:w="362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结合2R/3R平面机械臂、SCARA与六轴机器人进行逐级建模，采用解析推导、数值求解和Python模型相互校验。</w:t>
            </w:r>
          </w:p>
        </w:tc>
      </w:tr>
      <w:tr>
        <w:trPr>
          <w:cantSplit/>
        </w:trPr>
        <w:tc>
          <w:tcPr>
            <w:tcW w:type="dxa" w:w="1080"/>
            <w:vMerge/>
            <w:vAlign w:val="center"/>
          </w:tcPr>
          <w:p/>
        </w:tc>
        <w:tc>
          <w:tcPr>
            <w:tcW w:type="dxa" w:w="459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1.3 掌握机器人微分运动学、雅可比矩阵、速度映射、静力映射、奇异性、关节/笛卡儿空间轨迹规划；理解拉格朗日法和牛顿—欧拉法的基本思想及机器人动力学标准形式。</w:t>
            </w:r>
          </w:p>
        </w:tc>
        <w:tc>
          <w:tcPr>
            <w:tcW w:type="dxa" w:w="362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通过雅可比数值验证、奇异位形、轨迹对比和简化动力学模型，联系速度、力、惯性、科氏/离心、重力和驱动力矩的物理意义。</w:t>
            </w:r>
          </w:p>
        </w:tc>
      </w:tr>
      <w:tr>
        <w:trPr>
          <w:cantSplit/>
        </w:trPr>
        <w:tc>
          <w:tcPr>
            <w:tcW w:type="dxa" w:w="1080"/>
            <w:vMerge/>
            <w:vAlign w:val="center"/>
          </w:tcPr>
          <w:p/>
        </w:tc>
        <w:tc>
          <w:tcPr>
            <w:tcW w:type="dxa" w:w="459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1.4 掌握差速、独轮/自行车和全向轮式移动机器人的运动学模型、非完整约束、里程计、定位、路径规划和轨迹跟踪基础，理解AGV、AMR与移动操作机器人的应用差异。</w:t>
            </w:r>
          </w:p>
        </w:tc>
        <w:tc>
          <w:tcPr>
            <w:tcW w:type="dxa" w:w="362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以双轮小车和智能物流任务为案例，从状态更新、传感误差、地图路径和闭环跟踪组织知识，使用Python进行模型与算法验证。</w:t>
            </w:r>
          </w:p>
        </w:tc>
      </w:tr>
      <w:tr>
        <w:trPr>
          <w:cantSplit/>
        </w:trPr>
        <w:tc>
          <w:tcPr>
            <w:tcW w:type="dxa" w:w="1080"/>
            <w:vMerge/>
            <w:vAlign w:val="center"/>
          </w:tcPr>
          <w:p/>
        </w:tc>
        <w:tc>
          <w:tcPr>
            <w:tcW w:type="dxa" w:w="459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1.5 了解足式、四足、人形和轮足式机器人的机构、支撑与接触、步态、质心/支撑多边形、静态与动态稳定、轮腿模式切换及典型驱动控制思路。</w:t>
            </w:r>
          </w:p>
        </w:tc>
        <w:tc>
          <w:tcPr>
            <w:tcW w:type="dxa" w:w="362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通过四足、人形和轮足平台的机构与运动视频、简化模型和仿真数据，比较“轮式效率—足式越障—轮足融合”的设计权衡。</w:t>
            </w:r>
          </w:p>
        </w:tc>
      </w:tr>
      <w:tr>
        <w:trPr>
          <w:cantSplit/>
        </w:trPr>
        <w:tc>
          <w:tcPr>
            <w:tcW w:type="dxa" w:w="1080"/>
            <w:vMerge/>
            <w:vAlign w:val="center"/>
          </w:tcPr>
          <w:p/>
        </w:tc>
        <w:tc>
          <w:tcPr>
            <w:tcW w:type="dxa" w:w="459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1.6 理解机器人传感、执行、规划、控制、安全与系统集成的基本关系，掌握模型误差、数值误差、实验误差、碰撞/限位和人机协作风险的基本分析方法。</w:t>
            </w:r>
          </w:p>
        </w:tc>
        <w:tc>
          <w:tcPr>
            <w:tcW w:type="dxa" w:w="362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在综合项目中构建“任务—模型—规划—控制—传感—验证—安全”的证据链，使用测试用例、日志和图表分析算法与平台边界。</w:t>
            </w:r>
          </w:p>
        </w:tc>
      </w:tr>
      <w:tr>
        <w:trPr>
          <w:cantSplit/>
        </w:trPr>
        <w:tc>
          <w:tcPr>
            <w:tcW w:type="dxa" w:w="1080"/>
            <w:vMerge w:val="restart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2.能力</w:t>
            </w:r>
          </w:p>
        </w:tc>
        <w:tc>
          <w:tcPr>
            <w:tcW w:type="dxa" w:w="459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2.1 能够使用Python表示和组合二维/三维位姿，完成坐标变换、姿态插值和机器人构型可视化，并检查单位、坐标系方向和数值一致性。</w:t>
            </w:r>
          </w:p>
        </w:tc>
        <w:tc>
          <w:tcPr>
            <w:tcW w:type="dxa" w:w="362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安排SpatialMath/NumPy位姿运算与可视化任务，要求解析计算、库函数结果和几何直观三方互证。</w:t>
            </w:r>
          </w:p>
        </w:tc>
      </w:tr>
      <w:tr>
        <w:trPr>
          <w:cantSplit/>
        </w:trPr>
        <w:tc>
          <w:tcPr>
            <w:tcW w:type="dxa" w:w="1080"/>
            <w:vMerge/>
            <w:vAlign w:val="center"/>
          </w:tcPr>
          <w:p/>
        </w:tc>
        <w:tc>
          <w:tcPr>
            <w:tcW w:type="dxa" w:w="459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2.2 能够为典型串联机械臂建立D-H或等价模型，求解正/逆运动学，绘制工作空间，分析关节限位、冗余、多解与奇异位形。</w:t>
            </w:r>
          </w:p>
        </w:tc>
        <w:tc>
          <w:tcPr>
            <w:tcW w:type="dxa" w:w="362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采用“手算小模型—Python通用函数—工具箱标准模型—误差测试”四步法，完成机械臂运动学综合任务。</w:t>
            </w:r>
          </w:p>
        </w:tc>
      </w:tr>
      <w:tr>
        <w:trPr>
          <w:cantSplit/>
        </w:trPr>
        <w:tc>
          <w:tcPr>
            <w:tcW w:type="dxa" w:w="1080"/>
            <w:vMerge/>
            <w:vAlign w:val="center"/>
          </w:tcPr>
          <w:p/>
        </w:tc>
        <w:tc>
          <w:tcPr>
            <w:tcW w:type="dxa" w:w="459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2.3 能够计算或调用雅可比矩阵，完成速度/力映射和轨迹规划；能够建立或调用简化动力学模型，分析关节力矩、轨迹连续性和基础反馈控制效果。</w:t>
            </w:r>
          </w:p>
        </w:tc>
        <w:tc>
          <w:tcPr>
            <w:tcW w:type="dxa" w:w="362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在同一机械臂上比较关节空间/笛卡儿空间轨迹，使用数值差分验证雅可比，以动力学仿真和控制曲线解释模型参数影响。</w:t>
            </w:r>
          </w:p>
        </w:tc>
      </w:tr>
      <w:tr>
        <w:trPr>
          <w:cantSplit/>
        </w:trPr>
        <w:tc>
          <w:tcPr>
            <w:tcW w:type="dxa" w:w="1080"/>
            <w:vMerge/>
            <w:vAlign w:val="center"/>
          </w:tcPr>
          <w:p/>
        </w:tc>
        <w:tc>
          <w:tcPr>
            <w:tcW w:type="dxa" w:w="459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2.4 能够建立差速或全向轮式移动机器人状态模型，完成里程计、路径规划或轨迹跟踪仿真，分析采样时间、轮径/轮距误差和定位漂移。</w:t>
            </w:r>
          </w:p>
        </w:tc>
        <w:tc>
          <w:tcPr>
            <w:tcW w:type="dxa" w:w="362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基于前置Python课程的双轮小车任务，将简单状态更新深化为非完整约束、规划与闭环跟踪，并使用路径误差和控制输入评价结果。</w:t>
            </w:r>
          </w:p>
        </w:tc>
      </w:tr>
      <w:tr>
        <w:trPr>
          <w:cantSplit/>
        </w:trPr>
        <w:tc>
          <w:tcPr>
            <w:tcW w:type="dxa" w:w="1080"/>
            <w:vMerge/>
            <w:vAlign w:val="center"/>
          </w:tcPr>
          <w:p/>
        </w:tc>
        <w:tc>
          <w:tcPr>
            <w:tcW w:type="dxa" w:w="459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2.5 能够从机构、接触、稳定性、能耗和场景适应性比较轮式、足式与轮足式机器人，完成简化的支撑多边形、质心投影、步态/模式状态机或越障方案分析。</w:t>
            </w:r>
          </w:p>
        </w:tc>
        <w:tc>
          <w:tcPr>
            <w:tcW w:type="dxa" w:w="362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通过轮足/四足案例数据和简化仿真，要求学生给出构型选择、稳定条件、模式切换与验证方案，而非只做产品介绍。</w:t>
            </w:r>
          </w:p>
        </w:tc>
      </w:tr>
      <w:tr>
        <w:trPr>
          <w:cantSplit/>
        </w:trPr>
        <w:tc>
          <w:tcPr>
            <w:tcW w:type="dxa" w:w="1080"/>
            <w:vMerge/>
            <w:vAlign w:val="center"/>
          </w:tcPr>
          <w:p/>
        </w:tc>
        <w:tc>
          <w:tcPr>
            <w:tcW w:type="dxa" w:w="459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2.6 能够围绕智能制造场景完成机器人系统需求分析、模型建立、算法实现、仿真/实验、结果评价和技术报告，形成可演示、可复现的Python机器人项目。</w:t>
            </w:r>
          </w:p>
        </w:tc>
        <w:tc>
          <w:tcPr>
            <w:tcW w:type="dxa" w:w="362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以机械臂作业、仓储移动、轮足巡检或移动操作为选题，提交代码、模型、数据、测试、运行日志、系统图和个人现场解释。</w:t>
            </w:r>
          </w:p>
        </w:tc>
      </w:tr>
      <w:tr>
        <w:trPr>
          <w:cantSplit/>
        </w:trPr>
        <w:tc>
          <w:tcPr>
            <w:tcW w:type="dxa" w:w="1080"/>
            <w:vMerge w:val="restart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3.素质</w:t>
            </w:r>
          </w:p>
        </w:tc>
        <w:tc>
          <w:tcPr>
            <w:tcW w:type="dxa" w:w="459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3.1 形成从坐标系、参数、模型假设和验证证据出发分析机器人问题的严谨习惯，避免把动画效果直接当成正确结果。</w:t>
            </w:r>
          </w:p>
        </w:tc>
        <w:tc>
          <w:tcPr>
            <w:tcW w:type="dxa" w:w="362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所有运动学与仿真任务必须声明坐标系、单位、参数来源、误差和测试条件，并进行至少一种独立校验。</w:t>
            </w:r>
          </w:p>
        </w:tc>
      </w:tr>
      <w:tr>
        <w:trPr>
          <w:cantSplit/>
        </w:trPr>
        <w:tc>
          <w:tcPr>
            <w:tcW w:type="dxa" w:w="1080"/>
            <w:vMerge/>
            <w:vAlign w:val="center"/>
          </w:tcPr>
          <w:p/>
        </w:tc>
        <w:tc>
          <w:tcPr>
            <w:tcW w:type="dxa" w:w="459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3.2 形成重视关节限位、奇异性、碰撞、速度/力矩约束和设备安全的工程责任意识。</w:t>
            </w:r>
          </w:p>
        </w:tc>
        <w:tc>
          <w:tcPr>
            <w:tcW w:type="dxa" w:w="362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在机械臂实验和项目验收中设置限位、奇异、碰撞和异常目标用例，要求设计安全停止或降级处理。</w:t>
            </w:r>
          </w:p>
        </w:tc>
      </w:tr>
      <w:tr>
        <w:trPr>
          <w:cantSplit/>
        </w:trPr>
        <w:tc>
          <w:tcPr>
            <w:tcW w:type="dxa" w:w="1080"/>
            <w:vMerge/>
            <w:vAlign w:val="center"/>
          </w:tcPr>
          <w:p/>
        </w:tc>
        <w:tc>
          <w:tcPr>
            <w:tcW w:type="dxa" w:w="459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3.3 形成基于物理机理和数据解释动力学与控制结果的实证意识，理解模型简化、参数不确定和数值方法的适用边界。</w:t>
            </w:r>
          </w:p>
        </w:tc>
        <w:tc>
          <w:tcPr>
            <w:tcW w:type="dxa" w:w="362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通过模型参数扰动、控制曲线和实测/仿真差异分析，要求学生说明结论成立的条件以及不能据此断言的内容。</w:t>
            </w:r>
          </w:p>
        </w:tc>
      </w:tr>
      <w:tr>
        <w:trPr>
          <w:cantSplit/>
        </w:trPr>
        <w:tc>
          <w:tcPr>
            <w:tcW w:type="dxa" w:w="1080"/>
            <w:vMerge/>
            <w:vAlign w:val="center"/>
          </w:tcPr>
          <w:p/>
        </w:tc>
        <w:tc>
          <w:tcPr>
            <w:tcW w:type="dxa" w:w="459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3.4 形成人机协作、移动机器人运行区域和现场安全意识，理解定位误差、通信延迟和感知失效可能造成的风险。</w:t>
            </w:r>
          </w:p>
        </w:tc>
        <w:tc>
          <w:tcPr>
            <w:tcW w:type="dxa" w:w="362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围绕AGV/AMR路径冲突、人员进入、失定位和急停案例，形成风险清单、互锁条件和恢复流程。</w:t>
            </w:r>
          </w:p>
        </w:tc>
      </w:tr>
      <w:tr>
        <w:trPr>
          <w:cantSplit/>
        </w:trPr>
        <w:tc>
          <w:tcPr>
            <w:tcW w:type="dxa" w:w="1080"/>
            <w:vMerge/>
            <w:vAlign w:val="center"/>
          </w:tcPr>
          <w:p/>
        </w:tc>
        <w:tc>
          <w:tcPr>
            <w:tcW w:type="dxa" w:w="459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3.5 形成尊重多构型机器人差异、面向场景权衡效率、稳定性、越障、能耗和复杂度的系统设计意识。</w:t>
            </w:r>
          </w:p>
        </w:tc>
        <w:tc>
          <w:tcPr>
            <w:tcW w:type="dxa" w:w="362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通过轮式、足式、轮足式方案对比评审，要求以需求和可验证指标作出构型选择，不以“新颖”替代工程论证。</w:t>
            </w:r>
          </w:p>
        </w:tc>
      </w:tr>
      <w:tr>
        <w:trPr>
          <w:cantSplit/>
        </w:trPr>
        <w:tc>
          <w:tcPr>
            <w:tcW w:type="dxa" w:w="1080"/>
            <w:vMerge/>
            <w:vAlign w:val="center"/>
          </w:tcPr>
          <w:p/>
        </w:tc>
        <w:tc>
          <w:tcPr>
            <w:tcW w:type="dxa" w:w="459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3.6 形成规范编程、版本管理、团队协作和持续学习意识，能够核验工具或AI生成结果并对本人提交的模型、代码和结论负责。</w:t>
            </w:r>
          </w:p>
        </w:tc>
        <w:tc>
          <w:tcPr>
            <w:tcW w:type="dxa" w:w="362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项目采用Git版本记录、接口文档、测试报告和个人答辩，AI或工具生成内容必须由学生运行、解释和验证。</w:t>
            </w:r>
          </w:p>
        </w:tc>
      </w:tr>
    </w:tbl>
    <w:p>
      <w:pPr>
        <w:keepNext w:val="0"/>
        <w:spacing w:before="0" w:after="0" w:line="276" w:lineRule="auto"/>
      </w:pPr>
    </w:p>
    <w:p>
      <w:pPr>
        <w:keepNext/>
        <w:spacing w:before="140" w:after="60" w:line="276" w:lineRule="auto"/>
      </w:pPr>
      <w:r>
        <w:rPr>
          <w:rFonts w:ascii="Times New Roman" w:hAnsi="Times New Roman" w:eastAsia="黑体" w:cs="Times New Roman"/>
          <w:b/>
          <w:sz w:val="28"/>
        </w:rPr>
        <w:t>三、理论教学环节及基本要求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080"/>
        <w:gridCol w:w="1750"/>
        <w:gridCol w:w="560"/>
        <w:gridCol w:w="1040"/>
        <w:gridCol w:w="3900"/>
        <w:gridCol w:w="960"/>
      </w:tblGrid>
      <w:tr>
        <w:trPr>
          <w:tblHeader w:val="true"/>
        </w:trPr>
        <w:tc>
          <w:tcPr>
            <w:tcW w:type="dxa" w:w="1080"/>
            <w:vAlign w:val="center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单元标题</w:t>
            </w:r>
          </w:p>
        </w:tc>
        <w:tc>
          <w:tcPr>
            <w:tcW w:type="dxa" w:w="1750"/>
            <w:vAlign w:val="center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教学内容</w:t>
            </w:r>
          </w:p>
        </w:tc>
        <w:tc>
          <w:tcPr>
            <w:tcW w:type="dxa" w:w="560"/>
            <w:vAlign w:val="center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学时</w:t>
            </w:r>
          </w:p>
        </w:tc>
        <w:tc>
          <w:tcPr>
            <w:tcW w:type="dxa" w:w="4940"/>
            <w:vAlign w:val="center"/>
            <w:gridSpan w:val="2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课程要求</w:t>
            </w:r>
          </w:p>
        </w:tc>
        <w:tc>
          <w:tcPr>
            <w:tcW w:type="dxa" w:w="960"/>
            <w:vAlign w:val="center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课程目标</w:t>
            </w:r>
          </w:p>
        </w:tc>
      </w:tr>
      <w:tr>
        <w:tc>
          <w:tcPr>
            <w:tcW w:type="dxa" w:w="108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第一单元 机器人体系与空间数学</w:t>
            </w:r>
          </w:p>
        </w:tc>
        <w:tc>
          <w:tcPr>
            <w:tcW w:type="dxa" w:w="1750"/>
            <w:vMerge w:val="restart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机器人定义、组成、自由度和性能指标；工业、协作、移动、足式、轮足式、无人系统等分类；位置与姿态；旋转矩阵、齐次变换、欧拉角、轴角、四元数；SO(2)/SE(2)、SO(3)/SE(3)概念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4</w:t>
            </w:r>
          </w:p>
        </w:tc>
        <w:tc>
          <w:tcPr>
            <w:tcW w:type="dxa" w:w="104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思政融入点</w:t>
            </w:r>
          </w:p>
        </w:tc>
        <w:tc>
          <w:tcPr>
            <w:tcW w:type="dxa" w:w="39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结合我国机器人产业与典型应用，强调技术自主、标准规范、坐标/单位一致性和安全责任。</w:t>
            </w:r>
          </w:p>
        </w:tc>
        <w:tc>
          <w:tcPr>
            <w:tcW w:type="dxa" w:w="9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目标 1.1，2.1，3.1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750"/>
            <w:vMerge/>
          </w:tcPr>
          <w:p/>
        </w:tc>
        <w:tc>
          <w:tcPr>
            <w:tcW w:type="dxa" w:w="560"/>
            <w:vMerge/>
          </w:tcPr>
          <w:p/>
        </w:tc>
        <w:tc>
          <w:tcPr>
            <w:tcW w:type="dxa" w:w="104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预期学习成果</w:t>
            </w:r>
          </w:p>
        </w:tc>
        <w:tc>
          <w:tcPr>
            <w:tcW w:type="dxa" w:w="39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知识层面：掌握机器人分类及刚体位姿表示。</w:t>
              <w:br/>
              <w:t>能力层面：能够建立坐标系并完成位姿组合。</w:t>
              <w:br/>
              <w:t>素养层面：形成参数、单位和坐标约定可追溯的严谨习惯。</w:t>
            </w:r>
          </w:p>
        </w:tc>
        <w:tc>
          <w:tcPr>
            <w:tcW w:type="dxa" w:w="960"/>
            <w:vMerge/>
          </w:tcPr>
          <w:p/>
        </w:tc>
      </w:tr>
      <w:tr>
        <w:tc>
          <w:tcPr>
            <w:tcW w:type="dxa" w:w="1080"/>
            <w:vMerge/>
          </w:tcPr>
          <w:p/>
        </w:tc>
        <w:tc>
          <w:tcPr>
            <w:tcW w:type="dxa" w:w="1750"/>
            <w:vMerge/>
          </w:tcPr>
          <w:p/>
        </w:tc>
        <w:tc>
          <w:tcPr>
            <w:tcW w:type="dxa" w:w="560"/>
            <w:vMerge/>
          </w:tcPr>
          <w:p/>
        </w:tc>
        <w:tc>
          <w:tcPr>
            <w:tcW w:type="dxa" w:w="104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教学方式</w:t>
            </w:r>
          </w:p>
        </w:tc>
        <w:tc>
          <w:tcPr>
            <w:tcW w:type="dxa" w:w="39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讲授、构型案例、坐标系演示、Python可视化</w:t>
            </w:r>
          </w:p>
        </w:tc>
        <w:tc>
          <w:tcPr>
            <w:tcW w:type="dxa" w:w="960"/>
            <w:vMerge/>
          </w:tcPr>
          <w:p/>
        </w:tc>
      </w:tr>
      <w:tr>
        <w:tc>
          <w:tcPr>
            <w:tcW w:type="dxa" w:w="108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第二单元 串联机器人正逆运动学</w:t>
            </w:r>
          </w:p>
        </w:tc>
        <w:tc>
          <w:tcPr>
            <w:tcW w:type="dxa" w:w="1750"/>
            <w:vMerge w:val="restart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连杆与关节；D-H参数及变换链；等价的刚体树/指数积思想；2R/3R、SCARA和六轴机器人正运动学；解析与数值逆运动学；多解、无解、关节限位、工作空间与构型选择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6</w:t>
            </w:r>
          </w:p>
        </w:tc>
        <w:tc>
          <w:tcPr>
            <w:tcW w:type="dxa" w:w="104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思政融入点</w:t>
            </w:r>
          </w:p>
        </w:tc>
        <w:tc>
          <w:tcPr>
            <w:tcW w:type="dxa" w:w="39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通过机械臂安全工作空间和解的选择讨论“数学可达不等于工程可用”，强化规范建模和设备安全。</w:t>
            </w:r>
          </w:p>
        </w:tc>
        <w:tc>
          <w:tcPr>
            <w:tcW w:type="dxa" w:w="9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目标 1.2，2.2，3.2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750"/>
            <w:vMerge/>
          </w:tcPr>
          <w:p/>
        </w:tc>
        <w:tc>
          <w:tcPr>
            <w:tcW w:type="dxa" w:w="560"/>
            <w:vMerge/>
          </w:tcPr>
          <w:p/>
        </w:tc>
        <w:tc>
          <w:tcPr>
            <w:tcW w:type="dxa" w:w="104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预期学习成果</w:t>
            </w:r>
          </w:p>
        </w:tc>
        <w:tc>
          <w:tcPr>
            <w:tcW w:type="dxa" w:w="39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知识层面：掌握串联机器人正逆运动学及工作空间。</w:t>
              <w:br/>
              <w:t>能力层面：能够建立模型、求解位姿并验证误差。</w:t>
              <w:br/>
              <w:t>素养层面：形成关注限位、可达性、多解和安全边界的意识。</w:t>
            </w:r>
          </w:p>
        </w:tc>
        <w:tc>
          <w:tcPr>
            <w:tcW w:type="dxa" w:w="960"/>
            <w:vMerge/>
          </w:tcPr>
          <w:p/>
        </w:tc>
      </w:tr>
      <w:tr>
        <w:tc>
          <w:tcPr>
            <w:tcW w:type="dxa" w:w="1080"/>
            <w:vMerge/>
          </w:tcPr>
          <w:p/>
        </w:tc>
        <w:tc>
          <w:tcPr>
            <w:tcW w:type="dxa" w:w="1750"/>
            <w:vMerge/>
          </w:tcPr>
          <w:p/>
        </w:tc>
        <w:tc>
          <w:tcPr>
            <w:tcW w:type="dxa" w:w="560"/>
            <w:vMerge/>
          </w:tcPr>
          <w:p/>
        </w:tc>
        <w:tc>
          <w:tcPr>
            <w:tcW w:type="dxa" w:w="104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教学方式</w:t>
            </w:r>
          </w:p>
        </w:tc>
        <w:tc>
          <w:tcPr>
            <w:tcW w:type="dxa" w:w="39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推导、例题、模型对照、数值求解、工作空间演示</w:t>
            </w:r>
          </w:p>
        </w:tc>
        <w:tc>
          <w:tcPr>
            <w:tcW w:type="dxa" w:w="960"/>
            <w:vMerge/>
          </w:tcPr>
          <w:p/>
        </w:tc>
      </w:tr>
      <w:tr>
        <w:tc>
          <w:tcPr>
            <w:tcW w:type="dxa" w:w="108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第三单元 雅可比、轨迹、动力学与控制基础</w:t>
            </w:r>
          </w:p>
        </w:tc>
        <w:tc>
          <w:tcPr>
            <w:tcW w:type="dxa" w:w="1750"/>
            <w:vMerge w:val="restart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微分运动学；雅可比矩阵；关节速度与末端速度映射；静力/力矩映射；奇异性；关节空间和笛卡儿空间轨迹；速度/加速度连续性；拉格朗日法、牛顿—欧拉法概念；M(q)q̈+C(q,q̇)q̇+g(q)=τ；关节PID、前馈与计算力矩控制概念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6</w:t>
            </w:r>
          </w:p>
        </w:tc>
        <w:tc>
          <w:tcPr>
            <w:tcW w:type="dxa" w:w="104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思政融入点</w:t>
            </w:r>
          </w:p>
        </w:tc>
        <w:tc>
          <w:tcPr>
            <w:tcW w:type="dxa" w:w="39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通过奇异位形、超速和力矩饱和案例，强调模型、控制参数和安全限值对设备与人员安全的影响。</w:t>
            </w:r>
          </w:p>
        </w:tc>
        <w:tc>
          <w:tcPr>
            <w:tcW w:type="dxa" w:w="9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目标 1.3，2.3，3.3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750"/>
            <w:vMerge/>
          </w:tcPr>
          <w:p/>
        </w:tc>
        <w:tc>
          <w:tcPr>
            <w:tcW w:type="dxa" w:w="560"/>
            <w:vMerge/>
          </w:tcPr>
          <w:p/>
        </w:tc>
        <w:tc>
          <w:tcPr>
            <w:tcW w:type="dxa" w:w="104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预期学习成果</w:t>
            </w:r>
          </w:p>
        </w:tc>
        <w:tc>
          <w:tcPr>
            <w:tcW w:type="dxa" w:w="39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知识层面：理解雅可比、轨迹和动力学方程的物理含义。</w:t>
              <w:br/>
              <w:t>能力层面：能够分析速度/力映射、轨迹平滑性和简化动力学响应。</w:t>
              <w:br/>
              <w:t>素养层面：形成基于曲线、误差和物理机理解释控制结果的习惯。</w:t>
            </w:r>
          </w:p>
        </w:tc>
        <w:tc>
          <w:tcPr>
            <w:tcW w:type="dxa" w:w="960"/>
            <w:vMerge/>
          </w:tcPr>
          <w:p/>
        </w:tc>
      </w:tr>
      <w:tr>
        <w:tc>
          <w:tcPr>
            <w:tcW w:type="dxa" w:w="1080"/>
            <w:vMerge/>
          </w:tcPr>
          <w:p/>
        </w:tc>
        <w:tc>
          <w:tcPr>
            <w:tcW w:type="dxa" w:w="1750"/>
            <w:vMerge/>
          </w:tcPr>
          <w:p/>
        </w:tc>
        <w:tc>
          <w:tcPr>
            <w:tcW w:type="dxa" w:w="560"/>
            <w:vMerge/>
          </w:tcPr>
          <w:p/>
        </w:tc>
        <w:tc>
          <w:tcPr>
            <w:tcW w:type="dxa" w:w="104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教学方式</w:t>
            </w:r>
          </w:p>
        </w:tc>
        <w:tc>
          <w:tcPr>
            <w:tcW w:type="dxa" w:w="39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讲授、数值验证、轨迹对比、动力学与控制曲线分析</w:t>
            </w:r>
          </w:p>
        </w:tc>
        <w:tc>
          <w:tcPr>
            <w:tcW w:type="dxa" w:w="960"/>
            <w:vMerge/>
          </w:tcPr>
          <w:p/>
        </w:tc>
      </w:tr>
      <w:tr>
        <w:tc>
          <w:tcPr>
            <w:tcW w:type="dxa" w:w="108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第四单元 轮式移动机器人</w:t>
            </w:r>
          </w:p>
        </w:tc>
        <w:tc>
          <w:tcPr>
            <w:tcW w:type="dxa" w:w="1750"/>
            <w:vMerge w:val="restart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差速、独轮/自行车和全向轮模型；非完整约束；里程计；轮径/轮距误差；定位与地图概念；栅格、势场、Dijkstra/A*、PRM/RRT等规划思想；纯追踪、姿态误差与轨迹跟踪；AGV、AMR和移动操作机器人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4</w:t>
            </w:r>
          </w:p>
        </w:tc>
        <w:tc>
          <w:tcPr>
            <w:tcW w:type="dxa" w:w="104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思政融入点</w:t>
            </w:r>
          </w:p>
        </w:tc>
        <w:tc>
          <w:tcPr>
            <w:tcW w:type="dxa" w:w="39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以仓储物流和人机混行案例讨论路径效率、交通规则、失定位、急停和恢复，培养安全运行与责任意识。</w:t>
            </w:r>
          </w:p>
        </w:tc>
        <w:tc>
          <w:tcPr>
            <w:tcW w:type="dxa" w:w="9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目标 1.4，2.4，3.4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750"/>
            <w:vMerge/>
          </w:tcPr>
          <w:p/>
        </w:tc>
        <w:tc>
          <w:tcPr>
            <w:tcW w:type="dxa" w:w="560"/>
            <w:vMerge/>
          </w:tcPr>
          <w:p/>
        </w:tc>
        <w:tc>
          <w:tcPr>
            <w:tcW w:type="dxa" w:w="104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预期学习成果</w:t>
            </w:r>
          </w:p>
        </w:tc>
        <w:tc>
          <w:tcPr>
            <w:tcW w:type="dxa" w:w="39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知识层面：掌握典型轮式移动机器人模型与规划/跟踪基础。</w:t>
              <w:br/>
              <w:t>能力层面：能够建立状态更新、规划或跟踪模型并评价误差。</w:t>
              <w:br/>
              <w:t>素养层面：形成关注定位不确定性、运行区域和人机安全的意识。</w:t>
            </w:r>
          </w:p>
        </w:tc>
        <w:tc>
          <w:tcPr>
            <w:tcW w:type="dxa" w:w="960"/>
            <w:vMerge/>
          </w:tcPr>
          <w:p/>
        </w:tc>
      </w:tr>
      <w:tr>
        <w:tc>
          <w:tcPr>
            <w:tcW w:type="dxa" w:w="1080"/>
            <w:vMerge/>
          </w:tcPr>
          <w:p/>
        </w:tc>
        <w:tc>
          <w:tcPr>
            <w:tcW w:type="dxa" w:w="1750"/>
            <w:vMerge/>
          </w:tcPr>
          <w:p/>
        </w:tc>
        <w:tc>
          <w:tcPr>
            <w:tcW w:type="dxa" w:w="560"/>
            <w:vMerge/>
          </w:tcPr>
          <w:p/>
        </w:tc>
        <w:tc>
          <w:tcPr>
            <w:tcW w:type="dxa" w:w="104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教学方式</w:t>
            </w:r>
          </w:p>
        </w:tc>
        <w:tc>
          <w:tcPr>
            <w:tcW w:type="dxa" w:w="39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讲授、路径案例、状态更新推演、Python轨迹演示</w:t>
            </w:r>
          </w:p>
        </w:tc>
        <w:tc>
          <w:tcPr>
            <w:tcW w:type="dxa" w:w="960"/>
            <w:vMerge/>
          </w:tcPr>
          <w:p/>
        </w:tc>
      </w:tr>
      <w:tr>
        <w:tc>
          <w:tcPr>
            <w:tcW w:type="dxa" w:w="108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第五单元 足式、四足、人形与轮足式机器人</w:t>
            </w:r>
          </w:p>
        </w:tc>
        <w:tc>
          <w:tcPr>
            <w:tcW w:type="dxa" w:w="1750"/>
            <w:vMerge w:val="restart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足式与轮足式机构；关节与轮腿组合；支撑相、摆动相、步态与接触；质心投影、支撑多边形、静态/动态稳定概念；轮式高效运动、足式越障和轮足模式切换；四足、人形与轮足机器人典型应用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2</w:t>
            </w:r>
          </w:p>
        </w:tc>
        <w:tc>
          <w:tcPr>
            <w:tcW w:type="dxa" w:w="104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思政融入点</w:t>
            </w:r>
          </w:p>
        </w:tc>
        <w:tc>
          <w:tcPr>
            <w:tcW w:type="dxa" w:w="39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通过复杂地形、巡检和救援任务讨论构型选择、能耗、可靠性和安全，反对只追求“炫技”而忽视工程验证。</w:t>
            </w:r>
          </w:p>
        </w:tc>
        <w:tc>
          <w:tcPr>
            <w:tcW w:type="dxa" w:w="9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目标 1.5，2.5，3.5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750"/>
            <w:vMerge/>
          </w:tcPr>
          <w:p/>
        </w:tc>
        <w:tc>
          <w:tcPr>
            <w:tcW w:type="dxa" w:w="560"/>
            <w:vMerge/>
          </w:tcPr>
          <w:p/>
        </w:tc>
        <w:tc>
          <w:tcPr>
            <w:tcW w:type="dxa" w:w="104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预期学习成果</w:t>
            </w:r>
          </w:p>
        </w:tc>
        <w:tc>
          <w:tcPr>
            <w:tcW w:type="dxa" w:w="39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知识层面：了解足式/轮足机器人构型、稳定与运动模式。</w:t>
              <w:br/>
              <w:t>能力层面：能够比较轮式、足式、轮足式方案并做简化稳定分析。</w:t>
              <w:br/>
              <w:t>素养层面：形成面向需求权衡效率、越障、能耗和复杂度的系统意识。</w:t>
            </w:r>
          </w:p>
        </w:tc>
        <w:tc>
          <w:tcPr>
            <w:tcW w:type="dxa" w:w="960"/>
            <w:vMerge/>
          </w:tcPr>
          <w:p/>
        </w:tc>
      </w:tr>
      <w:tr>
        <w:tc>
          <w:tcPr>
            <w:tcW w:type="dxa" w:w="1080"/>
            <w:vMerge/>
          </w:tcPr>
          <w:p/>
        </w:tc>
        <w:tc>
          <w:tcPr>
            <w:tcW w:type="dxa" w:w="1750"/>
            <w:vMerge/>
          </w:tcPr>
          <w:p/>
        </w:tc>
        <w:tc>
          <w:tcPr>
            <w:tcW w:type="dxa" w:w="560"/>
            <w:vMerge/>
          </w:tcPr>
          <w:p/>
        </w:tc>
        <w:tc>
          <w:tcPr>
            <w:tcW w:type="dxa" w:w="104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教学方式</w:t>
            </w:r>
          </w:p>
        </w:tc>
        <w:tc>
          <w:tcPr>
            <w:tcW w:type="dxa" w:w="39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案例讲授、视频/结构分析、支撑几何、方案比较</w:t>
            </w:r>
          </w:p>
        </w:tc>
        <w:tc>
          <w:tcPr>
            <w:tcW w:type="dxa" w:w="960"/>
            <w:vMerge/>
          </w:tcPr>
          <w:p/>
        </w:tc>
      </w:tr>
      <w:tr>
        <w:tc>
          <w:tcPr>
            <w:tcW w:type="dxa" w:w="108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第六单元 机器人感知、规划、应用与安全</w:t>
            </w:r>
          </w:p>
        </w:tc>
        <w:tc>
          <w:tcPr>
            <w:tcW w:type="dxa" w:w="1750"/>
            <w:vMerge w:val="restart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编码器、IMU、力/力矩、视觉、激光等传感器；状态估计与感知误差概念；机械臂作业规划、移动机器人任务规划；制造、物流、巡检、服务与协作应用；碰撞检测、限位、急停、人机协作和验证；Python机器人系统项目方法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2</w:t>
            </w:r>
          </w:p>
        </w:tc>
        <w:tc>
          <w:tcPr>
            <w:tcW w:type="dxa" w:w="104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思政融入点</w:t>
            </w:r>
          </w:p>
        </w:tc>
        <w:tc>
          <w:tcPr>
            <w:tcW w:type="dxa" w:w="39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结合协作机器人和移动机器人事故/失效场景，强化最小风险、人工确认、测试验收和对系统行为负责的工程伦理。</w:t>
            </w:r>
          </w:p>
        </w:tc>
        <w:tc>
          <w:tcPr>
            <w:tcW w:type="dxa" w:w="9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目标 1.6，2.6，3.6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750"/>
            <w:vMerge/>
          </w:tcPr>
          <w:p/>
        </w:tc>
        <w:tc>
          <w:tcPr>
            <w:tcW w:type="dxa" w:w="560"/>
            <w:vMerge/>
          </w:tcPr>
          <w:p/>
        </w:tc>
        <w:tc>
          <w:tcPr>
            <w:tcW w:type="dxa" w:w="104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预期学习成果</w:t>
            </w:r>
          </w:p>
        </w:tc>
        <w:tc>
          <w:tcPr>
            <w:tcW w:type="dxa" w:w="39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知识层面：理解感知、规划、控制、执行和安全的系统关系。</w:t>
              <w:br/>
              <w:t>能力层面：能够设计机器人任务链、测试与风险控制。</w:t>
              <w:br/>
              <w:t>素养层面：形成规范交付、团队协作、持续学习和结果复核意识。</w:t>
            </w:r>
          </w:p>
        </w:tc>
        <w:tc>
          <w:tcPr>
            <w:tcW w:type="dxa" w:w="960"/>
            <w:vMerge/>
          </w:tcPr>
          <w:p/>
        </w:tc>
      </w:tr>
      <w:tr>
        <w:tc>
          <w:tcPr>
            <w:tcW w:type="dxa" w:w="1080"/>
            <w:vMerge/>
          </w:tcPr>
          <w:p/>
        </w:tc>
        <w:tc>
          <w:tcPr>
            <w:tcW w:type="dxa" w:w="1750"/>
            <w:vMerge/>
          </w:tcPr>
          <w:p/>
        </w:tc>
        <w:tc>
          <w:tcPr>
            <w:tcW w:type="dxa" w:w="560"/>
            <w:vMerge/>
          </w:tcPr>
          <w:p/>
        </w:tc>
        <w:tc>
          <w:tcPr>
            <w:tcW w:type="dxa" w:w="104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教学方式</w:t>
            </w:r>
          </w:p>
        </w:tc>
        <w:tc>
          <w:tcPr>
            <w:tcW w:type="dxa" w:w="39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讲授、系统框图、风险分析、项目方案评审</w:t>
            </w:r>
          </w:p>
        </w:tc>
        <w:tc>
          <w:tcPr>
            <w:tcW w:type="dxa" w:w="960"/>
            <w:vMerge/>
          </w:tcPr>
          <w:p/>
        </w:tc>
      </w:tr>
    </w:tbl>
    <w:p>
      <w:pPr>
        <w:keepNext w:val="0"/>
        <w:spacing w:before="0" w:after="40" w:line="276" w:lineRule="auto"/>
      </w:pPr>
      <w:r>
        <w:rPr>
          <w:rFonts w:ascii="Times New Roman" w:hAnsi="Times New Roman" w:eastAsia="宋体" w:cs="Times New Roman"/>
          <w:b/>
          <w:sz w:val="21"/>
        </w:rPr>
        <w:t>理论总学时 24</w:t>
      </w:r>
    </w:p>
    <w:p>
      <w:pPr>
        <w:keepNext/>
        <w:spacing w:before="140" w:after="60" w:line="276" w:lineRule="auto"/>
      </w:pPr>
      <w:r>
        <w:rPr>
          <w:rFonts w:ascii="Times New Roman" w:hAnsi="Times New Roman" w:eastAsia="黑体" w:cs="Times New Roman"/>
          <w:b/>
          <w:sz w:val="28"/>
        </w:rPr>
        <w:t>四、实验教学环节及基本要求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130"/>
        <w:gridCol w:w="1850"/>
        <w:gridCol w:w="560"/>
        <w:gridCol w:w="1050"/>
        <w:gridCol w:w="3800"/>
        <w:gridCol w:w="900"/>
      </w:tblGrid>
      <w:tr>
        <w:trPr>
          <w:tblHeader w:val="true"/>
        </w:trPr>
        <w:tc>
          <w:tcPr>
            <w:tcW w:type="dxa" w:w="1130"/>
            <w:vAlign w:val="center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实验项目</w:t>
            </w:r>
          </w:p>
        </w:tc>
        <w:tc>
          <w:tcPr>
            <w:tcW w:type="dxa" w:w="1850"/>
            <w:vAlign w:val="center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实验内容</w:t>
            </w:r>
          </w:p>
        </w:tc>
        <w:tc>
          <w:tcPr>
            <w:tcW w:type="dxa" w:w="560"/>
            <w:vAlign w:val="center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学时</w:t>
            </w:r>
          </w:p>
        </w:tc>
        <w:tc>
          <w:tcPr>
            <w:tcW w:type="dxa" w:w="4850"/>
            <w:vAlign w:val="center"/>
            <w:gridSpan w:val="2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实验要求</w:t>
            </w:r>
          </w:p>
        </w:tc>
        <w:tc>
          <w:tcPr>
            <w:tcW w:type="dxa" w:w="900"/>
            <w:vAlign w:val="center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课程目标</w:t>
            </w:r>
          </w:p>
        </w:tc>
      </w:tr>
      <w:tr>
        <w:tc>
          <w:tcPr>
            <w:tcW w:type="dxa" w:w="113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实验一 机械臂坐标标定与位姿验证</w:t>
            </w:r>
          </w:p>
        </w:tc>
        <w:tc>
          <w:tcPr>
            <w:tcW w:type="dxa" w:w="1850"/>
            <w:vMerge w:val="restart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在桌面机械臂或等价数字模型上识别基座、关节、工具和工件坐标系；测量/读取关节角和连杆参数；计算末端位姿；比较计算、仿真与测量结果并分析误差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2</w:t>
            </w:r>
          </w:p>
        </w:tc>
        <w:tc>
          <w:tcPr>
            <w:tcW w:type="dxa" w:w="105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实验类型及思政融入点</w:t>
            </w:r>
          </w:p>
        </w:tc>
        <w:tc>
          <w:tcPr>
            <w:tcW w:type="dxa" w:w="38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验证型；严格执行限位、低速和急停规范，测量与坐标约定必须记录。</w:t>
            </w:r>
          </w:p>
        </w:tc>
        <w:tc>
          <w:tcPr>
            <w:tcW w:type="dxa" w:w="90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目标 1.1，1.2，2.1，2.2，3.1，3.2</w:t>
            </w:r>
          </w:p>
        </w:tc>
      </w:tr>
      <w:tr>
        <w:tc>
          <w:tcPr>
            <w:tcW w:type="dxa" w:w="1130"/>
            <w:vMerge/>
          </w:tcPr>
          <w:p/>
        </w:tc>
        <w:tc>
          <w:tcPr>
            <w:tcW w:type="dxa" w:w="1850"/>
            <w:vMerge/>
          </w:tcPr>
          <w:p/>
        </w:tc>
        <w:tc>
          <w:tcPr>
            <w:tcW w:type="dxa" w:w="560"/>
            <w:vMerge/>
          </w:tcPr>
          <w:p/>
        </w:tc>
        <w:tc>
          <w:tcPr>
            <w:tcW w:type="dxa" w:w="105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预期学习成果</w:t>
            </w:r>
          </w:p>
        </w:tc>
        <w:tc>
          <w:tcPr>
            <w:tcW w:type="dxa" w:w="38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知识层面：理解坐标系、参数与正运动学。</w:t>
              <w:br/>
              <w:t>能力层面：完成坐标标定、位姿计算和误差分析。</w:t>
              <w:br/>
              <w:t>素养层面：形成安全操作、数据记录和独立校验意识。</w:t>
            </w:r>
          </w:p>
        </w:tc>
        <w:tc>
          <w:tcPr>
            <w:tcW w:type="dxa" w:w="900"/>
            <w:vMerge/>
          </w:tcPr>
          <w:p/>
        </w:tc>
      </w:tr>
      <w:tr>
        <w:tc>
          <w:tcPr>
            <w:tcW w:type="dxa" w:w="1130"/>
            <w:vMerge/>
          </w:tcPr>
          <w:p/>
        </w:tc>
        <w:tc>
          <w:tcPr>
            <w:tcW w:type="dxa" w:w="1850"/>
            <w:vMerge/>
          </w:tcPr>
          <w:p/>
        </w:tc>
        <w:tc>
          <w:tcPr>
            <w:tcW w:type="dxa" w:w="560"/>
            <w:vMerge/>
          </w:tcPr>
          <w:p/>
        </w:tc>
        <w:tc>
          <w:tcPr>
            <w:tcW w:type="dxa" w:w="105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教学方式</w:t>
            </w:r>
          </w:p>
        </w:tc>
        <w:tc>
          <w:tcPr>
            <w:tcW w:type="dxa" w:w="38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设备/虚拟平台演示、分组测量、数据复核</w:t>
            </w:r>
          </w:p>
        </w:tc>
        <w:tc>
          <w:tcPr>
            <w:tcW w:type="dxa" w:w="900"/>
            <w:vMerge/>
          </w:tcPr>
          <w:p/>
        </w:tc>
      </w:tr>
      <w:tr>
        <w:tc>
          <w:tcPr>
            <w:tcW w:type="dxa" w:w="113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实验二 机械臂轨迹与动力响应</w:t>
            </w:r>
          </w:p>
        </w:tc>
        <w:tc>
          <w:tcPr>
            <w:tcW w:type="dxa" w:w="1850"/>
            <w:vMerge w:val="restart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执行关节空间或笛卡儿空间轨迹；采集/导出位置、速度、加速度、电流或力矩数据；比较不同时间尺度、插值与控制参数下的平滑性、误差和负载响应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2</w:t>
            </w:r>
          </w:p>
        </w:tc>
        <w:tc>
          <w:tcPr>
            <w:tcW w:type="dxa" w:w="105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实验类型及思政融入点</w:t>
            </w:r>
          </w:p>
        </w:tc>
        <w:tc>
          <w:tcPr>
            <w:tcW w:type="dxa" w:w="38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验证+设计型；不得超限运行，参数修改采用小步迭代，异常立即停止并保留日志。</w:t>
            </w:r>
          </w:p>
        </w:tc>
        <w:tc>
          <w:tcPr>
            <w:tcW w:type="dxa" w:w="90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目标 1.3，2.3，3.2，3.3</w:t>
            </w:r>
          </w:p>
        </w:tc>
      </w:tr>
      <w:tr>
        <w:tc>
          <w:tcPr>
            <w:tcW w:type="dxa" w:w="1130"/>
            <w:vMerge/>
          </w:tcPr>
          <w:p/>
        </w:tc>
        <w:tc>
          <w:tcPr>
            <w:tcW w:type="dxa" w:w="1850"/>
            <w:vMerge/>
          </w:tcPr>
          <w:p/>
        </w:tc>
        <w:tc>
          <w:tcPr>
            <w:tcW w:type="dxa" w:w="560"/>
            <w:vMerge/>
          </w:tcPr>
          <w:p/>
        </w:tc>
        <w:tc>
          <w:tcPr>
            <w:tcW w:type="dxa" w:w="105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预期学习成果</w:t>
            </w:r>
          </w:p>
        </w:tc>
        <w:tc>
          <w:tcPr>
            <w:tcW w:type="dxa" w:w="38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知识层面：理解轨迹、动力学与关节控制关系。</w:t>
              <w:br/>
              <w:t>能力层面：能够分析轨迹连续性、跟踪误差和动态响应。</w:t>
              <w:br/>
              <w:t>素养层面：形成限值意识、证据调参和故障复盘习惯。</w:t>
            </w:r>
          </w:p>
        </w:tc>
        <w:tc>
          <w:tcPr>
            <w:tcW w:type="dxa" w:w="900"/>
            <w:vMerge/>
          </w:tcPr>
          <w:p/>
        </w:tc>
      </w:tr>
      <w:tr>
        <w:tc>
          <w:tcPr>
            <w:tcW w:type="dxa" w:w="1130"/>
            <w:vMerge/>
          </w:tcPr>
          <w:p/>
        </w:tc>
        <w:tc>
          <w:tcPr>
            <w:tcW w:type="dxa" w:w="1850"/>
            <w:vMerge/>
          </w:tcPr>
          <w:p/>
        </w:tc>
        <w:tc>
          <w:tcPr>
            <w:tcW w:type="dxa" w:w="560"/>
            <w:vMerge/>
          </w:tcPr>
          <w:p/>
        </w:tc>
        <w:tc>
          <w:tcPr>
            <w:tcW w:type="dxa" w:w="105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教学方式</w:t>
            </w:r>
          </w:p>
        </w:tc>
        <w:tc>
          <w:tcPr>
            <w:tcW w:type="dxa" w:w="38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实验演示、参数对比、曲线分析、复盘</w:t>
            </w:r>
          </w:p>
        </w:tc>
        <w:tc>
          <w:tcPr>
            <w:tcW w:type="dxa" w:w="900"/>
            <w:vMerge/>
          </w:tcPr>
          <w:p/>
        </w:tc>
      </w:tr>
      <w:tr>
        <w:tc>
          <w:tcPr>
            <w:tcW w:type="dxa" w:w="113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实验三 轮式机器人里程计与路径跟踪</w:t>
            </w:r>
          </w:p>
        </w:tc>
        <w:tc>
          <w:tcPr>
            <w:tcW w:type="dxa" w:w="1850"/>
            <w:vMerge w:val="restart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使用差速或等价移动平台进行直线、圆弧和闭合路径实验；记录编码器/位姿；标定轮径与轮距；比较开环里程计和闭环跟踪误差；分析滑移与采样影响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2</w:t>
            </w:r>
          </w:p>
        </w:tc>
        <w:tc>
          <w:tcPr>
            <w:tcW w:type="dxa" w:w="105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实验类型及思政融入点</w:t>
            </w:r>
          </w:p>
        </w:tc>
        <w:tc>
          <w:tcPr>
            <w:tcW w:type="dxa" w:w="38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设计型；设置安全区域、低速和人工急停，运行前检查路径和人员位置。</w:t>
            </w:r>
          </w:p>
        </w:tc>
        <w:tc>
          <w:tcPr>
            <w:tcW w:type="dxa" w:w="90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目标 1.4，2.4，3.4</w:t>
            </w:r>
          </w:p>
        </w:tc>
      </w:tr>
      <w:tr>
        <w:tc>
          <w:tcPr>
            <w:tcW w:type="dxa" w:w="1130"/>
            <w:vMerge/>
          </w:tcPr>
          <w:p/>
        </w:tc>
        <w:tc>
          <w:tcPr>
            <w:tcW w:type="dxa" w:w="1850"/>
            <w:vMerge/>
          </w:tcPr>
          <w:p/>
        </w:tc>
        <w:tc>
          <w:tcPr>
            <w:tcW w:type="dxa" w:w="560"/>
            <w:vMerge/>
          </w:tcPr>
          <w:p/>
        </w:tc>
        <w:tc>
          <w:tcPr>
            <w:tcW w:type="dxa" w:w="105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预期学习成果</w:t>
            </w:r>
          </w:p>
        </w:tc>
        <w:tc>
          <w:tcPr>
            <w:tcW w:type="dxa" w:w="38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知识层面：理解移动模型、里程计和轨迹误差。</w:t>
              <w:br/>
              <w:t>能力层面：完成参数标定、路径实验和误差分析。</w:t>
              <w:br/>
              <w:t>素养层面：形成人机混行安全、定位不确定性和复测意识。</w:t>
            </w:r>
          </w:p>
        </w:tc>
        <w:tc>
          <w:tcPr>
            <w:tcW w:type="dxa" w:w="900"/>
            <w:vMerge/>
          </w:tcPr>
          <w:p/>
        </w:tc>
      </w:tr>
      <w:tr>
        <w:tc>
          <w:tcPr>
            <w:tcW w:type="dxa" w:w="1130"/>
            <w:vMerge/>
          </w:tcPr>
          <w:p/>
        </w:tc>
        <w:tc>
          <w:tcPr>
            <w:tcW w:type="dxa" w:w="1850"/>
            <w:vMerge/>
          </w:tcPr>
          <w:p/>
        </w:tc>
        <w:tc>
          <w:tcPr>
            <w:tcW w:type="dxa" w:w="560"/>
            <w:vMerge/>
          </w:tcPr>
          <w:p/>
        </w:tc>
        <w:tc>
          <w:tcPr>
            <w:tcW w:type="dxa" w:w="105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教学方式</w:t>
            </w:r>
          </w:p>
        </w:tc>
        <w:tc>
          <w:tcPr>
            <w:tcW w:type="dxa" w:w="38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实物/仿真实验、参数标定、轨迹采集、误差对比</w:t>
            </w:r>
          </w:p>
        </w:tc>
        <w:tc>
          <w:tcPr>
            <w:tcW w:type="dxa" w:w="900"/>
            <w:vMerge/>
          </w:tcPr>
          <w:p/>
        </w:tc>
      </w:tr>
      <w:tr>
        <w:tc>
          <w:tcPr>
            <w:tcW w:type="dxa" w:w="113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实验四 足式/轮足式机器人运动与稳定性观察</w:t>
            </w:r>
          </w:p>
        </w:tc>
        <w:tc>
          <w:tcPr>
            <w:tcW w:type="dxa" w:w="1850"/>
            <w:vMerge w:val="restart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使用四足、轮足平台或等价仿真/公开实验数据，观察站立、步行、轮式运动、转向、越障或模式切换；标注支撑相、质心投影和接触变化；比较速度、稳定性与能耗指标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2</w:t>
            </w:r>
          </w:p>
        </w:tc>
        <w:tc>
          <w:tcPr>
            <w:tcW w:type="dxa" w:w="105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实验类型及思政融入点</w:t>
            </w:r>
          </w:p>
        </w:tc>
        <w:tc>
          <w:tcPr>
            <w:tcW w:type="dxa" w:w="38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综合观察型；真实平台必须设置保护区和限位，无硬件时采用可复现实验记录，不以宣传视频替代数据分析。</w:t>
            </w:r>
          </w:p>
        </w:tc>
        <w:tc>
          <w:tcPr>
            <w:tcW w:type="dxa" w:w="90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目标 1.5，2.5，3.5</w:t>
            </w:r>
          </w:p>
        </w:tc>
      </w:tr>
      <w:tr>
        <w:tc>
          <w:tcPr>
            <w:tcW w:type="dxa" w:w="1130"/>
            <w:vMerge/>
          </w:tcPr>
          <w:p/>
        </w:tc>
        <w:tc>
          <w:tcPr>
            <w:tcW w:type="dxa" w:w="1850"/>
            <w:vMerge/>
          </w:tcPr>
          <w:p/>
        </w:tc>
        <w:tc>
          <w:tcPr>
            <w:tcW w:type="dxa" w:w="560"/>
            <w:vMerge/>
          </w:tcPr>
          <w:p/>
        </w:tc>
        <w:tc>
          <w:tcPr>
            <w:tcW w:type="dxa" w:w="105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预期学习成果</w:t>
            </w:r>
          </w:p>
        </w:tc>
        <w:tc>
          <w:tcPr>
            <w:tcW w:type="dxa" w:w="38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知识层面：理解支撑、接触、稳定和模式切换。</w:t>
              <w:br/>
              <w:t>能力层面：能够从数据/轨迹比较足式与轮足式运动表现。</w:t>
              <w:br/>
              <w:t>素养层面：形成需求驱动、谨慎验证和不过度推断的工程态度。</w:t>
            </w:r>
          </w:p>
        </w:tc>
        <w:tc>
          <w:tcPr>
            <w:tcW w:type="dxa" w:w="900"/>
            <w:vMerge/>
          </w:tcPr>
          <w:p/>
        </w:tc>
      </w:tr>
      <w:tr>
        <w:tc>
          <w:tcPr>
            <w:tcW w:type="dxa" w:w="1130"/>
            <w:vMerge/>
          </w:tcPr>
          <w:p/>
        </w:tc>
        <w:tc>
          <w:tcPr>
            <w:tcW w:type="dxa" w:w="1850"/>
            <w:vMerge/>
          </w:tcPr>
          <w:p/>
        </w:tc>
        <w:tc>
          <w:tcPr>
            <w:tcW w:type="dxa" w:w="560"/>
            <w:vMerge/>
          </w:tcPr>
          <w:p/>
        </w:tc>
        <w:tc>
          <w:tcPr>
            <w:tcW w:type="dxa" w:w="105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教学方式</w:t>
            </w:r>
          </w:p>
        </w:tc>
        <w:tc>
          <w:tcPr>
            <w:tcW w:type="dxa" w:w="38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演示/仿真、数据标注、支撑分析、对比报告</w:t>
            </w:r>
          </w:p>
        </w:tc>
        <w:tc>
          <w:tcPr>
            <w:tcW w:type="dxa" w:w="900"/>
            <w:vMerge/>
          </w:tcPr>
          <w:p/>
        </w:tc>
      </w:tr>
    </w:tbl>
    <w:p>
      <w:pPr>
        <w:keepNext w:val="0"/>
        <w:spacing w:before="0" w:after="40" w:line="276" w:lineRule="auto"/>
      </w:pPr>
      <w:r>
        <w:rPr>
          <w:rFonts w:ascii="Times New Roman" w:hAnsi="Times New Roman" w:eastAsia="宋体" w:cs="Times New Roman"/>
          <w:b/>
          <w:sz w:val="21"/>
        </w:rPr>
        <w:t>实验总学时 8</w:t>
      </w:r>
    </w:p>
    <w:p>
      <w:pPr>
        <w:keepNext/>
        <w:spacing w:before="140" w:after="60" w:line="276" w:lineRule="auto"/>
      </w:pPr>
      <w:r>
        <w:rPr>
          <w:rFonts w:ascii="Times New Roman" w:hAnsi="Times New Roman" w:eastAsia="黑体" w:cs="Times New Roman"/>
          <w:b/>
          <w:sz w:val="28"/>
        </w:rPr>
        <w:t>五、上机教学环节及基本要求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130"/>
        <w:gridCol w:w="1850"/>
        <w:gridCol w:w="560"/>
        <w:gridCol w:w="1050"/>
        <w:gridCol w:w="3800"/>
        <w:gridCol w:w="900"/>
      </w:tblGrid>
      <w:tr>
        <w:trPr>
          <w:tblHeader w:val="true"/>
        </w:trPr>
        <w:tc>
          <w:tcPr>
            <w:tcW w:type="dxa" w:w="1130"/>
            <w:vAlign w:val="center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上机项目</w:t>
            </w:r>
          </w:p>
        </w:tc>
        <w:tc>
          <w:tcPr>
            <w:tcW w:type="dxa" w:w="1850"/>
            <w:vAlign w:val="center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上机内容</w:t>
            </w:r>
          </w:p>
        </w:tc>
        <w:tc>
          <w:tcPr>
            <w:tcW w:type="dxa" w:w="560"/>
            <w:vAlign w:val="center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学时</w:t>
            </w:r>
          </w:p>
        </w:tc>
        <w:tc>
          <w:tcPr>
            <w:tcW w:type="dxa" w:w="4850"/>
            <w:vAlign w:val="center"/>
            <w:gridSpan w:val="2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上机要求</w:t>
            </w:r>
          </w:p>
        </w:tc>
        <w:tc>
          <w:tcPr>
            <w:tcW w:type="dxa" w:w="900"/>
            <w:vAlign w:val="center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课程目标</w:t>
            </w:r>
          </w:p>
        </w:tc>
      </w:tr>
      <w:tr>
        <w:tc>
          <w:tcPr>
            <w:tcW w:type="dxa" w:w="113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上机一 Python空间数学与机器人模型</w:t>
            </w:r>
          </w:p>
        </w:tc>
        <w:tc>
          <w:tcPr>
            <w:tcW w:type="dxa" w:w="1850"/>
            <w:vMerge w:val="restart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使用NumPy和SpatialMath实现/调用二维与三维旋转、齐次变换、欧拉角、轴角、四元数和位姿插值；建立多坐标系链并可视化典型机器人构型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4</w:t>
            </w:r>
          </w:p>
        </w:tc>
        <w:tc>
          <w:tcPr>
            <w:tcW w:type="dxa" w:w="105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任务类型及思政融入点</w:t>
            </w:r>
          </w:p>
        </w:tc>
        <w:tc>
          <w:tcPr>
            <w:tcW w:type="dxa" w:w="38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验证+设计型；不重复Python基础语法，重点验证坐标、单位、乘法顺序和数值误差。</w:t>
            </w:r>
          </w:p>
        </w:tc>
        <w:tc>
          <w:tcPr>
            <w:tcW w:type="dxa" w:w="90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目标 1.1，2.1，3.1</w:t>
            </w:r>
          </w:p>
        </w:tc>
      </w:tr>
      <w:tr>
        <w:tc>
          <w:tcPr>
            <w:tcW w:type="dxa" w:w="1130"/>
            <w:vMerge/>
          </w:tcPr>
          <w:p/>
        </w:tc>
        <w:tc>
          <w:tcPr>
            <w:tcW w:type="dxa" w:w="1850"/>
            <w:vMerge/>
          </w:tcPr>
          <w:p/>
        </w:tc>
        <w:tc>
          <w:tcPr>
            <w:tcW w:type="dxa" w:w="560"/>
            <w:vMerge/>
          </w:tcPr>
          <w:p/>
        </w:tc>
        <w:tc>
          <w:tcPr>
            <w:tcW w:type="dxa" w:w="105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预期学习成果</w:t>
            </w:r>
          </w:p>
        </w:tc>
        <w:tc>
          <w:tcPr>
            <w:tcW w:type="dxa" w:w="38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知识层面：掌握位姿表示与变换。</w:t>
              <w:br/>
              <w:t>能力层面：完成位姿计算、可视化和多方法互证。</w:t>
              <w:br/>
              <w:t>素养层面：形成规范坐标约定和测试习惯。</w:t>
            </w:r>
          </w:p>
        </w:tc>
        <w:tc>
          <w:tcPr>
            <w:tcW w:type="dxa" w:w="900"/>
            <w:vMerge/>
          </w:tcPr>
          <w:p/>
        </w:tc>
      </w:tr>
      <w:tr>
        <w:tc>
          <w:tcPr>
            <w:tcW w:type="dxa" w:w="1130"/>
            <w:vMerge/>
          </w:tcPr>
          <w:p/>
        </w:tc>
        <w:tc>
          <w:tcPr>
            <w:tcW w:type="dxa" w:w="1850"/>
            <w:vMerge/>
          </w:tcPr>
          <w:p/>
        </w:tc>
        <w:tc>
          <w:tcPr>
            <w:tcW w:type="dxa" w:w="560"/>
            <w:vMerge/>
          </w:tcPr>
          <w:p/>
        </w:tc>
        <w:tc>
          <w:tcPr>
            <w:tcW w:type="dxa" w:w="105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教学方式</w:t>
            </w:r>
          </w:p>
        </w:tc>
        <w:tc>
          <w:tcPr>
            <w:tcW w:type="dxa" w:w="38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短讲解、Notebook/脚本、单元测试、可视化复盘</w:t>
            </w:r>
          </w:p>
        </w:tc>
        <w:tc>
          <w:tcPr>
            <w:tcW w:type="dxa" w:w="900"/>
            <w:vMerge/>
          </w:tcPr>
          <w:p/>
        </w:tc>
      </w:tr>
      <w:tr>
        <w:tc>
          <w:tcPr>
            <w:tcW w:type="dxa" w:w="113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上机二 串联机械臂运动学、工作空间与奇异性</w:t>
            </w:r>
          </w:p>
        </w:tc>
        <w:tc>
          <w:tcPr>
            <w:tcW w:type="dxa" w:w="1850"/>
            <w:vMerge w:val="restart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使用Robotics Toolbox for Python或自编函数建立2R/3R、SCARA和六轴机械臂；完成正/逆运动学、数值误差验证、工作空间蒙特卡罗分析、雅可比和奇异性可视化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4</w:t>
            </w:r>
          </w:p>
        </w:tc>
        <w:tc>
          <w:tcPr>
            <w:tcW w:type="dxa" w:w="105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任务类型及思政融入点</w:t>
            </w:r>
          </w:p>
        </w:tc>
        <w:tc>
          <w:tcPr>
            <w:tcW w:type="dxa" w:w="38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设计型；解析模型、数值结果和工具箱结果必须相互核验，记录无解/多解和关节限位处理。</w:t>
            </w:r>
          </w:p>
        </w:tc>
        <w:tc>
          <w:tcPr>
            <w:tcW w:type="dxa" w:w="90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目标 1.2，2.2，3.2</w:t>
            </w:r>
          </w:p>
        </w:tc>
      </w:tr>
      <w:tr>
        <w:tc>
          <w:tcPr>
            <w:tcW w:type="dxa" w:w="1130"/>
            <w:vMerge/>
          </w:tcPr>
          <w:p/>
        </w:tc>
        <w:tc>
          <w:tcPr>
            <w:tcW w:type="dxa" w:w="1850"/>
            <w:vMerge/>
          </w:tcPr>
          <w:p/>
        </w:tc>
        <w:tc>
          <w:tcPr>
            <w:tcW w:type="dxa" w:w="560"/>
            <w:vMerge/>
          </w:tcPr>
          <w:p/>
        </w:tc>
        <w:tc>
          <w:tcPr>
            <w:tcW w:type="dxa" w:w="105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预期学习成果</w:t>
            </w:r>
          </w:p>
        </w:tc>
        <w:tc>
          <w:tcPr>
            <w:tcW w:type="dxa" w:w="38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知识层面：掌握串联机械臂运动学和雅可比。</w:t>
              <w:br/>
              <w:t>能力层面：能够建模、求解、绘制工作空间并识别奇异区域。</w:t>
              <w:br/>
              <w:t>素养层面：形成不把库函数输出直接当作正确结论的验证责任。</w:t>
            </w:r>
          </w:p>
        </w:tc>
        <w:tc>
          <w:tcPr>
            <w:tcW w:type="dxa" w:w="900"/>
            <w:vMerge/>
          </w:tcPr>
          <w:p/>
        </w:tc>
      </w:tr>
      <w:tr>
        <w:tc>
          <w:tcPr>
            <w:tcW w:type="dxa" w:w="1130"/>
            <w:vMerge/>
          </w:tcPr>
          <w:p/>
        </w:tc>
        <w:tc>
          <w:tcPr>
            <w:tcW w:type="dxa" w:w="1850"/>
            <w:vMerge/>
          </w:tcPr>
          <w:p/>
        </w:tc>
        <w:tc>
          <w:tcPr>
            <w:tcW w:type="dxa" w:w="560"/>
            <w:vMerge/>
          </w:tcPr>
          <w:p/>
        </w:tc>
        <w:tc>
          <w:tcPr>
            <w:tcW w:type="dxa" w:w="105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教学方式</w:t>
            </w:r>
          </w:p>
        </w:tc>
        <w:tc>
          <w:tcPr>
            <w:tcW w:type="dxa" w:w="38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分段编码、工具箱模型、数值对照、边界测试</w:t>
            </w:r>
          </w:p>
        </w:tc>
        <w:tc>
          <w:tcPr>
            <w:tcW w:type="dxa" w:w="900"/>
            <w:vMerge/>
          </w:tcPr>
          <w:p/>
        </w:tc>
      </w:tr>
      <w:tr>
        <w:tc>
          <w:tcPr>
            <w:tcW w:type="dxa" w:w="113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上机三 轨迹、动力学与关节控制仿真</w:t>
            </w:r>
          </w:p>
        </w:tc>
        <w:tc>
          <w:tcPr>
            <w:tcW w:type="dxa" w:w="1850"/>
            <w:vMerge w:val="restart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生成梯形速度、三次/五次多项式关节轨迹及笛卡儿轨迹；比较位置、速度和加速度连续性；调用或建立简化动力学模型，分析重力、负载和速度影响；完成基础PID/前馈控制仿真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4</w:t>
            </w:r>
          </w:p>
        </w:tc>
        <w:tc>
          <w:tcPr>
            <w:tcW w:type="dxa" w:w="105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任务类型及思政融入点</w:t>
            </w:r>
          </w:p>
        </w:tc>
        <w:tc>
          <w:tcPr>
            <w:tcW w:type="dxa" w:w="38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设计型；模型参数与时间步长必须记录，曲线需标注单位，控制结果同时评价误差、输入和约束。</w:t>
            </w:r>
          </w:p>
        </w:tc>
        <w:tc>
          <w:tcPr>
            <w:tcW w:type="dxa" w:w="90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目标 1.3，2.3，3.3</w:t>
            </w:r>
          </w:p>
        </w:tc>
      </w:tr>
      <w:tr>
        <w:tc>
          <w:tcPr>
            <w:tcW w:type="dxa" w:w="1130"/>
            <w:vMerge/>
          </w:tcPr>
          <w:p/>
        </w:tc>
        <w:tc>
          <w:tcPr>
            <w:tcW w:type="dxa" w:w="1850"/>
            <w:vMerge/>
          </w:tcPr>
          <w:p/>
        </w:tc>
        <w:tc>
          <w:tcPr>
            <w:tcW w:type="dxa" w:w="560"/>
            <w:vMerge/>
          </w:tcPr>
          <w:p/>
        </w:tc>
        <w:tc>
          <w:tcPr>
            <w:tcW w:type="dxa" w:w="105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预期学习成果</w:t>
            </w:r>
          </w:p>
        </w:tc>
        <w:tc>
          <w:tcPr>
            <w:tcW w:type="dxa" w:w="38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知识层面：理解轨迹、动力学和控制基础。</w:t>
              <w:br/>
              <w:t>能力层面：完成轨迹与动态响应仿真并解释参数影响。</w:t>
              <w:br/>
              <w:t>素养层面：形成物理解释、数值稳定和安全约束意识。</w:t>
            </w:r>
          </w:p>
        </w:tc>
        <w:tc>
          <w:tcPr>
            <w:tcW w:type="dxa" w:w="900"/>
            <w:vMerge/>
          </w:tcPr>
          <w:p/>
        </w:tc>
      </w:tr>
      <w:tr>
        <w:tc>
          <w:tcPr>
            <w:tcW w:type="dxa" w:w="1130"/>
            <w:vMerge/>
          </w:tcPr>
          <w:p/>
        </w:tc>
        <w:tc>
          <w:tcPr>
            <w:tcW w:type="dxa" w:w="1850"/>
            <w:vMerge/>
          </w:tcPr>
          <w:p/>
        </w:tc>
        <w:tc>
          <w:tcPr>
            <w:tcW w:type="dxa" w:w="560"/>
            <w:vMerge/>
          </w:tcPr>
          <w:p/>
        </w:tc>
        <w:tc>
          <w:tcPr>
            <w:tcW w:type="dxa" w:w="105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教学方式</w:t>
            </w:r>
          </w:p>
        </w:tc>
        <w:tc>
          <w:tcPr>
            <w:tcW w:type="dxa" w:w="38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Python仿真、参数扫描、曲线比较、错因分析</w:t>
            </w:r>
          </w:p>
        </w:tc>
        <w:tc>
          <w:tcPr>
            <w:tcW w:type="dxa" w:w="900"/>
            <w:vMerge/>
          </w:tcPr>
          <w:p/>
        </w:tc>
      </w:tr>
      <w:tr>
        <w:tc>
          <w:tcPr>
            <w:tcW w:type="dxa" w:w="113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上机四 移动机器人规划、跟踪与多构型比较</w:t>
            </w:r>
          </w:p>
        </w:tc>
        <w:tc>
          <w:tcPr>
            <w:tcW w:type="dxa" w:w="1850"/>
            <w:vMerge w:val="restart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建立差速/自行车或全向移动模型；完成里程计、栅格/A*或采样规划、纯追踪/姿态控制；比较轮式与简化轮足/足式平台在平地、狭窄通道和越障场景中的任务指标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4</w:t>
            </w:r>
          </w:p>
        </w:tc>
        <w:tc>
          <w:tcPr>
            <w:tcW w:type="dxa" w:w="105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任务类型及思政融入点</w:t>
            </w:r>
          </w:p>
        </w:tc>
        <w:tc>
          <w:tcPr>
            <w:tcW w:type="dxa" w:w="38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综合型；地图、起终点、约束、随机种子和评价指标固定并可复现，必须分析规划失败和跟踪偏差。</w:t>
            </w:r>
          </w:p>
        </w:tc>
        <w:tc>
          <w:tcPr>
            <w:tcW w:type="dxa" w:w="90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目标 1.4，1.5，2.4，2.5，3.4，3.5</w:t>
            </w:r>
          </w:p>
        </w:tc>
      </w:tr>
      <w:tr>
        <w:tc>
          <w:tcPr>
            <w:tcW w:type="dxa" w:w="1130"/>
            <w:vMerge/>
          </w:tcPr>
          <w:p/>
        </w:tc>
        <w:tc>
          <w:tcPr>
            <w:tcW w:type="dxa" w:w="1850"/>
            <w:vMerge/>
          </w:tcPr>
          <w:p/>
        </w:tc>
        <w:tc>
          <w:tcPr>
            <w:tcW w:type="dxa" w:w="560"/>
            <w:vMerge/>
          </w:tcPr>
          <w:p/>
        </w:tc>
        <w:tc>
          <w:tcPr>
            <w:tcW w:type="dxa" w:w="105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预期学习成果</w:t>
            </w:r>
          </w:p>
        </w:tc>
        <w:tc>
          <w:tcPr>
            <w:tcW w:type="dxa" w:w="38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知识层面：掌握移动机器人建模、规划和跟踪基础。</w:t>
              <w:br/>
              <w:t>能力层面：实现路径与控制仿真并比较不同构型适用场景。</w:t>
              <w:br/>
              <w:t>素养层面：形成场景驱动、风险分析和模型边界意识。</w:t>
            </w:r>
          </w:p>
        </w:tc>
        <w:tc>
          <w:tcPr>
            <w:tcW w:type="dxa" w:w="900"/>
            <w:vMerge/>
          </w:tcPr>
          <w:p/>
        </w:tc>
      </w:tr>
      <w:tr>
        <w:tc>
          <w:tcPr>
            <w:tcW w:type="dxa" w:w="1130"/>
            <w:vMerge/>
          </w:tcPr>
          <w:p/>
        </w:tc>
        <w:tc>
          <w:tcPr>
            <w:tcW w:type="dxa" w:w="1850"/>
            <w:vMerge/>
          </w:tcPr>
          <w:p/>
        </w:tc>
        <w:tc>
          <w:tcPr>
            <w:tcW w:type="dxa" w:w="560"/>
            <w:vMerge/>
          </w:tcPr>
          <w:p/>
        </w:tc>
        <w:tc>
          <w:tcPr>
            <w:tcW w:type="dxa" w:w="105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教学方式</w:t>
            </w:r>
          </w:p>
        </w:tc>
        <w:tc>
          <w:tcPr>
            <w:tcW w:type="dxa" w:w="38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Python建模、算法对比、场景测试、结果汇报</w:t>
            </w:r>
          </w:p>
        </w:tc>
        <w:tc>
          <w:tcPr>
            <w:tcW w:type="dxa" w:w="900"/>
            <w:vMerge/>
          </w:tcPr>
          <w:p/>
        </w:tc>
      </w:tr>
    </w:tbl>
    <w:p>
      <w:pPr>
        <w:keepNext w:val="0"/>
        <w:spacing w:before="0" w:after="40" w:line="276" w:lineRule="auto"/>
      </w:pPr>
      <w:r>
        <w:rPr>
          <w:rFonts w:ascii="Times New Roman" w:hAnsi="Times New Roman" w:eastAsia="宋体" w:cs="Times New Roman"/>
          <w:b/>
          <w:sz w:val="21"/>
        </w:rPr>
        <w:t>上机总学时 16</w:t>
      </w:r>
    </w:p>
    <w:p>
      <w:pPr>
        <w:keepNext/>
        <w:spacing w:before="140" w:after="60" w:line="276" w:lineRule="auto"/>
      </w:pPr>
      <w:r>
        <w:rPr>
          <w:rFonts w:ascii="Times New Roman" w:hAnsi="Times New Roman" w:eastAsia="黑体" w:cs="Times New Roman"/>
          <w:b/>
          <w:sz w:val="28"/>
        </w:rPr>
        <w:t>六、项目式教学环节及基本要求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130"/>
        <w:gridCol w:w="1850"/>
        <w:gridCol w:w="560"/>
        <w:gridCol w:w="1050"/>
        <w:gridCol w:w="3800"/>
        <w:gridCol w:w="900"/>
      </w:tblGrid>
      <w:tr>
        <w:trPr>
          <w:tblHeader w:val="true"/>
        </w:trPr>
        <w:tc>
          <w:tcPr>
            <w:tcW w:type="dxa" w:w="1130"/>
            <w:vAlign w:val="center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项目阶段</w:t>
            </w:r>
          </w:p>
        </w:tc>
        <w:tc>
          <w:tcPr>
            <w:tcW w:type="dxa" w:w="1850"/>
            <w:vAlign w:val="center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项目内容</w:t>
            </w:r>
          </w:p>
        </w:tc>
        <w:tc>
          <w:tcPr>
            <w:tcW w:type="dxa" w:w="560"/>
            <w:vAlign w:val="center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学时</w:t>
            </w:r>
          </w:p>
        </w:tc>
        <w:tc>
          <w:tcPr>
            <w:tcW w:type="dxa" w:w="4850"/>
            <w:vAlign w:val="center"/>
            <w:gridSpan w:val="2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项目要求</w:t>
            </w:r>
          </w:p>
        </w:tc>
        <w:tc>
          <w:tcPr>
            <w:tcW w:type="dxa" w:w="900"/>
            <w:vAlign w:val="center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课程目标</w:t>
            </w:r>
          </w:p>
        </w:tc>
      </w:tr>
      <w:tr>
        <w:tc>
          <w:tcPr>
            <w:tcW w:type="dxa" w:w="113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项目一 机器人任务定义与系统建模</w:t>
            </w:r>
          </w:p>
        </w:tc>
        <w:tc>
          <w:tcPr>
            <w:tcW w:type="dxa" w:w="1850"/>
            <w:vMerge w:val="restart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从机械臂抓取/装配、仓储移动、轮足巡检或移动操作中选择任务；形成需求、坐标系/状态、机器人模型、环境与约束、指标、安全边界、算法方案和测试计划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4</w:t>
            </w:r>
          </w:p>
        </w:tc>
        <w:tc>
          <w:tcPr>
            <w:tcW w:type="dxa" w:w="105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任务类型及思政融入点</w:t>
            </w:r>
          </w:p>
        </w:tc>
        <w:tc>
          <w:tcPr>
            <w:tcW w:type="dxa" w:w="38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综合设计型；项目不得只做界面或动画，必须包含可验证机器人模型与至少一种算法。</w:t>
            </w:r>
          </w:p>
        </w:tc>
        <w:tc>
          <w:tcPr>
            <w:tcW w:type="dxa" w:w="90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目标 1.1—1.6，2.1—2.6，3.1—3.6</w:t>
            </w:r>
          </w:p>
        </w:tc>
      </w:tr>
      <w:tr>
        <w:tc>
          <w:tcPr>
            <w:tcW w:type="dxa" w:w="1130"/>
            <w:vMerge/>
          </w:tcPr>
          <w:p/>
        </w:tc>
        <w:tc>
          <w:tcPr>
            <w:tcW w:type="dxa" w:w="1850"/>
            <w:vMerge/>
          </w:tcPr>
          <w:p/>
        </w:tc>
        <w:tc>
          <w:tcPr>
            <w:tcW w:type="dxa" w:w="560"/>
            <w:vMerge/>
          </w:tcPr>
          <w:p/>
        </w:tc>
        <w:tc>
          <w:tcPr>
            <w:tcW w:type="dxa" w:w="105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预期学习成果</w:t>
            </w:r>
          </w:p>
        </w:tc>
        <w:tc>
          <w:tcPr>
            <w:tcW w:type="dxa" w:w="38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知识层面：综合机器人构型、运动学/动力学、移动模型和系统安全。</w:t>
              <w:br/>
              <w:t>能力层面：完成需求、模型、接口、算法和测试方案设计。</w:t>
              <w:br/>
              <w:t>素养层面：形成团队分工、接口契约和风险前置意识。</w:t>
            </w:r>
          </w:p>
        </w:tc>
        <w:tc>
          <w:tcPr>
            <w:tcW w:type="dxa" w:w="900"/>
            <w:vMerge/>
          </w:tcPr>
          <w:p/>
        </w:tc>
      </w:tr>
      <w:tr>
        <w:tc>
          <w:tcPr>
            <w:tcW w:type="dxa" w:w="1130"/>
            <w:vMerge/>
          </w:tcPr>
          <w:p/>
        </w:tc>
        <w:tc>
          <w:tcPr>
            <w:tcW w:type="dxa" w:w="1850"/>
            <w:vMerge/>
          </w:tcPr>
          <w:p/>
        </w:tc>
        <w:tc>
          <w:tcPr>
            <w:tcW w:type="dxa" w:w="560"/>
            <w:vMerge/>
          </w:tcPr>
          <w:p/>
        </w:tc>
        <w:tc>
          <w:tcPr>
            <w:tcW w:type="dxa" w:w="105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教学方式</w:t>
            </w:r>
          </w:p>
        </w:tc>
        <w:tc>
          <w:tcPr>
            <w:tcW w:type="dxa" w:w="38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团队设计、方案评审、模型原型、测试设计</w:t>
            </w:r>
          </w:p>
        </w:tc>
        <w:tc>
          <w:tcPr>
            <w:tcW w:type="dxa" w:w="900"/>
            <w:vMerge/>
          </w:tcPr>
          <w:p/>
        </w:tc>
      </w:tr>
      <w:tr>
        <w:tc>
          <w:tcPr>
            <w:tcW w:type="dxa" w:w="113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项目二 Python机器人系统实现、验证与答辩</w:t>
            </w:r>
          </w:p>
        </w:tc>
        <w:tc>
          <w:tcPr>
            <w:tcW w:type="dxa" w:w="1850"/>
            <w:vMerge w:val="restart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完成Python模型与仿真；实现运动学/规划/控制中的核心链路；记录数据、轨迹、误差、异常与安全测试；提交代码、模型、说明书和演示；完成个人现场解释或修改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4</w:t>
            </w:r>
          </w:p>
        </w:tc>
        <w:tc>
          <w:tcPr>
            <w:tcW w:type="dxa" w:w="105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任务类型及思政融入点</w:t>
            </w:r>
          </w:p>
        </w:tc>
        <w:tc>
          <w:tcPr>
            <w:tcW w:type="dxa" w:w="38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综合实践型；代码、参数、版本、数据和个人贡献必须可追溯，所有工具/AI生成内容由提交者负责验证。</w:t>
            </w:r>
          </w:p>
        </w:tc>
        <w:tc>
          <w:tcPr>
            <w:tcW w:type="dxa" w:w="90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目标 2.1—2.6，3.1—3.6</w:t>
            </w:r>
          </w:p>
        </w:tc>
      </w:tr>
      <w:tr>
        <w:tc>
          <w:tcPr>
            <w:tcW w:type="dxa" w:w="1130"/>
            <w:vMerge/>
          </w:tcPr>
          <w:p/>
        </w:tc>
        <w:tc>
          <w:tcPr>
            <w:tcW w:type="dxa" w:w="1850"/>
            <w:vMerge/>
          </w:tcPr>
          <w:p/>
        </w:tc>
        <w:tc>
          <w:tcPr>
            <w:tcW w:type="dxa" w:w="560"/>
            <w:vMerge/>
          </w:tcPr>
          <w:p/>
        </w:tc>
        <w:tc>
          <w:tcPr>
            <w:tcW w:type="dxa" w:w="105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预期学习成果</w:t>
            </w:r>
          </w:p>
        </w:tc>
        <w:tc>
          <w:tcPr>
            <w:tcW w:type="dxa" w:w="38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知识层面：综合理解机器人模型、算法与系统链路。</w:t>
              <w:br/>
              <w:t>能力层面：完成可运行、可复现、可解释的项目并现场定位问题。</w:t>
              <w:br/>
              <w:t>素养层面：形成工程交付、协作、诚信和持续改进意识。</w:t>
            </w:r>
          </w:p>
        </w:tc>
        <w:tc>
          <w:tcPr>
            <w:tcW w:type="dxa" w:w="900"/>
            <w:vMerge/>
          </w:tcPr>
          <w:p/>
        </w:tc>
      </w:tr>
      <w:tr>
        <w:tc>
          <w:tcPr>
            <w:tcW w:type="dxa" w:w="1130"/>
            <w:vMerge/>
          </w:tcPr>
          <w:p/>
        </w:tc>
        <w:tc>
          <w:tcPr>
            <w:tcW w:type="dxa" w:w="1850"/>
            <w:vMerge/>
          </w:tcPr>
          <w:p/>
        </w:tc>
        <w:tc>
          <w:tcPr>
            <w:tcW w:type="dxa" w:w="560"/>
            <w:vMerge/>
          </w:tcPr>
          <w:p/>
        </w:tc>
        <w:tc>
          <w:tcPr>
            <w:tcW w:type="dxa" w:w="105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教学方式</w:t>
            </w:r>
          </w:p>
        </w:tc>
        <w:tc>
          <w:tcPr>
            <w:tcW w:type="dxa" w:w="38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迭代开发、测试验收、演示、个人答辩</w:t>
            </w:r>
          </w:p>
        </w:tc>
        <w:tc>
          <w:tcPr>
            <w:tcW w:type="dxa" w:w="900"/>
            <w:vMerge/>
          </w:tcPr>
          <w:p/>
        </w:tc>
      </w:tr>
    </w:tbl>
    <w:p>
      <w:pPr>
        <w:keepNext w:val="0"/>
        <w:spacing w:before="0" w:after="40" w:line="276" w:lineRule="auto"/>
      </w:pPr>
      <w:r>
        <w:rPr>
          <w:rFonts w:ascii="Times New Roman" w:hAnsi="Times New Roman" w:eastAsia="宋体" w:cs="Times New Roman"/>
          <w:b/>
          <w:sz w:val="21"/>
        </w:rPr>
        <w:t>项目式总学时 8</w:t>
      </w:r>
    </w:p>
    <w:p>
      <w:pPr>
        <w:keepNext/>
        <w:spacing w:before="140" w:after="60" w:line="276" w:lineRule="auto"/>
      </w:pPr>
      <w:r>
        <w:rPr>
          <w:rFonts w:ascii="Times New Roman" w:hAnsi="Times New Roman" w:eastAsia="黑体" w:cs="Times New Roman"/>
          <w:b/>
          <w:sz w:val="28"/>
        </w:rPr>
        <w:t>七、课程评价</w:t>
      </w:r>
    </w:p>
    <w:p>
      <w:pPr>
        <w:keepNext/>
        <w:spacing w:before="80" w:after="40" w:line="276" w:lineRule="auto"/>
      </w:pPr>
      <w:r>
        <w:rPr>
          <w:rFonts w:ascii="Times New Roman" w:hAnsi="Times New Roman" w:eastAsia="宋体" w:cs="Times New Roman"/>
          <w:b/>
          <w:sz w:val="24"/>
        </w:rPr>
        <w:t>（一）考核内容、考核方式与课程目标对应关系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250"/>
        <w:gridCol w:w="510"/>
        <w:gridCol w:w="510"/>
        <w:gridCol w:w="510"/>
        <w:gridCol w:w="510"/>
        <w:gridCol w:w="1050"/>
        <w:gridCol w:w="800"/>
        <w:gridCol w:w="850"/>
        <w:gridCol w:w="850"/>
        <w:gridCol w:w="1450"/>
      </w:tblGrid>
      <w:tr>
        <w:trPr>
          <w:tblHeader w:val="true"/>
        </w:trPr>
        <w:tc>
          <w:tcPr>
            <w:tcW w:type="dxa" w:w="1250"/>
            <w:vAlign w:val="center"/>
            <w:vMerge w:val="restart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5"/>
              </w:rPr>
              <w:t>考核内容</w:t>
            </w:r>
          </w:p>
        </w:tc>
        <w:tc>
          <w:tcPr>
            <w:tcW w:type="dxa" w:w="510"/>
            <w:vAlign w:val="center"/>
            <w:vMerge w:val="restart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5"/>
              </w:rPr>
              <w:t>理论学时</w:t>
            </w:r>
          </w:p>
        </w:tc>
        <w:tc>
          <w:tcPr>
            <w:tcW w:type="dxa" w:w="510"/>
            <w:vAlign w:val="center"/>
            <w:vMerge w:val="restart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5"/>
              </w:rPr>
              <w:t>实验学时</w:t>
            </w:r>
          </w:p>
        </w:tc>
        <w:tc>
          <w:tcPr>
            <w:tcW w:type="dxa" w:w="510"/>
            <w:vAlign w:val="center"/>
            <w:vMerge w:val="restart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5"/>
              </w:rPr>
              <w:t>上机学时</w:t>
            </w:r>
          </w:p>
        </w:tc>
        <w:tc>
          <w:tcPr>
            <w:tcW w:type="dxa" w:w="510"/>
            <w:vAlign w:val="center"/>
            <w:vMerge w:val="restart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5"/>
              </w:rPr>
              <w:t>项目式学时</w:t>
            </w:r>
          </w:p>
        </w:tc>
        <w:tc>
          <w:tcPr>
            <w:tcW w:type="dxa" w:w="3550"/>
            <w:vAlign w:val="center"/>
            <w:gridSpan w:val="4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考核方式及占比（100%）</w:t>
            </w:r>
          </w:p>
        </w:tc>
        <w:tc>
          <w:tcPr>
            <w:tcW w:type="dxa" w:w="1450"/>
            <w:vAlign w:val="center"/>
            <w:vMerge w:val="restart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5"/>
              </w:rPr>
              <w:t>课程目标</w:t>
            </w:r>
          </w:p>
        </w:tc>
      </w:tr>
      <w:tr>
        <w:trPr>
          <w:tblHeader w:val="true"/>
        </w:trPr>
        <w:tc>
          <w:tcPr>
            <w:tcW w:type="dxa" w:w="1250"/>
            <w:vAlign w:val="center"/>
            <w:vMerge/>
            <w:tcMar>
              <w:top w:w="70" w:type="dxa"/>
              <w:bottom w:w="70" w:type="dxa"/>
              <w:start w:w="70" w:type="dxa"/>
              <w:end w:w="70" w:type="dxa"/>
            </w:tcMar>
          </w:tcPr>
          <w:p/>
        </w:tc>
        <w:tc>
          <w:tcPr>
            <w:tcW w:type="dxa" w:w="510"/>
            <w:vAlign w:val="center"/>
            <w:vMerge/>
            <w:tcMar>
              <w:top w:w="70" w:type="dxa"/>
              <w:bottom w:w="70" w:type="dxa"/>
              <w:start w:w="70" w:type="dxa"/>
              <w:end w:w="70" w:type="dxa"/>
            </w:tcMar>
          </w:tcPr>
          <w:p/>
        </w:tc>
        <w:tc>
          <w:tcPr>
            <w:tcW w:type="dxa" w:w="510"/>
            <w:vAlign w:val="center"/>
            <w:vMerge/>
            <w:tcMar>
              <w:top w:w="70" w:type="dxa"/>
              <w:bottom w:w="70" w:type="dxa"/>
              <w:start w:w="70" w:type="dxa"/>
              <w:end w:w="70" w:type="dxa"/>
            </w:tcMar>
          </w:tcPr>
          <w:p/>
        </w:tc>
        <w:tc>
          <w:tcPr>
            <w:tcW w:type="dxa" w:w="510"/>
            <w:vAlign w:val="center"/>
            <w:vMerge/>
            <w:tcMar>
              <w:top w:w="70" w:type="dxa"/>
              <w:bottom w:w="70" w:type="dxa"/>
              <w:start w:w="70" w:type="dxa"/>
              <w:end w:w="70" w:type="dxa"/>
            </w:tcMar>
          </w:tcPr>
          <w:p/>
        </w:tc>
        <w:tc>
          <w:tcPr>
            <w:tcW w:type="dxa" w:w="510"/>
            <w:vAlign w:val="center"/>
            <w:vMerge/>
            <w:tcMar>
              <w:top w:w="70" w:type="dxa"/>
              <w:bottom w:w="70" w:type="dxa"/>
              <w:start w:w="70" w:type="dxa"/>
              <w:end w:w="70" w:type="dxa"/>
            </w:tcMar>
          </w:tcPr>
          <w:p/>
        </w:tc>
        <w:tc>
          <w:tcPr>
            <w:tcW w:type="dxa" w:w="1050"/>
            <w:vAlign w:val="center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4"/>
              </w:rPr>
              <w:t>平时表现（15%）</w:t>
            </w:r>
          </w:p>
        </w:tc>
        <w:tc>
          <w:tcPr>
            <w:tcW w:type="dxa" w:w="800"/>
            <w:vAlign w:val="center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4"/>
              </w:rPr>
              <w:t>实验与上机（25%）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4"/>
              </w:rPr>
              <w:t>综合项目（25%）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4"/>
              </w:rPr>
              <w:t>期末考试（35%）</w:t>
            </w:r>
          </w:p>
        </w:tc>
        <w:tc>
          <w:tcPr>
            <w:tcW w:type="dxa" w:w="1450"/>
            <w:vAlign w:val="center"/>
            <w:vMerge/>
            <w:tcMar>
              <w:top w:w="70" w:type="dxa"/>
              <w:bottom w:w="70" w:type="dxa"/>
              <w:start w:w="70" w:type="dxa"/>
              <w:end w:w="70" w:type="dxa"/>
            </w:tcMar>
          </w:tcPr>
          <w:p/>
        </w:tc>
      </w:tr>
      <w:tr>
        <w:tc>
          <w:tcPr>
            <w:tcW w:type="dxa" w:w="125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4"/>
              </w:rPr>
              <w:t>第一单元 机器人体系与空间数学</w:t>
            </w:r>
          </w:p>
        </w:tc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4"/>
              </w:rPr>
              <w:t>4</w:t>
            </w:r>
          </w:p>
        </w:tc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4"/>
              </w:rPr>
              <w:t>0</w:t>
            </w:r>
          </w:p>
        </w:tc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4"/>
              </w:rPr>
              <w:t>4</w:t>
            </w:r>
          </w:p>
        </w:tc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4"/>
              </w:rPr>
              <w:t>0</w:t>
            </w:r>
          </w:p>
        </w:tc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4"/>
              </w:rPr>
              <w:t>全过程</w:t>
            </w:r>
          </w:p>
        </w:tc>
        <w:tc>
          <w:tcPr>
            <w:tcW w:type="dxa" w:w="80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4"/>
              </w:rPr>
              <w:t>10%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4"/>
              </w:rPr>
              <w:t>10%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4"/>
              </w:rPr>
              <w:t>10%</w:t>
            </w:r>
          </w:p>
        </w:tc>
        <w:tc>
          <w:tcPr>
            <w:tcW w:type="dxa" w:w="14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4"/>
              </w:rPr>
              <w:t>目标 1.1，2.1，3.1</w:t>
            </w:r>
          </w:p>
        </w:tc>
      </w:tr>
      <w:tr>
        <w:tc>
          <w:tcPr>
            <w:tcW w:type="dxa" w:w="125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4"/>
              </w:rPr>
              <w:t>第二单元 串联机器人运动学</w:t>
            </w:r>
          </w:p>
        </w:tc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4"/>
              </w:rPr>
              <w:t>6</w:t>
            </w:r>
          </w:p>
        </w:tc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4"/>
              </w:rPr>
              <w:t>2</w:t>
            </w:r>
          </w:p>
        </w:tc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4"/>
              </w:rPr>
              <w:t>4</w:t>
            </w:r>
          </w:p>
        </w:tc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4"/>
              </w:rPr>
              <w:t>0</w:t>
            </w:r>
          </w:p>
        </w:tc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4"/>
              </w:rPr>
              <w:t>全过程</w:t>
            </w:r>
          </w:p>
        </w:tc>
        <w:tc>
          <w:tcPr>
            <w:tcW w:type="dxa" w:w="80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4"/>
              </w:rPr>
              <w:t>25%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4"/>
              </w:rPr>
              <w:t>15%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4"/>
              </w:rPr>
              <w:t>25%</w:t>
            </w:r>
          </w:p>
        </w:tc>
        <w:tc>
          <w:tcPr>
            <w:tcW w:type="dxa" w:w="14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4"/>
              </w:rPr>
              <w:t>目标 1.2，2.2，3.2</w:t>
            </w:r>
          </w:p>
        </w:tc>
      </w:tr>
      <w:tr>
        <w:tc>
          <w:tcPr>
            <w:tcW w:type="dxa" w:w="125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4"/>
              </w:rPr>
              <w:t>第三单元 雅可比、轨迹与动力学</w:t>
            </w:r>
          </w:p>
        </w:tc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4"/>
              </w:rPr>
              <w:t>6</w:t>
            </w:r>
          </w:p>
        </w:tc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4"/>
              </w:rPr>
              <w:t>2</w:t>
            </w:r>
          </w:p>
        </w:tc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4"/>
              </w:rPr>
              <w:t>4</w:t>
            </w:r>
          </w:p>
        </w:tc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4"/>
              </w:rPr>
              <w:t>0</w:t>
            </w:r>
          </w:p>
        </w:tc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4"/>
              </w:rPr>
              <w:t>全过程</w:t>
            </w:r>
          </w:p>
        </w:tc>
        <w:tc>
          <w:tcPr>
            <w:tcW w:type="dxa" w:w="80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4"/>
              </w:rPr>
              <w:t>25%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4"/>
              </w:rPr>
              <w:t>20%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4"/>
              </w:rPr>
              <w:t>25%</w:t>
            </w:r>
          </w:p>
        </w:tc>
        <w:tc>
          <w:tcPr>
            <w:tcW w:type="dxa" w:w="14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4"/>
              </w:rPr>
              <w:t>目标 1.3，2.3，3.3</w:t>
            </w:r>
          </w:p>
        </w:tc>
      </w:tr>
      <w:tr>
        <w:tc>
          <w:tcPr>
            <w:tcW w:type="dxa" w:w="125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4"/>
              </w:rPr>
              <w:t>第四单元 轮式移动机器人</w:t>
            </w:r>
          </w:p>
        </w:tc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4"/>
              </w:rPr>
              <w:t>4</w:t>
            </w:r>
          </w:p>
        </w:tc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4"/>
              </w:rPr>
              <w:t>2</w:t>
            </w:r>
          </w:p>
        </w:tc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4"/>
              </w:rPr>
              <w:t>4</w:t>
            </w:r>
          </w:p>
        </w:tc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4"/>
              </w:rPr>
              <w:t>0</w:t>
            </w:r>
          </w:p>
        </w:tc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4"/>
              </w:rPr>
              <w:t>全过程</w:t>
            </w:r>
          </w:p>
        </w:tc>
        <w:tc>
          <w:tcPr>
            <w:tcW w:type="dxa" w:w="80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4"/>
              </w:rPr>
              <w:t>20%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4"/>
              </w:rPr>
              <w:t>20%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4"/>
              </w:rPr>
              <w:t>20%</w:t>
            </w:r>
          </w:p>
        </w:tc>
        <w:tc>
          <w:tcPr>
            <w:tcW w:type="dxa" w:w="14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4"/>
              </w:rPr>
              <w:t>目标 1.4，2.4，3.4</w:t>
            </w:r>
          </w:p>
        </w:tc>
      </w:tr>
      <w:tr>
        <w:tc>
          <w:tcPr>
            <w:tcW w:type="dxa" w:w="125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4"/>
              </w:rPr>
              <w:t>第五单元 足式与轮足式机器人</w:t>
            </w:r>
          </w:p>
        </w:tc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4"/>
              </w:rPr>
              <w:t>2</w:t>
            </w:r>
          </w:p>
        </w:tc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4"/>
              </w:rPr>
              <w:t>2</w:t>
            </w:r>
          </w:p>
        </w:tc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4"/>
              </w:rPr>
              <w:t>0</w:t>
            </w:r>
          </w:p>
        </w:tc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4"/>
              </w:rPr>
              <w:t>0</w:t>
            </w:r>
          </w:p>
        </w:tc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4"/>
              </w:rPr>
              <w:t>全过程</w:t>
            </w:r>
          </w:p>
        </w:tc>
        <w:tc>
          <w:tcPr>
            <w:tcW w:type="dxa" w:w="80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4"/>
              </w:rPr>
              <w:t>10%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4"/>
              </w:rPr>
              <w:t>15%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4"/>
              </w:rPr>
              <w:t>10%</w:t>
            </w:r>
          </w:p>
        </w:tc>
        <w:tc>
          <w:tcPr>
            <w:tcW w:type="dxa" w:w="14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4"/>
              </w:rPr>
              <w:t>目标 1.5，2.5，3.5</w:t>
            </w:r>
          </w:p>
        </w:tc>
      </w:tr>
      <w:tr>
        <w:tc>
          <w:tcPr>
            <w:tcW w:type="dxa" w:w="125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4"/>
              </w:rPr>
              <w:t>第六单元 系统应用与安全</w:t>
            </w:r>
          </w:p>
        </w:tc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4"/>
              </w:rPr>
              <w:t>2</w:t>
            </w:r>
          </w:p>
        </w:tc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4"/>
              </w:rPr>
              <w:t>0</w:t>
            </w:r>
          </w:p>
        </w:tc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4"/>
              </w:rPr>
              <w:t>0</w:t>
            </w:r>
          </w:p>
        </w:tc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4"/>
              </w:rPr>
              <w:t>8</w:t>
            </w:r>
          </w:p>
        </w:tc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4"/>
              </w:rPr>
              <w:t>全过程</w:t>
            </w:r>
          </w:p>
        </w:tc>
        <w:tc>
          <w:tcPr>
            <w:tcW w:type="dxa" w:w="80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4"/>
              </w:rPr>
              <w:t>10%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4"/>
              </w:rPr>
              <w:t>20%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4"/>
              </w:rPr>
              <w:t>10%</w:t>
            </w:r>
          </w:p>
        </w:tc>
        <w:tc>
          <w:tcPr>
            <w:tcW w:type="dxa" w:w="14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4"/>
              </w:rPr>
              <w:t>目标 1.6，2.6，3.6</w:t>
            </w:r>
          </w:p>
        </w:tc>
      </w:tr>
      <w:tr>
        <w:tc>
          <w:tcPr>
            <w:tcW w:type="dxa" w:w="125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5"/>
              </w:rPr>
              <w:t>合计</w:t>
            </w:r>
          </w:p>
        </w:tc>
        <w:tc>
          <w:tcPr>
            <w:tcW w:type="dxa" w:w="51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5"/>
              </w:rPr>
              <w:t>24</w:t>
            </w:r>
          </w:p>
        </w:tc>
        <w:tc>
          <w:tcPr>
            <w:tcW w:type="dxa" w:w="51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5"/>
              </w:rPr>
              <w:t>8</w:t>
            </w:r>
          </w:p>
        </w:tc>
        <w:tc>
          <w:tcPr>
            <w:tcW w:type="dxa" w:w="51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5"/>
              </w:rPr>
              <w:t>16</w:t>
            </w:r>
          </w:p>
        </w:tc>
        <w:tc>
          <w:tcPr>
            <w:tcW w:type="dxa" w:w="51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5"/>
              </w:rPr>
              <w:t>8</w:t>
            </w:r>
          </w:p>
        </w:tc>
        <w:tc>
          <w:tcPr>
            <w:tcW w:type="dxa" w:w="105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5"/>
              </w:rPr>
              <w:t>—</w:t>
            </w:r>
          </w:p>
        </w:tc>
        <w:tc>
          <w:tcPr>
            <w:tcW w:type="dxa" w:w="80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5"/>
              </w:rPr>
              <w:t>100%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5"/>
              </w:rPr>
              <w:t>100%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5"/>
              </w:rPr>
              <w:t>100%</w:t>
            </w:r>
          </w:p>
        </w:tc>
        <w:tc>
          <w:tcPr>
            <w:tcW w:type="dxa" w:w="145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5"/>
              </w:rPr>
              <w:t>—</w:t>
            </w:r>
          </w:p>
        </w:tc>
      </w:tr>
    </w:tbl>
    <w:p>
      <w:pPr>
        <w:keepNext/>
        <w:spacing w:before="80" w:after="40" w:line="276" w:lineRule="auto"/>
      </w:pPr>
      <w:r>
        <w:rPr>
          <w:rFonts w:ascii="Times New Roman" w:hAnsi="Times New Roman" w:eastAsia="宋体" w:cs="Times New Roman"/>
          <w:b/>
          <w:sz w:val="24"/>
        </w:rPr>
        <w:t>（二）考核方式与评分标准</w:t>
      </w:r>
    </w:p>
    <w:p>
      <w:pPr>
        <w:keepNext/>
        <w:spacing w:before="80" w:after="40" w:line="276" w:lineRule="auto"/>
      </w:pPr>
      <w:r>
        <w:rPr>
          <w:rFonts w:ascii="Times New Roman" w:hAnsi="Times New Roman" w:eastAsia="宋体" w:cs="Times New Roman"/>
          <w:b/>
          <w:sz w:val="24"/>
        </w:rPr>
        <w:t>1.考核方式</w:t>
      </w:r>
    </w:p>
    <w:p>
      <w:pPr>
        <w:keepNext w:val="0"/>
        <w:spacing w:before="0" w:after="0" w:line="300" w:lineRule="auto"/>
      </w:pPr>
      <w:r>
        <w:rPr>
          <w:rFonts w:ascii="Times New Roman" w:hAnsi="Times New Roman" w:eastAsia="宋体" w:cs="Times New Roman"/>
          <w:b w:val="0"/>
          <w:sz w:val="21"/>
        </w:rPr>
        <w:t>考试。</w:t>
      </w:r>
    </w:p>
    <w:p>
      <w:pPr>
        <w:keepNext/>
        <w:spacing w:before="80" w:after="40" w:line="276" w:lineRule="auto"/>
      </w:pPr>
      <w:r>
        <w:rPr>
          <w:rFonts w:ascii="Times New Roman" w:hAnsi="Times New Roman" w:eastAsia="宋体" w:cs="Times New Roman"/>
          <w:b/>
          <w:sz w:val="24"/>
        </w:rPr>
        <w:t>2.评分说明</w:t>
      </w:r>
    </w:p>
    <w:p>
      <w:pPr>
        <w:keepNext w:val="0"/>
        <w:spacing w:before="0" w:after="0" w:line="300" w:lineRule="auto"/>
        <w:ind w:firstLine="420"/>
      </w:pPr>
      <w:r>
        <w:rPr>
          <w:rFonts w:ascii="Times New Roman" w:hAnsi="Times New Roman" w:eastAsia="宋体" w:cs="Times New Roman"/>
          <w:b w:val="0"/>
          <w:sz w:val="21"/>
        </w:rPr>
        <w:t>本课程采用平时表现、实验与上机、综合项目和期末考试相结合的方式。最终成绩100%=平时表现15%＋实验与上机25%＋综合项目25%＋期末考试35%。实验与上机强调模型、代码、设备/仿真操作和运行证据；综合项目强调机器人任务建模、核心算法、系统验证、安全边界及个人贡献；期末考试考查空间数学、串联机器人运动学、雅可比与动力学、移动机器人和多构型机器人基础。</w:t>
      </w:r>
    </w:p>
    <w:p>
      <w:pPr>
        <w:keepNext/>
        <w:spacing w:before="80" w:after="40" w:line="276" w:lineRule="auto"/>
      </w:pPr>
      <w:r>
        <w:rPr>
          <w:rFonts w:ascii="Times New Roman" w:hAnsi="Times New Roman" w:eastAsia="宋体" w:cs="Times New Roman"/>
          <w:b/>
          <w:sz w:val="24"/>
        </w:rPr>
        <w:t>3.评分标准分项说明</w:t>
      </w:r>
    </w:p>
    <w:p>
      <w:pPr>
        <w:keepNext/>
        <w:spacing w:before="80" w:after="40" w:line="276" w:lineRule="auto"/>
      </w:pPr>
      <w:r>
        <w:rPr>
          <w:rFonts w:ascii="Times New Roman" w:hAnsi="Times New Roman" w:eastAsia="宋体" w:cs="Times New Roman"/>
          <w:b/>
          <w:sz w:val="24"/>
        </w:rPr>
        <w:t>（1）平时表现评分标准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220"/>
        <w:gridCol w:w="680"/>
        <w:gridCol w:w="1480"/>
        <w:gridCol w:w="1480"/>
        <w:gridCol w:w="1480"/>
        <w:gridCol w:w="1480"/>
        <w:gridCol w:w="1480"/>
      </w:tblGrid>
      <w:tr>
        <w:trPr>
          <w:tblHeader w:val="true"/>
        </w:trPr>
        <w:tc>
          <w:tcPr>
            <w:tcW w:type="dxa" w:w="1220"/>
            <w:vAlign w:val="center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5"/>
              </w:rPr>
              <w:t>评分指标</w:t>
            </w:r>
          </w:p>
        </w:tc>
        <w:tc>
          <w:tcPr>
            <w:tcW w:type="dxa" w:w="680"/>
            <w:vAlign w:val="center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5"/>
              </w:rPr>
              <w:t>指标权重</w:t>
            </w:r>
          </w:p>
        </w:tc>
        <w:tc>
          <w:tcPr>
            <w:tcW w:type="dxa" w:w="1480"/>
            <w:vAlign w:val="center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5"/>
              </w:rPr>
              <w:t>90–100（优）</w:t>
            </w:r>
          </w:p>
        </w:tc>
        <w:tc>
          <w:tcPr>
            <w:tcW w:type="dxa" w:w="1480"/>
            <w:vAlign w:val="center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5"/>
              </w:rPr>
              <w:t>80–89（良）</w:t>
            </w:r>
          </w:p>
        </w:tc>
        <w:tc>
          <w:tcPr>
            <w:tcW w:type="dxa" w:w="1480"/>
            <w:vAlign w:val="center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5"/>
              </w:rPr>
              <w:t>70–79（中）</w:t>
            </w:r>
          </w:p>
        </w:tc>
        <w:tc>
          <w:tcPr>
            <w:tcW w:type="dxa" w:w="1480"/>
            <w:vAlign w:val="center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5"/>
              </w:rPr>
              <w:t>60–69（及格）</w:t>
            </w:r>
          </w:p>
        </w:tc>
        <w:tc>
          <w:tcPr>
            <w:tcW w:type="dxa" w:w="1480"/>
            <w:vAlign w:val="center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5"/>
              </w:rPr>
              <w:t>0–59（不及格）</w:t>
            </w:r>
          </w:p>
        </w:tc>
      </w:tr>
      <w:tr>
        <w:trPr>
          <w:cantSplit/>
        </w:trP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考勤与实验安全规范</w:t>
            </w:r>
          </w:p>
        </w:tc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30%</w:t>
            </w:r>
          </w:p>
        </w:tc>
        <w:tc>
          <w:tcPr>
            <w:tcW w:type="dxa" w:w="148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出勤完整，严格遵守机器人、机房、数据与急停/限位规范</w:t>
            </w:r>
          </w:p>
        </w:tc>
        <w:tc>
          <w:tcPr>
            <w:tcW w:type="dxa" w:w="148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出勤良好，偶有轻微迟到或规范疏漏</w:t>
            </w:r>
          </w:p>
        </w:tc>
        <w:tc>
          <w:tcPr>
            <w:tcW w:type="dxa" w:w="148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出勤基本正常，能遵守主要安全规范</w:t>
            </w:r>
          </w:p>
        </w:tc>
        <w:tc>
          <w:tcPr>
            <w:tcW w:type="dxa" w:w="148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达到最低出勤要求，经提醒能遵守规范</w:t>
            </w:r>
          </w:p>
        </w:tc>
        <w:tc>
          <w:tcPr>
            <w:tcW w:type="dxa" w:w="148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缺勤较多或多次违反设备、机房或安全规范</w:t>
            </w:r>
          </w:p>
        </w:tc>
      </w:tr>
      <w:tr>
        <w:trPr>
          <w:cantSplit/>
        </w:trP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课堂学习与模型分析</w:t>
            </w:r>
          </w:p>
        </w:tc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30%</w:t>
            </w:r>
          </w:p>
        </w:tc>
        <w:tc>
          <w:tcPr>
            <w:tcW w:type="dxa" w:w="148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主动参与推导、代码讲评、实验和方案评审，能清楚说明模型依据</w:t>
            </w:r>
          </w:p>
        </w:tc>
        <w:tc>
          <w:tcPr>
            <w:tcW w:type="dxa" w:w="148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能参与主要活动并较完整表达思路</w:t>
            </w:r>
          </w:p>
        </w:tc>
        <w:tc>
          <w:tcPr>
            <w:tcW w:type="dxa" w:w="148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基本参与并完成主要课堂任务</w:t>
            </w:r>
          </w:p>
        </w:tc>
        <w:tc>
          <w:tcPr>
            <w:tcW w:type="dxa" w:w="148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经提醒可参与并完成基础要求</w:t>
            </w:r>
          </w:p>
        </w:tc>
        <w:tc>
          <w:tcPr>
            <w:tcW w:type="dxa" w:w="148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长期不参与或无法说明基本模型和结果</w:t>
            </w:r>
          </w:p>
        </w:tc>
      </w:tr>
      <w:tr>
        <w:trPr>
          <w:cantSplit/>
        </w:trP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工程记录与可复现性</w:t>
            </w:r>
          </w:p>
        </w:tc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40%</w:t>
            </w:r>
          </w:p>
        </w:tc>
        <w:tc>
          <w:tcPr>
            <w:tcW w:type="dxa" w:w="148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坐标、单位、参数、代码、数据、图表和测试记录完整，结果可复现</w:t>
            </w:r>
          </w:p>
        </w:tc>
        <w:tc>
          <w:tcPr>
            <w:tcW w:type="dxa" w:w="148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记录较完整，少量问题可自主修正</w:t>
            </w:r>
          </w:p>
        </w:tc>
        <w:tc>
          <w:tcPr>
            <w:tcW w:type="dxa" w:w="148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完成主要记录并有基本验证</w:t>
            </w:r>
          </w:p>
        </w:tc>
        <w:tc>
          <w:tcPr>
            <w:tcW w:type="dxa" w:w="148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在指导下达到最低记录要求</w:t>
            </w:r>
          </w:p>
        </w:tc>
        <w:tc>
          <w:tcPr>
            <w:tcW w:type="dxa" w:w="148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大量缺交、无运行证据或提交结果无法解释</w:t>
            </w:r>
          </w:p>
        </w:tc>
      </w:tr>
    </w:tbl>
    <w:p>
      <w:pPr>
        <w:keepNext/>
        <w:spacing w:before="80" w:after="40" w:line="276" w:lineRule="auto"/>
      </w:pPr>
      <w:r>
        <w:rPr>
          <w:rFonts w:ascii="Times New Roman" w:hAnsi="Times New Roman" w:eastAsia="宋体" w:cs="Times New Roman"/>
          <w:b/>
          <w:sz w:val="24"/>
        </w:rPr>
        <w:t>（2）实验与上机评分标准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650"/>
        <w:gridCol w:w="820"/>
        <w:gridCol w:w="5100"/>
        <w:gridCol w:w="1720"/>
      </w:tblGrid>
      <w:tr>
        <w:trPr>
          <w:tblHeader w:val="true"/>
        </w:trPr>
        <w:tc>
          <w:tcPr>
            <w:tcW w:type="dxa" w:w="1650"/>
            <w:vAlign w:val="center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考核内容</w:t>
            </w:r>
          </w:p>
        </w:tc>
        <w:tc>
          <w:tcPr>
            <w:tcW w:type="dxa" w:w="820"/>
            <w:vAlign w:val="center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成绩占比</w:t>
            </w:r>
          </w:p>
        </w:tc>
        <w:tc>
          <w:tcPr>
            <w:tcW w:type="dxa" w:w="5100"/>
            <w:vAlign w:val="center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考核目标与评分要求</w:t>
            </w:r>
          </w:p>
        </w:tc>
        <w:tc>
          <w:tcPr>
            <w:tcW w:type="dxa" w:w="1720"/>
            <w:vAlign w:val="center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课程目标</w:t>
            </w:r>
          </w:p>
        </w:tc>
      </w:tr>
      <w:tr>
        <w:trPr>
          <w:cantSplit/>
        </w:trPr>
        <w:tc>
          <w:tcPr>
            <w:tcW w:type="dxa" w:w="165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空间数学与机器人模型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10%</w:t>
            </w:r>
          </w:p>
        </w:tc>
        <w:tc>
          <w:tcPr>
            <w:tcW w:type="dxa" w:w="51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位姿计算、表示转换和可视化正确；坐标、单位和乘法顺序清楚；手算/代码/工具箱至少两种方式互证。</w:t>
            </w:r>
          </w:p>
        </w:tc>
        <w:tc>
          <w:tcPr>
            <w:tcW w:type="dxa" w:w="17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目标 1.1，2.1，3.1</w:t>
            </w:r>
          </w:p>
        </w:tc>
      </w:tr>
      <w:tr>
        <w:trPr>
          <w:cantSplit/>
        </w:trPr>
        <w:tc>
          <w:tcPr>
            <w:tcW w:type="dxa" w:w="165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串联机器人运动学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25%</w:t>
            </w:r>
          </w:p>
        </w:tc>
        <w:tc>
          <w:tcPr>
            <w:tcW w:type="dxa" w:w="51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机器人模型、正逆解、工作空间、雅可比和奇异性分析正确；能处理限位、多解、无解并解释误差。</w:t>
            </w:r>
          </w:p>
        </w:tc>
        <w:tc>
          <w:tcPr>
            <w:tcW w:type="dxa" w:w="17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目标 1.2，2.2，3.2</w:t>
            </w:r>
          </w:p>
        </w:tc>
      </w:tr>
      <w:tr>
        <w:trPr>
          <w:cantSplit/>
        </w:trPr>
        <w:tc>
          <w:tcPr>
            <w:tcW w:type="dxa" w:w="165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轨迹、动力学与控制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25%</w:t>
            </w:r>
          </w:p>
        </w:tc>
        <w:tc>
          <w:tcPr>
            <w:tcW w:type="dxa" w:w="51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轨迹连续性和动态响应分析合理；模型参数、时间步和控制设置完整；曲线、误差与约束解释充分。</w:t>
            </w:r>
          </w:p>
        </w:tc>
        <w:tc>
          <w:tcPr>
            <w:tcW w:type="dxa" w:w="17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目标 1.3，2.3，3.3</w:t>
            </w:r>
          </w:p>
        </w:tc>
      </w:tr>
      <w:tr>
        <w:trPr>
          <w:cantSplit/>
        </w:trPr>
        <w:tc>
          <w:tcPr>
            <w:tcW w:type="dxa" w:w="165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轮式移动机器人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20%</w:t>
            </w:r>
          </w:p>
        </w:tc>
        <w:tc>
          <w:tcPr>
            <w:tcW w:type="dxa" w:w="51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移动模型、里程计、规划或跟踪可运行；能够评价路径/跟踪误差并分析滑移和参数偏差。</w:t>
            </w:r>
          </w:p>
        </w:tc>
        <w:tc>
          <w:tcPr>
            <w:tcW w:type="dxa" w:w="17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目标 1.4，2.4，3.4</w:t>
            </w:r>
          </w:p>
        </w:tc>
      </w:tr>
      <w:tr>
        <w:trPr>
          <w:cantSplit/>
        </w:trPr>
        <w:tc>
          <w:tcPr>
            <w:tcW w:type="dxa" w:w="165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足式/轮足运动分析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10%</w:t>
            </w:r>
          </w:p>
        </w:tc>
        <w:tc>
          <w:tcPr>
            <w:tcW w:type="dxa" w:w="51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能够识别支撑与接触状态，完成简化稳定/模式分析，并基于指标比较构型，不作无证据推断。</w:t>
            </w:r>
          </w:p>
        </w:tc>
        <w:tc>
          <w:tcPr>
            <w:tcW w:type="dxa" w:w="17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目标 1.5，2.5，3.5</w:t>
            </w:r>
          </w:p>
        </w:tc>
      </w:tr>
      <w:tr>
        <w:trPr>
          <w:cantSplit/>
        </w:trPr>
        <w:tc>
          <w:tcPr>
            <w:tcW w:type="dxa" w:w="165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实验规范与综合记录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10%</w:t>
            </w:r>
          </w:p>
        </w:tc>
        <w:tc>
          <w:tcPr>
            <w:tcW w:type="dxa" w:w="51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真实/虚拟实验操作规范，数据、日志、软件版本和复测过程完整，能够解释失败与改进。</w:t>
            </w:r>
          </w:p>
        </w:tc>
        <w:tc>
          <w:tcPr>
            <w:tcW w:type="dxa" w:w="17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目标 1.6，2.6，3.6</w:t>
            </w:r>
          </w:p>
        </w:tc>
      </w:tr>
      <w:tr>
        <w:tc>
          <w:tcPr>
            <w:tcW w:type="dxa" w:w="165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合计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100%</w:t>
            </w:r>
          </w:p>
        </w:tc>
        <w:tc>
          <w:tcPr>
            <w:tcW w:type="dxa" w:w="510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</w:r>
          </w:p>
        </w:tc>
        <w:tc>
          <w:tcPr>
            <w:tcW w:type="dxa" w:w="172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</w:r>
          </w:p>
        </w:tc>
      </w:tr>
    </w:tbl>
    <w:p>
      <w:pPr>
        <w:keepNext/>
        <w:spacing w:before="80" w:after="40" w:line="276" w:lineRule="auto"/>
      </w:pPr>
      <w:r>
        <w:rPr>
          <w:rFonts w:ascii="Times New Roman" w:hAnsi="Times New Roman" w:eastAsia="宋体" w:cs="Times New Roman"/>
          <w:b/>
          <w:sz w:val="24"/>
        </w:rPr>
        <w:t>（3）综合项目评分标准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650"/>
        <w:gridCol w:w="820"/>
        <w:gridCol w:w="5100"/>
        <w:gridCol w:w="1720"/>
      </w:tblGrid>
      <w:tr>
        <w:trPr>
          <w:tblHeader w:val="true"/>
        </w:trPr>
        <w:tc>
          <w:tcPr>
            <w:tcW w:type="dxa" w:w="1650"/>
            <w:vAlign w:val="center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考核内容</w:t>
            </w:r>
          </w:p>
        </w:tc>
        <w:tc>
          <w:tcPr>
            <w:tcW w:type="dxa" w:w="820"/>
            <w:vAlign w:val="center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成绩占比</w:t>
            </w:r>
          </w:p>
        </w:tc>
        <w:tc>
          <w:tcPr>
            <w:tcW w:type="dxa" w:w="5100"/>
            <w:vAlign w:val="center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考核目标与评分要求</w:t>
            </w:r>
          </w:p>
        </w:tc>
        <w:tc>
          <w:tcPr>
            <w:tcW w:type="dxa" w:w="1720"/>
            <w:vAlign w:val="center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课程目标</w:t>
            </w:r>
          </w:p>
        </w:tc>
      </w:tr>
      <w:tr>
        <w:trPr>
          <w:cantSplit/>
        </w:trPr>
        <w:tc>
          <w:tcPr>
            <w:tcW w:type="dxa" w:w="165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需求、对象与安全边界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10%</w:t>
            </w:r>
          </w:p>
        </w:tc>
        <w:tc>
          <w:tcPr>
            <w:tcW w:type="dxa" w:w="51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任务、机器人构型、场景、输入输出、性能指标、约束和安全边界定义清楚。</w:t>
            </w:r>
          </w:p>
        </w:tc>
        <w:tc>
          <w:tcPr>
            <w:tcW w:type="dxa" w:w="17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目标 1.1，2.1，3.1</w:t>
            </w:r>
          </w:p>
        </w:tc>
      </w:tr>
      <w:tr>
        <w:trPr>
          <w:cantSplit/>
        </w:trPr>
        <w:tc>
          <w:tcPr>
            <w:tcW w:type="dxa" w:w="165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机器人模型与算法正确性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20%</w:t>
            </w:r>
          </w:p>
        </w:tc>
        <w:tc>
          <w:tcPr>
            <w:tcW w:type="dxa" w:w="51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位姿/运动学、移动模型或稳定模型正确；核心算法选择合理；结果具有独立验证。</w:t>
            </w:r>
          </w:p>
        </w:tc>
        <w:tc>
          <w:tcPr>
            <w:tcW w:type="dxa" w:w="17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目标 1.2—1.5，2.2—2.5</w:t>
            </w:r>
          </w:p>
        </w:tc>
      </w:tr>
      <w:tr>
        <w:trPr>
          <w:cantSplit/>
        </w:trPr>
        <w:tc>
          <w:tcPr>
            <w:tcW w:type="dxa" w:w="165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Python实现与系统结构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20%</w:t>
            </w:r>
          </w:p>
        </w:tc>
        <w:tc>
          <w:tcPr>
            <w:tcW w:type="dxa" w:w="51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代码模块、接口、参数和数据组织清晰；能够运行和复现；不以封装库替代原理解释。</w:t>
            </w:r>
          </w:p>
        </w:tc>
        <w:tc>
          <w:tcPr>
            <w:tcW w:type="dxa" w:w="17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目标 2.1—2.6，3.6</w:t>
            </w:r>
          </w:p>
        </w:tc>
      </w:tr>
      <w:tr>
        <w:trPr>
          <w:cantSplit/>
        </w:trPr>
        <w:tc>
          <w:tcPr>
            <w:tcW w:type="dxa" w:w="165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实验设计、测试与结果评价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20%</w:t>
            </w:r>
          </w:p>
        </w:tc>
        <w:tc>
          <w:tcPr>
            <w:tcW w:type="dxa" w:w="51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测试覆盖正常、边界、奇异/不可达、规划失败、控制误差或安全场景；图表与评价指标有效。</w:t>
            </w:r>
          </w:p>
        </w:tc>
        <w:tc>
          <w:tcPr>
            <w:tcW w:type="dxa" w:w="17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目标 1.6，2.6，3.1—3.6</w:t>
            </w:r>
          </w:p>
        </w:tc>
      </w:tr>
      <w:tr>
        <w:trPr>
          <w:cantSplit/>
        </w:trPr>
        <w:tc>
          <w:tcPr>
            <w:tcW w:type="dxa" w:w="165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应用价值与构型权衡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15%</w:t>
            </w:r>
          </w:p>
        </w:tc>
        <w:tc>
          <w:tcPr>
            <w:tcW w:type="dxa" w:w="51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能够从任务效率、精度、稳定、越障、能耗、成本和可维护性说明方案选择及局限。</w:t>
            </w:r>
          </w:p>
        </w:tc>
        <w:tc>
          <w:tcPr>
            <w:tcW w:type="dxa" w:w="17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目标 2.5，2.6，3.5</w:t>
            </w:r>
          </w:p>
        </w:tc>
      </w:tr>
      <w:tr>
        <w:trPr>
          <w:cantSplit/>
        </w:trPr>
        <w:tc>
          <w:tcPr>
            <w:tcW w:type="dxa" w:w="165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工程交付与个人贡献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15%</w:t>
            </w:r>
          </w:p>
        </w:tc>
        <w:tc>
          <w:tcPr>
            <w:tcW w:type="dxa" w:w="51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代码、模型、数据、报告、演示和Git记录完整；个人能现场解释或修改负责模块。</w:t>
            </w:r>
          </w:p>
        </w:tc>
        <w:tc>
          <w:tcPr>
            <w:tcW w:type="dxa" w:w="17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目标 2.6，3.6</w:t>
            </w:r>
          </w:p>
        </w:tc>
      </w:tr>
      <w:tr>
        <w:tc>
          <w:tcPr>
            <w:tcW w:type="dxa" w:w="165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合计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100%</w:t>
            </w:r>
          </w:p>
        </w:tc>
        <w:tc>
          <w:tcPr>
            <w:tcW w:type="dxa" w:w="510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</w:r>
          </w:p>
        </w:tc>
        <w:tc>
          <w:tcPr>
            <w:tcW w:type="dxa" w:w="172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</w:r>
          </w:p>
        </w:tc>
      </w:tr>
    </w:tbl>
    <w:p>
      <w:pPr>
        <w:keepNext/>
        <w:spacing w:before="80" w:after="40" w:line="276" w:lineRule="auto"/>
      </w:pPr>
      <w:r>
        <w:rPr>
          <w:rFonts w:ascii="Times New Roman" w:hAnsi="Times New Roman" w:eastAsia="宋体" w:cs="Times New Roman"/>
          <w:b/>
          <w:sz w:val="24"/>
        </w:rPr>
        <w:t>（4）期末考试评分标准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650"/>
        <w:gridCol w:w="820"/>
        <w:gridCol w:w="5100"/>
        <w:gridCol w:w="1720"/>
      </w:tblGrid>
      <w:tr>
        <w:trPr>
          <w:tblHeader w:val="true"/>
        </w:trPr>
        <w:tc>
          <w:tcPr>
            <w:tcW w:type="dxa" w:w="1650"/>
            <w:vAlign w:val="center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考核内容</w:t>
            </w:r>
          </w:p>
        </w:tc>
        <w:tc>
          <w:tcPr>
            <w:tcW w:type="dxa" w:w="820"/>
            <w:vAlign w:val="center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成绩占比</w:t>
            </w:r>
          </w:p>
        </w:tc>
        <w:tc>
          <w:tcPr>
            <w:tcW w:type="dxa" w:w="5100"/>
            <w:vAlign w:val="center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考点与要求</w:t>
            </w:r>
          </w:p>
        </w:tc>
        <w:tc>
          <w:tcPr>
            <w:tcW w:type="dxa" w:w="1720"/>
            <w:vAlign w:val="center"/>
            <w:tcMar>
              <w:top w:w="70" w:type="dxa"/>
              <w:bottom w:w="7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课程目标</w:t>
            </w:r>
          </w:p>
        </w:tc>
      </w:tr>
      <w:tr>
        <w:trPr>
          <w:cantSplit/>
        </w:trPr>
        <w:tc>
          <w:tcPr>
            <w:tcW w:type="dxa" w:w="165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机器人分类与空间数学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10%</w:t>
            </w:r>
          </w:p>
        </w:tc>
        <w:tc>
          <w:tcPr>
            <w:tcW w:type="dxa" w:w="51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掌握机器人组成、构型与性能指标；能够进行旋转、齐次变换、姿态表示和坐标链计算。</w:t>
            </w:r>
          </w:p>
        </w:tc>
        <w:tc>
          <w:tcPr>
            <w:tcW w:type="dxa" w:w="17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目标 1.1，2.1</w:t>
            </w:r>
          </w:p>
        </w:tc>
      </w:tr>
      <w:tr>
        <w:trPr>
          <w:cantSplit/>
        </w:trPr>
        <w:tc>
          <w:tcPr>
            <w:tcW w:type="dxa" w:w="165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串联机器人正逆运动学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25%</w:t>
            </w:r>
          </w:p>
        </w:tc>
        <w:tc>
          <w:tcPr>
            <w:tcW w:type="dxa" w:w="51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能够建立D-H或等价模型、求正逆解，分析工作空间、关节限位、多解和不可达情况。</w:t>
            </w:r>
          </w:p>
        </w:tc>
        <w:tc>
          <w:tcPr>
            <w:tcW w:type="dxa" w:w="17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目标 1.2，2.2</w:t>
            </w:r>
          </w:p>
        </w:tc>
      </w:tr>
      <w:tr>
        <w:trPr>
          <w:cantSplit/>
        </w:trPr>
        <w:tc>
          <w:tcPr>
            <w:tcW w:type="dxa" w:w="165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雅可比、轨迹与动力学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25%</w:t>
            </w:r>
          </w:p>
        </w:tc>
        <w:tc>
          <w:tcPr>
            <w:tcW w:type="dxa" w:w="51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能够分析雅可比速度/力映射和奇异性，比较轨迹规划方法，解释动力学方程各项与基础控制。</w:t>
            </w:r>
          </w:p>
        </w:tc>
        <w:tc>
          <w:tcPr>
            <w:tcW w:type="dxa" w:w="17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目标 1.3，2.3</w:t>
            </w:r>
          </w:p>
        </w:tc>
      </w:tr>
      <w:tr>
        <w:trPr>
          <w:cantSplit/>
        </w:trPr>
        <w:tc>
          <w:tcPr>
            <w:tcW w:type="dxa" w:w="165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轮式移动机器人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20%</w:t>
            </w:r>
          </w:p>
        </w:tc>
        <w:tc>
          <w:tcPr>
            <w:tcW w:type="dxa" w:w="51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能够建立差速/自行车等模型，分析非完整约束、里程计、路径规划与轨迹跟踪。</w:t>
            </w:r>
          </w:p>
        </w:tc>
        <w:tc>
          <w:tcPr>
            <w:tcW w:type="dxa" w:w="17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目标 1.4，2.4</w:t>
            </w:r>
          </w:p>
        </w:tc>
      </w:tr>
      <w:tr>
        <w:trPr>
          <w:cantSplit/>
        </w:trPr>
        <w:tc>
          <w:tcPr>
            <w:tcW w:type="dxa" w:w="165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足式与轮足式机器人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10%</w:t>
            </w:r>
          </w:p>
        </w:tc>
        <w:tc>
          <w:tcPr>
            <w:tcW w:type="dxa" w:w="51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能够说明支撑、接触、步态和稳定概念，比较轮式、足式与轮足式构型的适用场景。</w:t>
            </w:r>
          </w:p>
        </w:tc>
        <w:tc>
          <w:tcPr>
            <w:tcW w:type="dxa" w:w="17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目标 1.5，2.5</w:t>
            </w:r>
          </w:p>
        </w:tc>
      </w:tr>
      <w:tr>
        <w:trPr>
          <w:cantSplit/>
        </w:trPr>
        <w:tc>
          <w:tcPr>
            <w:tcW w:type="dxa" w:w="165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系统应用、安全与验证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10%</w:t>
            </w:r>
          </w:p>
        </w:tc>
        <w:tc>
          <w:tcPr>
            <w:tcW w:type="dxa" w:w="51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能够设计机器人任务链和测试方案，识别限位、碰撞、失定位、模型误差及人机协作风险。</w:t>
            </w:r>
          </w:p>
        </w:tc>
        <w:tc>
          <w:tcPr>
            <w:tcW w:type="dxa" w:w="17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目标 1.6，2.6，3.1—3.6</w:t>
            </w:r>
          </w:p>
        </w:tc>
      </w:tr>
      <w:tr>
        <w:tc>
          <w:tcPr>
            <w:tcW w:type="dxa" w:w="165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合计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100%</w:t>
            </w:r>
          </w:p>
        </w:tc>
        <w:tc>
          <w:tcPr>
            <w:tcW w:type="dxa" w:w="510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</w:r>
          </w:p>
        </w:tc>
        <w:tc>
          <w:tcPr>
            <w:tcW w:type="dxa" w:w="172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</w:r>
          </w:p>
        </w:tc>
      </w:tr>
    </w:tbl>
    <w:p>
      <w:pPr>
        <w:keepNext/>
        <w:spacing w:before="140" w:after="60" w:line="276" w:lineRule="auto"/>
      </w:pPr>
      <w:r>
        <w:rPr>
          <w:rFonts w:ascii="Times New Roman" w:hAnsi="Times New Roman" w:eastAsia="黑体" w:cs="Times New Roman"/>
          <w:b/>
          <w:sz w:val="28"/>
        </w:rPr>
        <w:t>八、参考书目及学习资料</w:t>
      </w:r>
    </w:p>
    <w:p>
      <w:pPr>
        <w:keepNext/>
        <w:spacing w:before="80" w:after="40" w:line="276" w:lineRule="auto"/>
      </w:pPr>
      <w:r>
        <w:rPr>
          <w:rFonts w:ascii="Times New Roman" w:hAnsi="Times New Roman" w:eastAsia="宋体" w:cs="Times New Roman"/>
          <w:b/>
          <w:sz w:val="24"/>
        </w:rPr>
        <w:t>（一）选用教材</w:t>
      </w:r>
    </w:p>
    <w:p>
      <w:pPr>
        <w:keepNext w:val="0"/>
        <w:spacing w:before="0" w:after="0" w:line="240" w:lineRule="auto"/>
      </w:pPr>
      <w:r>
        <w:rPr>
          <w:rFonts w:ascii="Times New Roman" w:hAnsi="Times New Roman" w:eastAsia="宋体" w:cs="Times New Roman"/>
          <w:b w:val="0"/>
          <w:sz w:val="18"/>
        </w:rPr>
        <w:t>周晓敏, 郑莉芳, 刘鸿飞. 机器人学基础[M]. 北京：清华大学出版社，2023. ISBN 9787302635888</w:t>
      </w:r>
    </w:p>
    <w:p>
      <w:pPr>
        <w:keepNext/>
        <w:spacing w:before="80" w:after="40" w:line="276" w:lineRule="auto"/>
      </w:pPr>
      <w:r>
        <w:rPr>
          <w:rFonts w:ascii="Times New Roman" w:hAnsi="Times New Roman" w:eastAsia="宋体" w:cs="Times New Roman"/>
          <w:b/>
          <w:sz w:val="24"/>
        </w:rPr>
        <w:t>（二）学习资料</w:t>
      </w:r>
    </w:p>
    <w:p>
      <w:pPr>
        <w:keepNext w:val="0"/>
        <w:spacing w:before="0" w:after="0" w:line="240" w:lineRule="auto"/>
      </w:pPr>
      <w:r>
        <w:rPr>
          <w:rFonts w:ascii="Times New Roman" w:hAnsi="Times New Roman" w:eastAsia="宋体" w:cs="Times New Roman"/>
          <w:b w:val="0"/>
          <w:sz w:val="18"/>
        </w:rPr>
        <w:t>[1] Corke, P. Robotics, Vision and Control: Fundamental Algorithms in Python（3rd Edition）[M]. Cham: Springer, 2023. ISBN 9783031064685。</w:t>
      </w:r>
    </w:p>
    <w:p>
      <w:pPr>
        <w:keepNext w:val="0"/>
        <w:spacing w:before="0" w:after="0" w:line="240" w:lineRule="auto"/>
      </w:pPr>
      <w:r>
        <w:rPr>
          <w:rFonts w:ascii="Times New Roman" w:hAnsi="Times New Roman" w:eastAsia="宋体" w:cs="Times New Roman"/>
          <w:b w:val="0"/>
          <w:sz w:val="18"/>
        </w:rPr>
        <w:t>[2] 赵建伟, 马学品, 盖逸馨, 毛向军, 梅勇, 钱航, 姚志广. 机器人系统设计及其应用技术（第2版）[M]. 北京：清华大学出版社，2024. ISBN 9787302676577。</w:t>
      </w:r>
    </w:p>
    <w:p>
      <w:pPr>
        <w:keepNext w:val="0"/>
        <w:spacing w:before="0" w:after="0" w:line="240" w:lineRule="auto"/>
      </w:pPr>
      <w:r>
        <w:rPr>
          <w:rFonts w:ascii="Times New Roman" w:hAnsi="Times New Roman" w:eastAsia="宋体" w:cs="Times New Roman"/>
          <w:b w:val="0"/>
          <w:sz w:val="18"/>
        </w:rPr>
        <w:t>[3] 仉新, 矫健, 付垚. 移动机器人原理与应用[M]. 北京：清华大学出版社，2025. ISBN 9787302704478。</w:t>
      </w:r>
    </w:p>
    <w:p>
      <w:pPr>
        <w:keepNext w:val="0"/>
        <w:spacing w:before="0" w:after="0" w:line="240" w:lineRule="auto"/>
      </w:pPr>
      <w:r>
        <w:rPr>
          <w:rFonts w:ascii="Times New Roman" w:hAnsi="Times New Roman" w:eastAsia="宋体" w:cs="Times New Roman"/>
          <w:b w:val="0"/>
          <w:sz w:val="18"/>
        </w:rPr>
        <w:t>[4] 秦建军, 等. 机器人多模态学习：从模拟到实现[M]. 北京：机械工业出版社，2026. ISBN 9787111803690。</w:t>
      </w:r>
    </w:p>
    <w:p>
      <w:pPr>
        <w:keepNext w:val="0"/>
        <w:spacing w:before="0" w:after="0" w:line="240" w:lineRule="auto"/>
      </w:pPr>
      <w:r>
        <w:rPr>
          <w:rFonts w:ascii="Times New Roman" w:hAnsi="Times New Roman" w:eastAsia="宋体" w:cs="Times New Roman"/>
          <w:b w:val="0"/>
          <w:sz w:val="18"/>
        </w:rPr>
        <w:t>[5] 栗琳, 郑莉芳, 孙浩, 刘新洋, 郑世杰, 佘鹏飞. 机器人检测与控制综合实践[M]. 北京：清华大学出版社，2023. ISBN 9787302643708。</w:t>
      </w:r>
    </w:p>
    <w:p>
      <w:pPr>
        <w:keepNext w:val="0"/>
        <w:spacing w:before="80" w:after="0" w:line="240" w:lineRule="auto"/>
      </w:pPr>
      <w:r>
        <w:rPr>
          <w:rFonts w:ascii="Times New Roman" w:hAnsi="Times New Roman" w:eastAsia="宋体" w:cs="Times New Roman"/>
          <w:b w:val="0"/>
          <w:sz w:val="19"/>
        </w:rPr>
        <w:t xml:space="preserve">制定人：　　　　　　　　审定人：　　　　　　　　批准人：　　　　　　　　</w:t>
      </w:r>
    </w:p>
    <w:p>
      <w:pPr>
        <w:keepNext w:val="0"/>
        <w:spacing w:before="0" w:after="0" w:line="240" w:lineRule="auto"/>
        <w:jc w:val="center"/>
      </w:pPr>
      <w:r>
        <w:rPr>
          <w:rFonts w:ascii="Times New Roman" w:hAnsi="Times New Roman" w:eastAsia="宋体" w:cs="Times New Roman"/>
          <w:b w:val="0"/>
          <w:sz w:val="19"/>
        </w:rPr>
        <w:t>2026年9月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850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机器人技术与应用（A）课程教学大纲</dc:title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