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 w:cs="Times New Roman"/>
          <w:b/>
          <w:sz w:val="32"/>
        </w:rPr>
        <w:t>《人工智能技术与应用》课程教学大纲</w:t>
      </w:r>
    </w:p>
    <w:p>
      <w:pPr>
        <w:keepNext/>
        <w:spacing w:before="160" w:after="80"/>
      </w:pPr>
      <w:r>
        <w:rPr>
          <w:rFonts w:ascii="Times New Roman" w:hAnsi="Times New Roman" w:eastAsia="黑体" w:cs="Times New Roman"/>
          <w:b/>
          <w:sz w:val="28"/>
        </w:rPr>
        <w:t>一、课程基本信息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c>
          <w:tcPr>
            <w:tcW w:type="dxa" w:w="1931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课程名称（中英文）</w:t>
            </w:r>
          </w:p>
        </w:tc>
        <w:tc>
          <w:tcPr>
            <w:tcW w:type="dxa" w:w="7123"/>
            <w:vAlign w:val="center"/>
            <w:gridSpan w:val="7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人工智能技术与应用  Artificial Intelligence Technology and Applications</w:t>
            </w:r>
          </w:p>
        </w:tc>
      </w:tr>
      <w:tr>
        <w:tc>
          <w:tcPr>
            <w:tcW w:type="dxa" w:w="1931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课程代码</w:t>
            </w:r>
          </w:p>
        </w:tc>
        <w:tc>
          <w:tcPr>
            <w:tcW w:type="dxa" w:w="2849"/>
            <w:vAlign w:val="center"/>
            <w:gridSpan w:val="2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25JD31401</w:t>
            </w:r>
          </w:p>
        </w:tc>
        <w:tc>
          <w:tcPr>
            <w:tcW w:type="dxa" w:w="1581"/>
            <w:vAlign w:val="center"/>
            <w:gridSpan w:val="2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课程类别</w:t>
            </w:r>
          </w:p>
        </w:tc>
        <w:tc>
          <w:tcPr>
            <w:tcW w:type="dxa" w:w="2693"/>
            <w:vAlign w:val="center"/>
            <w:gridSpan w:val="3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专业类</w:t>
            </w:r>
          </w:p>
        </w:tc>
      </w:tr>
      <w:tr>
        <w:tc>
          <w:tcPr>
            <w:tcW w:type="dxa" w:w="1931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课程性质</w:t>
            </w:r>
          </w:p>
        </w:tc>
        <w:tc>
          <w:tcPr>
            <w:tcW w:type="dxa" w:w="2849"/>
            <w:vAlign w:val="center"/>
            <w:gridSpan w:val="2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必修课</w:t>
            </w:r>
          </w:p>
        </w:tc>
        <w:tc>
          <w:tcPr>
            <w:tcW w:type="dxa" w:w="1581"/>
            <w:vAlign w:val="center"/>
            <w:gridSpan w:val="2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授课语言</w:t>
            </w:r>
          </w:p>
        </w:tc>
        <w:tc>
          <w:tcPr>
            <w:tcW w:type="dxa" w:w="2693"/>
            <w:vAlign w:val="center"/>
            <w:gridSpan w:val="3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中文</w:t>
            </w:r>
          </w:p>
        </w:tc>
      </w:tr>
      <w:tr>
        <w:tc>
          <w:tcPr>
            <w:tcW w:type="dxa" w:w="1931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授课学期</w:t>
            </w:r>
          </w:p>
        </w:tc>
        <w:tc>
          <w:tcPr>
            <w:tcW w:type="dxa" w:w="2849"/>
            <w:vAlign w:val="center"/>
            <w:gridSpan w:val="2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第6学期</w:t>
            </w:r>
          </w:p>
        </w:tc>
        <w:tc>
          <w:tcPr>
            <w:tcW w:type="dxa" w:w="2208"/>
            <w:vAlign w:val="center"/>
            <w:gridSpan w:val="3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学分</w:t>
            </w:r>
          </w:p>
        </w:tc>
        <w:tc>
          <w:tcPr>
            <w:tcW w:type="dxa" w:w="2066"/>
            <w:vAlign w:val="center"/>
            <w:gridSpan w:val="2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3.5</w:t>
            </w:r>
          </w:p>
        </w:tc>
      </w:tr>
      <w:tr>
        <w:tc>
          <w:tcPr>
            <w:tcW w:type="dxa" w:w="1931"/>
            <w:vAlign w:val="center"/>
            <w:vMerge w:val="restart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课程学时及分配</w:t>
            </w:r>
          </w:p>
        </w:tc>
        <w:tc>
          <w:tcPr>
            <w:tcW w:type="dxa" w:w="1634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总学时</w:t>
            </w:r>
          </w:p>
        </w:tc>
        <w:tc>
          <w:tcPr>
            <w:tcW w:type="dxa" w:w="12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理论</w:t>
            </w:r>
          </w:p>
        </w:tc>
        <w:tc>
          <w:tcPr>
            <w:tcW w:type="dxa" w:w="1104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实践</w:t>
            </w:r>
          </w:p>
        </w:tc>
        <w:tc>
          <w:tcPr>
            <w:tcW w:type="dxa" w:w="1104"/>
            <w:vAlign w:val="center"/>
            <w:gridSpan w:val="2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实验</w:t>
            </w:r>
          </w:p>
        </w:tc>
        <w:tc>
          <w:tcPr>
            <w:tcW w:type="dxa" w:w="103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上机</w:t>
            </w:r>
          </w:p>
        </w:tc>
        <w:tc>
          <w:tcPr>
            <w:tcW w:type="dxa" w:w="103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项目式</w:t>
            </w:r>
          </w:p>
        </w:tc>
      </w:tr>
      <w:tr>
        <w:tc>
          <w:tcPr>
            <w:tcW w:type="dxa" w:w="1931"/>
            <w:vAlign w:val="center"/>
            <w:vMerge/>
            <w:tcMar>
              <w:top w:w="70" w:type="dxa"/>
              <w:bottom w:w="70" w:type="dxa"/>
              <w:start w:w="70" w:type="dxa"/>
              <w:end w:w="70" w:type="dxa"/>
            </w:tcMar>
          </w:tcPr>
          <w:p/>
        </w:tc>
        <w:tc>
          <w:tcPr>
            <w:tcW w:type="dxa" w:w="1634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56</w:t>
            </w:r>
          </w:p>
        </w:tc>
        <w:tc>
          <w:tcPr>
            <w:tcW w:type="dxa" w:w="12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24</w:t>
            </w:r>
          </w:p>
        </w:tc>
        <w:tc>
          <w:tcPr>
            <w:tcW w:type="dxa" w:w="1104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1104"/>
            <w:vAlign w:val="center"/>
            <w:gridSpan w:val="2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103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32</w:t>
            </w:r>
          </w:p>
        </w:tc>
        <w:tc>
          <w:tcPr>
            <w:tcW w:type="dxa" w:w="103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</w:tr>
      <w:tr>
        <w:tc>
          <w:tcPr>
            <w:tcW w:type="dxa" w:w="1931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适用专业</w:t>
            </w:r>
          </w:p>
        </w:tc>
        <w:tc>
          <w:tcPr>
            <w:tcW w:type="dxa" w:w="7123"/>
            <w:vAlign w:val="center"/>
            <w:gridSpan w:val="7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智能制造工程</w:t>
            </w:r>
          </w:p>
        </w:tc>
      </w:tr>
      <w:tr>
        <w:tc>
          <w:tcPr>
            <w:tcW w:type="dxa" w:w="1931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授课学院</w:t>
            </w:r>
          </w:p>
        </w:tc>
        <w:tc>
          <w:tcPr>
            <w:tcW w:type="dxa" w:w="7123"/>
            <w:vAlign w:val="center"/>
            <w:gridSpan w:val="7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机械与动力工程学院</w:t>
            </w:r>
          </w:p>
        </w:tc>
      </w:tr>
      <w:tr>
        <w:tc>
          <w:tcPr>
            <w:tcW w:type="dxa" w:w="1931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先修课程</w:t>
            </w:r>
          </w:p>
        </w:tc>
        <w:tc>
          <w:tcPr>
            <w:tcW w:type="dxa" w:w="7123"/>
            <w:vAlign w:val="center"/>
            <w:gridSpan w:val="7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线性代数（A）、工程建模与科学计算可视化基础（Python）、程序设计基础（C&amp;C++）Ⅱ</w:t>
            </w:r>
          </w:p>
        </w:tc>
      </w:tr>
      <w:tr>
        <w:tc>
          <w:tcPr>
            <w:tcW w:type="dxa" w:w="1931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后续课程</w:t>
            </w:r>
          </w:p>
        </w:tc>
        <w:tc>
          <w:tcPr>
            <w:tcW w:type="dxa" w:w="7123"/>
            <w:vAlign w:val="center"/>
            <w:gridSpan w:val="7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机器视觉、智能制造系统、毕业设计（论文）</w:t>
            </w:r>
          </w:p>
        </w:tc>
      </w:tr>
      <w:tr>
        <w:tc>
          <w:tcPr>
            <w:tcW w:type="dxa" w:w="1931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课程简介</w:t>
            </w:r>
          </w:p>
        </w:tc>
        <w:tc>
          <w:tcPr>
            <w:tcW w:type="dxa" w:w="7123"/>
            <w:vAlign w:val="center"/>
            <w:gridSpan w:val="7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课程基本定位</w:t>
              <w:br/>
            </w:r>
            <w:r>
              <w:rPr>
                <w:rFonts w:ascii="Times New Roman" w:hAnsi="Times New Roman" w:eastAsia="宋体" w:cs="Times New Roman"/>
                <w:b w:val="0"/>
                <w:sz w:val="18"/>
              </w:rPr>
              <w:t>本课程是智能制造工程专业核心必修课，承接线性代数、Python科学计算与程序设计基础，面向智能制造中的数据分析、智能决策、知识服务与软件系统开发，构建“经典人工智能基础—大语言模型—知识增强—智能体—多智能体与工程化治理”的连续知识链。课程保留PCA、SVD和神经网络等基础内容，同时重点引入Transformer、大语言模型、RAG、工具调用、LangGraph状态工作流、多Agent协同、知识图谱、MCP与Harness Engineering等现代人工智能应用技术，并以“3D打印智能工艺与故障诊断助手”为综合项目载体，训练学生把人工智能能力转化为可验证、可维护的工程系统。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核心学习结果</w:t>
              <w:br/>
            </w:r>
            <w:r>
              <w:rPr>
                <w:rFonts w:ascii="Times New Roman" w:hAnsi="Times New Roman" w:eastAsia="宋体" w:cs="Times New Roman"/>
                <w:b w:val="0"/>
                <w:sz w:val="18"/>
              </w:rPr>
              <w:t>通过本课程的学习，学生能够理解PCA、SVD、神经网络、Transformer与大语言模型的核心原理及其联系；能够调用本地或在线大模型并实现结构化输出、工具调用、RAG和状态工作流；能够构建小型知识图谱并将其与检索和智能体结合；能够设计由多个角色、工具和共享状态组成的多Agent系统，理解MCP、上下文工程与Harness的作用；能够使用测试集、日志、权限控制和安全规则评价智能系统的有效性与风险，并完成面向智能制造场景的综合AI应用。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主要教学方法</w:t>
              <w:br/>
            </w:r>
            <w:r>
              <w:rPr>
                <w:rFonts w:ascii="Times New Roman" w:hAnsi="Times New Roman" w:eastAsia="宋体" w:cs="Times New Roman"/>
                <w:b w:val="0"/>
                <w:sz w:val="18"/>
              </w:rPr>
              <w:t>课程采用“短讲解—原理演示—分段实现—测试验收—错误复盘”的理论与机房一体化教学方式，突出问题驱动、项目驱动和证据驱动。开发环境以Visual Studio Code（VS Code）和Python为主，模型接口采用可替换的本地模型或兼容API，不绑定单一平台；LangGraph、向量检索库、NetworkX/Neo4j和MCP实现作为典型工具，用于理解可迁移的状态、接口、知识、权限和执行控制思想。综合项目要求保留数据来源、提示词/配置、工具调用记录、测试用例与评价结果，形成可复现的工程证据链。</w:t>
            </w:r>
          </w:p>
        </w:tc>
      </w:tr>
      <w:tr>
        <w:tc>
          <w:tcPr>
            <w:tcW w:type="dxa" w:w="1931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大纲更新时间</w:t>
            </w:r>
          </w:p>
        </w:tc>
        <w:tc>
          <w:tcPr>
            <w:tcW w:type="dxa" w:w="7123"/>
            <w:vAlign w:val="center"/>
            <w:gridSpan w:val="7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2026年9月</w:t>
            </w:r>
          </w:p>
        </w:tc>
      </w:tr>
    </w:tbl>
    <w:p/>
    <w:p>
      <w:pPr>
        <w:keepNext/>
        <w:spacing w:before="160" w:after="80"/>
      </w:pPr>
      <w:r>
        <w:rPr>
          <w:rFonts w:ascii="Times New Roman" w:hAnsi="Times New Roman" w:eastAsia="黑体" w:cs="Times New Roman"/>
          <w:b/>
          <w:sz w:val="28"/>
        </w:rPr>
        <w:t>二、课程目标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809"/>
        <w:gridCol w:w="4248"/>
        <w:gridCol w:w="4229"/>
      </w:tblGrid>
      <w:tr>
        <w:trPr>
          <w:tblHeader w:val="true"/>
        </w:trPr>
        <w:tc>
          <w:tcPr>
            <w:tcW w:type="dxa" w:w="80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课程总目标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课程子目标（参考学校定位、培养目标、毕业要求）</w:t>
            </w:r>
          </w:p>
        </w:tc>
        <w:tc>
          <w:tcPr>
            <w:tcW w:type="dxa" w:w="422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达成方法</w:t>
            </w:r>
          </w:p>
        </w:tc>
      </w:tr>
      <w:tr>
        <w:trPr>
          <w:cantSplit/>
        </w:trPr>
        <w:tc>
          <w:tcPr>
            <w:tcW w:type="dxa" w:w="809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1.知识</w:t>
            </w:r>
          </w:p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1.1 理解人工智能、机器学习与深度学习的基本关系，掌握特征表示、主成分分析（PCA）、奇异值分解（SVD）和前馈神经网络的基本原理，理解降维、低秩近似和表示学习之间的联系。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通过矩阵分解可视化、降维前后对比和简单神经网络案例，建立从线性表征到非线性表征的知识主线。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1.2 掌握注意力机制与Transformer的基本结构，理解Token、Embedding、上下文窗口、推理与生成过程，掌握提示设计、结构化输出以及本地模型/API调用的基本方法。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以Transformer结构图和最小API程序讲解大语言模型工作流程，安排提示对比、JSON结构化输出和错误响应分析。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1.3 掌握Embedding、文本切分、向量检索、重排序和RAG的基本流程，理解知识图谱中的实体、关系、三元组和图查询，了解GraphRAG等知识增强思路。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以课程资料问答和制造缺陷知识为案例，对比纯LLM、RAG和知识图谱增强的回答质量与可追溯性。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1.4 掌握Agent的目标、状态、动作、工具、记忆与终止条件，理解ReAct、规划与执行、状态机和LangGraph等工作流思想，掌握工具描述、参数校验和状态持久化的基本机制。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从最小Agent Loop开始逐步加入工具、记忆、条件路由和人工中断，利用状态图跟踪执行路径并分析失败模式。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1.5 理解多Agent的角色分工、消息通信、协调与共享状态机制，掌握MCP的工具/资源服务思想，理解上下文工程、Skill、权限、沙箱、并发、计划与主循环等Harness Engineering要素。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通过多角色协作任务和MCP工具服务演示，对比单Agent与多Agent架构，并用调用日志分析上下文、权限和执行控制。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1.6 掌握人工智能应用的评价、监控、安全与伦理基础，理解正确性、相关性、鲁棒性、成本、延迟、可解释性等评价维度以及提示注入、越权工具调用和敏感数据泄露等风险。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围绕3D打印智能工艺与故障诊断助手建立测试集和安全用例，使用自动指标与人工评价结合的方法进行系统验收。</w:t>
            </w:r>
          </w:p>
        </w:tc>
      </w:tr>
      <w:tr>
        <w:trPr>
          <w:cantSplit/>
        </w:trPr>
        <w:tc>
          <w:tcPr>
            <w:tcW w:type="dxa" w:w="809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2.能力</w:t>
            </w:r>
          </w:p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2.1 能够使用Python实现或调用PCA、SVD和简单神经网络完成数据降维、特征提取与分类实验，能够解释主要参数、评价指标与结果变化。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通过制造数据或公开数据集完成“数据准备—降维/建模—可视化—评价”实验，并比较不同表征方法。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2.2 能够调用大语言模型完成文本生成、结构化信息提取和受约束输出，能够设计提示词、解析返回结果、处理异常并比较不同模型/参数配置。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设置同一任务的多提示、多模型或多参数对照实验，要求保存请求、响应、成本/延迟和错误处理记录。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2.3 能够从文档构建RAG知识库，设计切分、Embedding、召回和重排序流程；能够构建小型领域知识图谱并完成一跳/多跳查询，将检索证据用于回答与诊断。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以设备手册、工艺规范和缺陷案例构建可追溯知识库，要求回答同时返回来源片段或图谱路径。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2.4 能够定义工具接口并实现单Agent工具调用，使用状态工作流组织条件分支、循环、记忆、人工确认与错误恢复，能够通过日志和测试验证Agent可终止、可复现。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实现工具白名单和最大步数限制，使用LangGraph或等价状态机完成流程编排，并针对异常输入执行回归测试。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2.5 能够设计由多个Agent角色、消息协议与共享状态组成的协同系统，能够接入或实现基本MCP工具服务，能够配置上下文、权限、计划、日志和执行控制形成简化Harness。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通过任务分解、角色协作与工具服务实验，要求提交接口文档、消息样例、权限表和执行轨迹。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2.6 能够围绕智能制造问题完成需求分析、数据/知识组织、模型与Agent架构设计、实现、测试和评价，形成可演示的“3D打印智能工艺与故障诊断助手”原型。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综合使用RAG、知识图谱、工具调用、多Agent和评价机制，开展项目评审、现场演示和个人解释。</w:t>
            </w:r>
          </w:p>
        </w:tc>
      </w:tr>
      <w:tr>
        <w:trPr>
          <w:cantSplit/>
        </w:trPr>
        <w:tc>
          <w:tcPr>
            <w:tcW w:type="dxa" w:w="809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3.素质</w:t>
            </w:r>
          </w:p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3.1 形成基于数据、实验和评价指标判断人工智能效果的实证意识，能够区分演示效果与可重复验证的工程结论。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要求所有实验保留数据、参数、随机种子、评价结果与失败案例，通过复现实验强化证据意识。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3.2 形成数据安全、隐私保护和最小权限意识，理解模型、API、外部工具和自动执行可能带来的工程风险。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通过API密钥泄露、提示注入和越权调用案例讨论安全边界，在工具调用实验中落实白名单与参数校验。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3.3 形成尊重知识来源和知识质量的意识，能够记录文档来源、检索证据和图谱事实，避免把模型生成内容直接等同于事实。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RAG和知识图谱任务强制保留来源定位、更新时间与引用证据，对无法验证的回答进行拒答或降级处理。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3.4 形成模块化、接口化、可观察和可维护的人工智能工程意识，理解模型只是系统组件之一。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通过状态工作流、工具接口、日志与错误恢复训练学生从“写提示词”升级为“设计可运行系统”。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3.5 形成团队协作、版本控制和技术表达能力，能够使用结构化文档、代码、流程图、测试报告和演示说明个人贡献与系统行为。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综合项目采用角色分工、Git版本管理、接口文档和阶段评审，个人贡献需可追溯。</w:t>
            </w:r>
          </w:p>
        </w:tc>
      </w:tr>
      <w:tr>
        <w:trPr>
          <w:cantSplit/>
        </w:trPr>
        <w:tc>
          <w:tcPr>
            <w:tcW w:type="dxa" w:w="809"/>
            <w:vMerge/>
          </w:tcPr>
          <w:p/>
        </w:tc>
        <w:tc>
          <w:tcPr>
            <w:tcW w:type="dxa" w:w="42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3.6 形成负责任使用人工智能和持续学习意识，能够识别模型能力边界、评估技术更新并对AI建议保持独立判断与验证责任。</w:t>
            </w:r>
          </w:p>
        </w:tc>
        <w:tc>
          <w:tcPr>
            <w:tcW w:type="dxa" w:w="422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通过模型失效、安全与伦理案例以及新框架迁移任务，要求学生说明采用/拒绝AI建议的依据并总结局限。</w:t>
            </w:r>
          </w:p>
        </w:tc>
      </w:tr>
    </w:tbl>
    <w:p/>
    <w:p>
      <w:pPr>
        <w:keepNext/>
        <w:spacing w:before="160" w:after="80"/>
      </w:pPr>
      <w:r>
        <w:rPr>
          <w:rFonts w:ascii="Times New Roman" w:hAnsi="Times New Roman" w:eastAsia="黑体" w:cs="Times New Roman"/>
          <w:b/>
          <w:sz w:val="28"/>
        </w:rPr>
        <w:t>三、理论教学环节及基本要求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070"/>
        <w:gridCol w:w="1424"/>
        <w:gridCol w:w="688"/>
        <w:gridCol w:w="1137"/>
        <w:gridCol w:w="3640"/>
        <w:gridCol w:w="1111"/>
      </w:tblGrid>
      <w:tr>
        <w:trPr>
          <w:tblHeader w:val="true"/>
        </w:trPr>
        <w:tc>
          <w:tcPr>
            <w:tcW w:type="dxa" w:w="107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单元标题</w:t>
            </w:r>
          </w:p>
        </w:tc>
        <w:tc>
          <w:tcPr>
            <w:tcW w:type="dxa" w:w="1424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教学内容</w:t>
            </w:r>
          </w:p>
        </w:tc>
        <w:tc>
          <w:tcPr>
            <w:tcW w:type="dxa" w:w="68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学时</w:t>
            </w:r>
          </w:p>
        </w:tc>
        <w:tc>
          <w:tcPr>
            <w:tcW w:type="dxa" w:w="4777"/>
            <w:vAlign w:val="center"/>
            <w:gridSpan w:val="2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课程要求</w:t>
            </w:r>
          </w:p>
        </w:tc>
        <w:tc>
          <w:tcPr>
            <w:tcW w:type="dxa" w:w="1111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>
          <w:cantSplit/>
        </w:trPr>
        <w:tc>
          <w:tcPr>
            <w:tcW w:type="dxa" w:w="107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第一单元 人工智能基础与表征学习</w:t>
            </w:r>
          </w:p>
        </w:tc>
        <w:tc>
          <w:tcPr>
            <w:tcW w:type="dxa" w:w="1424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人工智能与机器学习基本范式；特征、距离与数据表示；PCA；SVD与低秩近似；前馈神经网络、激活函数、损失函数、反向传播与基本训练流程</w:t>
            </w:r>
          </w:p>
        </w:tc>
        <w:tc>
          <w:tcPr>
            <w:tcW w:type="dxa" w:w="688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思政融入点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结合制造数据降维和模型误判案例，强调数据质量、数学假设与工程结论之间的关系，培养尊重数据和可重复验证的科学态度。</w:t>
            </w:r>
          </w:p>
        </w:tc>
        <w:tc>
          <w:tcPr>
            <w:tcW w:type="dxa" w:w="1111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知识层面：理解PCA、SVD和神经网络的基本原理及联系。</w:t>
              <w:br/>
              <w:t>能力层面：能够解释降维、低秩近似和神经网络表示的适用场景。</w:t>
              <w:br/>
              <w:t>素养层面：形成以数据与实验验证模型效果的实证意识。</w:t>
            </w:r>
          </w:p>
        </w:tc>
        <w:tc>
          <w:tcPr>
            <w:tcW w:type="dxa" w:w="1111"/>
            <w:vMerge/>
          </w:tcPr>
          <w:p/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讲授、矩阵可视化、案例推导、对比实验</w:t>
            </w:r>
          </w:p>
        </w:tc>
        <w:tc>
          <w:tcPr>
            <w:tcW w:type="dxa" w:w="1111"/>
            <w:vMerge/>
          </w:tcPr>
          <w:p/>
        </w:tc>
      </w:tr>
      <w:tr>
        <w:trPr>
          <w:cantSplit/>
        </w:trPr>
        <w:tc>
          <w:tcPr>
            <w:tcW w:type="dxa" w:w="107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第二单元 Transformer与大语言模型</w:t>
            </w:r>
          </w:p>
        </w:tc>
        <w:tc>
          <w:tcPr>
            <w:tcW w:type="dxa" w:w="1424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注意力机制；Transformer编码/解码思想；Token与Embedding；上下文窗口；预训练与指令对齐概念；推理与生成；提示设计；结构化输出；本地模型与API调用</w:t>
            </w:r>
          </w:p>
        </w:tc>
        <w:tc>
          <w:tcPr>
            <w:tcW w:type="dxa" w:w="688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思政融入点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通过国产外大模型生态与开放接口讨论技术演进和自主学习，强调API密钥、敏感信息与模型输出的安全边界。</w:t>
            </w:r>
          </w:p>
        </w:tc>
        <w:tc>
          <w:tcPr>
            <w:tcW w:type="dxa" w:w="1111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知识层面：掌握Transformer与LLM应用所需核心概念。</w:t>
              <w:br/>
              <w:t>能力层面：能够设计受约束提示并解释模型输入输出过程。</w:t>
              <w:br/>
              <w:t>素养层面：形成安全使用模型接口和独立核验输出的习惯。</w:t>
            </w:r>
          </w:p>
        </w:tc>
        <w:tc>
          <w:tcPr>
            <w:tcW w:type="dxa" w:w="1111"/>
            <w:vMerge/>
          </w:tcPr>
          <w:p/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讲授、结构图解、提示对照、API演示</w:t>
            </w:r>
          </w:p>
        </w:tc>
        <w:tc>
          <w:tcPr>
            <w:tcW w:type="dxa" w:w="1111"/>
            <w:vMerge/>
          </w:tcPr>
          <w:p/>
        </w:tc>
      </w:tr>
      <w:tr>
        <w:trPr>
          <w:cantSplit/>
        </w:trPr>
        <w:tc>
          <w:tcPr>
            <w:tcW w:type="dxa" w:w="107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第三单元 RAG与知识工程</w:t>
            </w:r>
          </w:p>
        </w:tc>
        <w:tc>
          <w:tcPr>
            <w:tcW w:type="dxa" w:w="1424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Embedding；文本切分与元数据；向量检索；召回、重排序与上下文构造；RAG评价；实体、关系与三元组；知识图谱存储与查询；知识图谱与大模型融合、GraphRAG概念</w:t>
            </w:r>
          </w:p>
        </w:tc>
        <w:tc>
          <w:tcPr>
            <w:tcW w:type="dxa" w:w="688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思政融入点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通过工艺规范和设备手册的来源追踪，强化知识版权、数据来源、版本与事实核验意识，避免“模型说了就算事实”。</w:t>
            </w:r>
          </w:p>
        </w:tc>
        <w:tc>
          <w:tcPr>
            <w:tcW w:type="dxa" w:w="1111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知识层面：掌握RAG与知识图谱的基本构成。</w:t>
              <w:br/>
              <w:t>能力层面：能够分析知识增强系统中的召回、证据与回答链路。</w:t>
              <w:br/>
              <w:t>素养层面：形成知识来源可追溯与事实核验意识。</w:t>
            </w:r>
          </w:p>
        </w:tc>
        <w:tc>
          <w:tcPr>
            <w:tcW w:type="dxa" w:w="1111"/>
            <w:vMerge/>
          </w:tcPr>
          <w:p/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讲授、检索案例、图结构演示、错误回答分析</w:t>
            </w:r>
          </w:p>
        </w:tc>
        <w:tc>
          <w:tcPr>
            <w:tcW w:type="dxa" w:w="1111"/>
            <w:vMerge/>
          </w:tcPr>
          <w:p/>
        </w:tc>
      </w:tr>
      <w:tr>
        <w:trPr>
          <w:cantSplit/>
        </w:trPr>
        <w:tc>
          <w:tcPr>
            <w:tcW w:type="dxa" w:w="107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第四单元 Agent、工具调用与状态工作流</w:t>
            </w:r>
          </w:p>
        </w:tc>
        <w:tc>
          <w:tcPr>
            <w:tcW w:type="dxa" w:w="1424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Agent目标/状态/动作/工具/记忆/终止；ReAct与规划执行；工具描述与参数校验；短期/长期记忆；状态机；LangGraph状态图、条件路由、循环、持久化、人工中断与错误恢复</w:t>
            </w:r>
          </w:p>
        </w:tc>
        <w:tc>
          <w:tcPr>
            <w:tcW w:type="dxa" w:w="688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思政融入点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以自动执行可能造成的误操作为案例，强调工具白名单、终止条件、人工确认和日志审计在工程系统中的责任边界。</w:t>
            </w:r>
          </w:p>
        </w:tc>
        <w:tc>
          <w:tcPr>
            <w:tcW w:type="dxa" w:w="1111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知识层面：理解Agent Loop和状态工作流。</w:t>
              <w:br/>
              <w:t>能力层面：能够设计工具接口和可终止的状态流程。</w:t>
              <w:br/>
              <w:t>素养层面：形成模块化、可观察、可恢复的工程意识。</w:t>
            </w:r>
          </w:p>
        </w:tc>
        <w:tc>
          <w:tcPr>
            <w:tcW w:type="dxa" w:w="1111"/>
            <w:vMerge/>
          </w:tcPr>
          <w:p/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讲授、状态图分析、工具接口演示、失败路径复盘</w:t>
            </w:r>
          </w:p>
        </w:tc>
        <w:tc>
          <w:tcPr>
            <w:tcW w:type="dxa" w:w="1111"/>
            <w:vMerge/>
          </w:tcPr>
          <w:p/>
        </w:tc>
      </w:tr>
      <w:tr>
        <w:trPr>
          <w:cantSplit/>
        </w:trPr>
        <w:tc>
          <w:tcPr>
            <w:tcW w:type="dxa" w:w="107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第五单元 多Agent、MCP与Harness Engineering</w:t>
            </w:r>
          </w:p>
        </w:tc>
        <w:tc>
          <w:tcPr>
            <w:tcW w:type="dxa" w:w="1424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多Agent角色、消息与协同；主智能体/共享空间等模式；任务分解与路由；MCP工具与资源服务思想；上下文工程；Skill；计划与任务清单；权限、沙箱、并发、主循环、记忆和可观察性等Harness要素</w:t>
            </w:r>
          </w:p>
        </w:tc>
        <w:tc>
          <w:tcPr>
            <w:tcW w:type="dxa" w:w="688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思政融入点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通过角色协作与权限边界讨论“能力越强责任越大”，培养团队沟通、最小权限和对自动化执行结果负责的工程意识。</w:t>
            </w:r>
          </w:p>
        </w:tc>
        <w:tc>
          <w:tcPr>
            <w:tcW w:type="dxa" w:w="1111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1.5，2.5，3.5</w:t>
            </w:r>
          </w:p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知识层面：理解多Agent、MCP与Harness的核心职责。</w:t>
              <w:br/>
              <w:t>能力层面：能够分析多Agent消息、工具服务和执行控制架构。</w:t>
              <w:br/>
              <w:t>素养层面：形成接口协作、最小权限和系统化工程思维。</w:t>
            </w:r>
          </w:p>
        </w:tc>
        <w:tc>
          <w:tcPr>
            <w:tcW w:type="dxa" w:w="1111"/>
            <w:vMerge/>
          </w:tcPr>
          <w:p/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讲授、架构对比、协议演示、团队设计评审</w:t>
            </w:r>
          </w:p>
        </w:tc>
        <w:tc>
          <w:tcPr>
            <w:tcW w:type="dxa" w:w="1111"/>
            <w:vMerge/>
          </w:tcPr>
          <w:p/>
        </w:tc>
      </w:tr>
      <w:tr>
        <w:trPr>
          <w:cantSplit/>
        </w:trPr>
        <w:tc>
          <w:tcPr>
            <w:tcW w:type="dxa" w:w="107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第六单元 评测、安全与智能制造综合应用</w:t>
            </w:r>
          </w:p>
        </w:tc>
        <w:tc>
          <w:tcPr>
            <w:tcW w:type="dxa" w:w="1424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LLM/Agent评价指标与测试集；正确性、相关性、鲁棒性、成本和延迟；日志与监控；提示注入、越权调用、隐私泄露；防护与降级；本地部署与API方案选择；3D打印工艺推荐与缺陷/故障诊断系统架构</w:t>
            </w:r>
          </w:p>
        </w:tc>
        <w:tc>
          <w:tcPr>
            <w:tcW w:type="dxa" w:w="688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思政融入点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结合制造质量、安全生产与AI误判风险，讨论人工智能的适用边界、可解释性和人类最终责任，培养负责任创新意识。</w:t>
            </w:r>
          </w:p>
        </w:tc>
        <w:tc>
          <w:tcPr>
            <w:tcW w:type="dxa" w:w="1111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1.6，2.6，3.6</w:t>
            </w:r>
          </w:p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知识层面：掌握AI应用评价与安全的基本方法。</w:t>
              <w:br/>
              <w:t>能力层面：能够为智能制造AI系统设计测试、安全和降级方案。</w:t>
              <w:br/>
              <w:t>素养层面：形成负责任AI和持续学习意识。</w:t>
            </w:r>
          </w:p>
        </w:tc>
        <w:tc>
          <w:tcPr>
            <w:tcW w:type="dxa" w:w="1111"/>
            <w:vMerge/>
          </w:tcPr>
          <w:p/>
        </w:tc>
      </w:tr>
      <w:tr>
        <w:trPr>
          <w:cantSplit/>
        </w:trPr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4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讲授、安全案例、评价设计、综合架构评审</w:t>
            </w:r>
          </w:p>
        </w:tc>
        <w:tc>
          <w:tcPr>
            <w:tcW w:type="dxa" w:w="1111"/>
            <w:vMerge/>
          </w:tcPr>
          <w:p/>
        </w:tc>
      </w:tr>
    </w:tbl>
    <w:p>
      <w:pPr>
        <w:spacing w:after="80"/>
      </w:pPr>
      <w:r>
        <w:rPr>
          <w:rFonts w:ascii="Times New Roman" w:hAnsi="Times New Roman" w:eastAsia="宋体" w:cs="Times New Roman"/>
          <w:b/>
          <w:sz w:val="21"/>
        </w:rPr>
        <w:t>理论总学时 24</w:t>
      </w:r>
    </w:p>
    <w:p>
      <w:pPr>
        <w:keepNext/>
        <w:spacing w:before="160" w:after="80"/>
      </w:pPr>
      <w:r>
        <w:rPr>
          <w:rFonts w:ascii="Times New Roman" w:hAnsi="Times New Roman" w:eastAsia="黑体" w:cs="Times New Roman"/>
          <w:b/>
          <w:sz w:val="28"/>
        </w:rPr>
        <w:t>四、上机教学环节及基本要求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150"/>
        <w:gridCol w:w="1900"/>
        <w:gridCol w:w="600"/>
        <w:gridCol w:w="950"/>
        <w:gridCol w:w="3650"/>
        <w:gridCol w:w="1000"/>
      </w:tblGrid>
      <w:tr>
        <w:trPr>
          <w:tblHeader w:val="true"/>
        </w:trPr>
        <w:tc>
          <w:tcPr>
            <w:tcW w:type="dxa" w:w="11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上机项目</w:t>
            </w:r>
          </w:p>
        </w:tc>
        <w:tc>
          <w:tcPr>
            <w:tcW w:type="dxa" w:w="19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上机内容</w:t>
            </w:r>
          </w:p>
        </w:tc>
        <w:tc>
          <w:tcPr>
            <w:tcW w:type="dxa" w:w="6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学时</w:t>
            </w:r>
          </w:p>
        </w:tc>
        <w:tc>
          <w:tcPr>
            <w:tcW w:type="dxa" w:w="4600"/>
            <w:vAlign w:val="center"/>
            <w:gridSpan w:val="2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上机要求</w:t>
            </w:r>
          </w:p>
        </w:tc>
        <w:tc>
          <w:tcPr>
            <w:tcW w:type="dxa" w:w="10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>
          <w:cantSplit/>
        </w:trPr>
        <w:tc>
          <w:tcPr>
            <w:tcW w:type="dxa" w:w="115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上机一 PCA、SVD与神经网络基础</w:t>
            </w:r>
          </w:p>
        </w:tc>
        <w:tc>
          <w:tcPr>
            <w:tcW w:type="dxa" w:w="1900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使用Python/NumPy/scikit-learn完成PCA与SVD降维、可视化和重建；使用PyTorch或等价工具完成简单MLP分类，对比原始特征与低维特征表现</w:t>
            </w:r>
          </w:p>
        </w:tc>
        <w:tc>
          <w:tcPr>
            <w:tcW w:type="dxa" w:w="6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任务类型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验证+设计型；通过可重复实验和误差比较培养实证精神，强调不能只展示“最好一次”结果。</w:t>
            </w:r>
          </w:p>
        </w:tc>
        <w:tc>
          <w:tcPr>
            <w:tcW w:type="dxa" w:w="10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知识层面：理解PCA/SVD与神经网络表征。</w:t>
              <w:br/>
              <w:t>能力层面：完成降维、训练、评价和结果解释。</w:t>
              <w:br/>
              <w:t>素养层面：规范保存数据、参数和实验结果。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个人上机、对照实验、结果复盘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上机二 LLM接口与结构化输出</w:t>
            </w:r>
          </w:p>
        </w:tc>
        <w:tc>
          <w:tcPr>
            <w:tcW w:type="dxa" w:w="1900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配置VS Code/Python环境；调用本地或兼容API模型；实现提示模板、JSON Schema/Pydantic等结构化输出；处理超时、非法JSON和模型拒答</w:t>
            </w:r>
          </w:p>
        </w:tc>
        <w:tc>
          <w:tcPr>
            <w:tcW w:type="dxa" w:w="6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任务类型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验证型；强调API密钥、敏感数据和调用成本管理，培养最小暴露和安全配置意识。</w:t>
            </w:r>
          </w:p>
        </w:tc>
        <w:tc>
          <w:tcPr>
            <w:tcW w:type="dxa" w:w="10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知识层面：掌握模型接口与结构化输出。</w:t>
              <w:br/>
              <w:t>能力层面：能稳定解析输出并处理异常。</w:t>
              <w:br/>
              <w:t>素养层面：形成密钥保护和输出核验习惯。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演示、个人编码、异常注入测试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上机三 工具调用与单Agent Loop</w:t>
            </w:r>
          </w:p>
        </w:tc>
        <w:tc>
          <w:tcPr>
            <w:tcW w:type="dxa" w:w="1900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定义计算、文件查询、参数检查等3—5个工具；实现工具描述、参数校验、调用分派、动作日志、最大步数和终止条件；构建最小单Agent</w:t>
            </w:r>
          </w:p>
        </w:tc>
        <w:tc>
          <w:tcPr>
            <w:tcW w:type="dxa" w:w="6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任务类型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设计型；通过白名单、最大步数和操作确认培养自动化系统的安全责任意识。</w:t>
            </w:r>
          </w:p>
        </w:tc>
        <w:tc>
          <w:tcPr>
            <w:tcW w:type="dxa" w:w="10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1.2，1.4，2.2，2.4，3.2，3.4</w:t>
            </w:r>
          </w:p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知识层面：理解Agent工具调用循环。</w:t>
              <w:br/>
              <w:t>能力层面：实现可终止、可追踪的单Agent。</w:t>
              <w:br/>
              <w:t>素养层面：形成接口、日志和权限意识。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骨架代码、工具开发、故障注入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上机四 RAG知识库</w:t>
            </w:r>
          </w:p>
        </w:tc>
        <w:tc>
          <w:tcPr>
            <w:tcW w:type="dxa" w:w="1900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选取设备手册/工艺资料；完成文本切分、元数据、Embedding、向量检索、重排序和带引用回答；构造小型测试集比较纯LLM与RAG</w:t>
            </w:r>
          </w:p>
        </w:tc>
        <w:tc>
          <w:tcPr>
            <w:tcW w:type="dxa" w:w="6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任务类型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设计型；要求保留资料来源与引用片段，培养知识版权、来源追踪与事实核验意识。</w:t>
            </w:r>
          </w:p>
        </w:tc>
        <w:tc>
          <w:tcPr>
            <w:tcW w:type="dxa" w:w="10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知识层面：理解RAG端到端流程。</w:t>
              <w:br/>
              <w:t>能力层面：构建可追溯问答知识库并评价召回/回答。</w:t>
              <w:br/>
              <w:t>素养层面：形成来源记录和拒绝无证据回答的习惯。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文档处理、检索实验、AB对比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上机五 LangGraph状态工作流</w:t>
            </w:r>
          </w:p>
        </w:tc>
        <w:tc>
          <w:tcPr>
            <w:tcW w:type="dxa" w:w="1900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使用LangGraph或等价状态机实现状态、节点、条件边、循环、记忆、人工中断和错误恢复；将工具调用Agent改造成显式工作流</w:t>
            </w:r>
          </w:p>
        </w:tc>
        <w:tc>
          <w:tcPr>
            <w:tcW w:type="dxa" w:w="6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任务类型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设计型；通过状态可视化和错误恢复训练“先设计流程、再交给模型”的工程思想，避免不可控黑盒执行。</w:t>
            </w:r>
          </w:p>
        </w:tc>
        <w:tc>
          <w:tcPr>
            <w:tcW w:type="dxa" w:w="10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知识层面：掌握状态图和工作流核心机制。</w:t>
              <w:br/>
              <w:t>能力层面：实现可观察、可恢复的Agent流程。</w:t>
              <w:br/>
              <w:t>素养层面：形成可维护和可测试的系统意识。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状态图设计、分段实现、断点调试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上机六 知识图谱与知识增强诊断</w:t>
            </w:r>
          </w:p>
        </w:tc>
        <w:tc>
          <w:tcPr>
            <w:tcW w:type="dxa" w:w="1900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从3D打印材料、设备、参数、缺陷知识构建不少于30条三元组；使用NetworkX/Neo4j等完成一跳/两跳查询和诊断路径；将图谱结果作为Agent/RAG证据</w:t>
            </w:r>
          </w:p>
        </w:tc>
        <w:tc>
          <w:tcPr>
            <w:tcW w:type="dxa" w:w="6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任务类型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设计型；要求图谱事实来源可追溯、关系命名一致，培养知识质量和数据治理意识。</w:t>
            </w:r>
          </w:p>
        </w:tc>
        <w:tc>
          <w:tcPr>
            <w:tcW w:type="dxa" w:w="10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知识层面：掌握三元组与图查询。</w:t>
              <w:br/>
              <w:t>能力层面：构建小型领域图谱并用于诊断。</w:t>
              <w:br/>
              <w:t>素养层面：形成知识版本和来源管理习惯。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知识建模、图查询、诊断路径可视化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上机七 多Agent、MCP与简化Harness</w:t>
            </w:r>
          </w:p>
        </w:tc>
        <w:tc>
          <w:tcPr>
            <w:tcW w:type="dxa" w:w="1900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设计规划/检索/工具/审核等2—4种Agent角色；实现结构化消息与共享状态；接入或实现MCP工具服务；配置权限、日志、任务清单和失败重试，形成简化Harness</w:t>
            </w:r>
          </w:p>
        </w:tc>
        <w:tc>
          <w:tcPr>
            <w:tcW w:type="dxa" w:w="6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任务类型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综合型；通过角色职责与权限表强化团队协作、最小权限和系统责任边界。</w:t>
            </w:r>
          </w:p>
        </w:tc>
        <w:tc>
          <w:tcPr>
            <w:tcW w:type="dxa" w:w="10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1.5，2.5，3.5</w:t>
            </w:r>
          </w:p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知识层面：理解多Agent协作、MCP和Harness职责。</w:t>
              <w:br/>
              <w:t>能力层面：完成消息、工具服务、权限和执行控制集成。</w:t>
              <w:br/>
              <w:t>素养层面：形成接口文档、协作和审计意识。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团队开发、接口评审、日志验收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上机八 3D打印智能工艺与故障诊断助手</w:t>
            </w:r>
          </w:p>
        </w:tc>
        <w:tc>
          <w:tcPr>
            <w:tcW w:type="dxa" w:w="1900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整合领域RAG、知识图谱、工具调用、状态工作流和多Agent；实现工艺建议、缺陷/故障诊断、证据引用、日志、权限与拒答；建立测试集评价正确性、相关性、鲁棒性、成本与延迟</w:t>
            </w:r>
          </w:p>
        </w:tc>
        <w:tc>
          <w:tcPr>
            <w:tcW w:type="dxa" w:w="6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任务类型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综合型；结合制造安全和AI误判讨论人机责任边界，要求高风险建议提供证据并保留人工确认。</w:t>
            </w:r>
          </w:p>
        </w:tc>
        <w:tc>
          <w:tcPr>
            <w:tcW w:type="dxa" w:w="1000"/>
            <w:vMerge w:val="restart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1.6，2.6，3.5，3.6</w:t>
            </w:r>
          </w:p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预期学习成果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知识层面：综合理解智能制造AI系统架构。</w:t>
              <w:br/>
              <w:t>能力层面：完成可演示、可测试、可解释的综合原型。</w:t>
              <w:br/>
              <w:t>素养层面：形成负责任交付、持续评价和个人验证意识。</w:t>
            </w:r>
          </w:p>
        </w:tc>
        <w:tc>
          <w:tcPr>
            <w:tcW w:type="dxa" w:w="1000"/>
            <w:vMerge/>
          </w:tcPr>
          <w:p/>
        </w:tc>
      </w:tr>
      <w:tr>
        <w:trPr>
          <w:cantSplit/>
        </w:trPr>
        <w:tc>
          <w:tcPr>
            <w:tcW w:type="dxa" w:w="115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9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教学方式</w:t>
            </w:r>
          </w:p>
        </w:tc>
        <w:tc>
          <w:tcPr>
            <w:tcW w:type="dxa" w:w="36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团队项目、现场演示、测试验收、个人答辩</w:t>
            </w:r>
          </w:p>
        </w:tc>
        <w:tc>
          <w:tcPr>
            <w:tcW w:type="dxa" w:w="1000"/>
            <w:vMerge/>
          </w:tcPr>
          <w:p/>
        </w:tc>
      </w:tr>
    </w:tbl>
    <w:p>
      <w:pPr>
        <w:spacing w:after="80"/>
      </w:pPr>
      <w:r>
        <w:rPr>
          <w:rFonts w:ascii="Times New Roman" w:hAnsi="Times New Roman" w:eastAsia="宋体" w:cs="Times New Roman"/>
          <w:b/>
          <w:sz w:val="21"/>
        </w:rPr>
        <w:t>上机总学时 32</w:t>
      </w:r>
    </w:p>
    <w:p>
      <w:pPr>
        <w:keepNext/>
        <w:spacing w:before="160" w:after="80"/>
      </w:pPr>
      <w:r>
        <w:rPr>
          <w:rFonts w:ascii="Times New Roman" w:hAnsi="Times New Roman" w:eastAsia="黑体" w:cs="Times New Roman"/>
          <w:b/>
          <w:sz w:val="28"/>
        </w:rPr>
        <w:t>五、课程评价</w:t>
      </w:r>
    </w:p>
    <w:p>
      <w:pPr>
        <w:keepNext/>
        <w:spacing w:before="100" w:after="40"/>
      </w:pPr>
      <w:r>
        <w:rPr>
          <w:rFonts w:ascii="Times New Roman" w:hAnsi="Times New Roman" w:eastAsia="宋体" w:cs="Times New Roman"/>
          <w:b/>
          <w:sz w:val="24"/>
        </w:rPr>
        <w:t>（一）考核内容、考核方式与课程目标对应关系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048"/>
        <w:gridCol w:w="680"/>
        <w:gridCol w:w="668"/>
        <w:gridCol w:w="625"/>
        <w:gridCol w:w="1000"/>
        <w:gridCol w:w="1050"/>
        <w:gridCol w:w="1050"/>
        <w:gridCol w:w="1050"/>
        <w:gridCol w:w="1180"/>
      </w:tblGrid>
      <w:tr>
        <w:trPr>
          <w:tblHeader w:val="true"/>
        </w:trPr>
        <w:tc>
          <w:tcPr>
            <w:tcW w:type="dxa" w:w="1048"/>
            <w:vAlign w:val="center"/>
            <w:vMerge w:val="restart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考核内容</w:t>
            </w:r>
          </w:p>
        </w:tc>
        <w:tc>
          <w:tcPr>
            <w:tcW w:type="dxa" w:w="680"/>
            <w:vAlign w:val="center"/>
            <w:vMerge w:val="restart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总学时</w:t>
            </w:r>
          </w:p>
        </w:tc>
        <w:tc>
          <w:tcPr>
            <w:tcW w:type="dxa" w:w="668"/>
            <w:vAlign w:val="center"/>
            <w:vMerge w:val="restart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理论学时</w:t>
            </w:r>
          </w:p>
        </w:tc>
        <w:tc>
          <w:tcPr>
            <w:tcW w:type="dxa" w:w="625"/>
            <w:vAlign w:val="center"/>
            <w:vMerge w:val="restart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上机学时</w:t>
            </w:r>
          </w:p>
        </w:tc>
        <w:tc>
          <w:tcPr>
            <w:tcW w:type="dxa" w:w="4150"/>
            <w:vAlign w:val="center"/>
            <w:gridSpan w:val="4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考核方式及占比（100%）</w:t>
            </w:r>
          </w:p>
        </w:tc>
        <w:tc>
          <w:tcPr>
            <w:tcW w:type="dxa" w:w="1180"/>
            <w:vAlign w:val="center"/>
            <w:vMerge w:val="restart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课程目标</w:t>
            </w:r>
          </w:p>
        </w:tc>
      </w:tr>
      <w:tr>
        <w:trPr>
          <w:tblHeader w:val="true"/>
        </w:trPr>
        <w:tc>
          <w:tcPr>
            <w:tcW w:type="dxa" w:w="1048"/>
            <w:vAlign w:val="center"/>
            <w:vMerge/>
            <w:tcMar>
              <w:top w:w="70" w:type="dxa"/>
              <w:bottom w:w="70" w:type="dxa"/>
              <w:start w:w="70" w:type="dxa"/>
              <w:end w:w="70" w:type="dxa"/>
            </w:tcMar>
          </w:tcPr>
          <w:p/>
        </w:tc>
        <w:tc>
          <w:tcPr>
            <w:tcW w:type="dxa" w:w="680"/>
            <w:vAlign w:val="center"/>
            <w:vMerge/>
            <w:tcMar>
              <w:top w:w="70" w:type="dxa"/>
              <w:bottom w:w="70" w:type="dxa"/>
              <w:start w:w="70" w:type="dxa"/>
              <w:end w:w="70" w:type="dxa"/>
            </w:tcMar>
          </w:tcPr>
          <w:p/>
        </w:tc>
        <w:tc>
          <w:tcPr>
            <w:tcW w:type="dxa" w:w="668"/>
            <w:vAlign w:val="center"/>
            <w:vMerge/>
            <w:tcMar>
              <w:top w:w="70" w:type="dxa"/>
              <w:bottom w:w="70" w:type="dxa"/>
              <w:start w:w="70" w:type="dxa"/>
              <w:end w:w="70" w:type="dxa"/>
            </w:tcMar>
          </w:tcPr>
          <w:p/>
        </w:tc>
        <w:tc>
          <w:tcPr>
            <w:tcW w:type="dxa" w:w="625"/>
            <w:vAlign w:val="center"/>
            <w:vMerge/>
            <w:tcMar>
              <w:top w:w="70" w:type="dxa"/>
              <w:bottom w:w="70" w:type="dxa"/>
              <w:start w:w="70" w:type="dxa"/>
              <w:end w:w="70" w:type="dxa"/>
            </w:tcMar>
          </w:tcPr>
          <w:p/>
        </w:tc>
        <w:tc>
          <w:tcPr>
            <w:tcW w:type="dxa" w:w="10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5"/>
              </w:rPr>
              <w:t>平时表现（15%）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5"/>
              </w:rPr>
              <w:t>上机实验（25%）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5"/>
              </w:rPr>
              <w:t>综合项目（25%）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5"/>
              </w:rPr>
              <w:t>期末考试（35%）</w:t>
            </w:r>
          </w:p>
        </w:tc>
        <w:tc>
          <w:tcPr>
            <w:tcW w:type="dxa" w:w="1180"/>
            <w:vAlign w:val="center"/>
            <w:vMerge/>
            <w:tcMar>
              <w:top w:w="70" w:type="dxa"/>
              <w:bottom w:w="70" w:type="dxa"/>
              <w:start w:w="70" w:type="dxa"/>
              <w:end w:w="70" w:type="dxa"/>
            </w:tcMar>
          </w:tcPr>
          <w:p/>
        </w:tc>
      </w:tr>
      <w:tr>
        <w:trPr>
          <w:cantSplit/>
        </w:trPr>
        <w:tc>
          <w:tcPr>
            <w:tcW w:type="dxa" w:w="10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第一单元 人工智能基础与表征学习</w:t>
            </w:r>
          </w:p>
        </w:tc>
        <w:tc>
          <w:tcPr>
            <w:tcW w:type="dxa" w:w="6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8</w:t>
            </w:r>
          </w:p>
        </w:tc>
        <w:tc>
          <w:tcPr>
            <w:tcW w:type="dxa" w:w="66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4</w:t>
            </w:r>
          </w:p>
        </w:tc>
        <w:tc>
          <w:tcPr>
            <w:tcW w:type="dxa" w:w="62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4</w:t>
            </w:r>
          </w:p>
        </w:tc>
        <w:tc>
          <w:tcPr>
            <w:tcW w:type="dxa" w:w="1000"/>
            <w:vMerge w:val="restart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平时表现不按单元分配内部占比，按考勤、课堂参与、随堂练习、学习记录和规范性综合评价。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10%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5%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15%</w:t>
            </w:r>
          </w:p>
        </w:tc>
        <w:tc>
          <w:tcPr>
            <w:tcW w:type="dxa" w:w="11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0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第二单元 Transformer与大语言模型</w:t>
            </w:r>
          </w:p>
        </w:tc>
        <w:tc>
          <w:tcPr>
            <w:tcW w:type="dxa" w:w="6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12</w:t>
            </w:r>
          </w:p>
        </w:tc>
        <w:tc>
          <w:tcPr>
            <w:tcW w:type="dxa" w:w="66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4</w:t>
            </w:r>
          </w:p>
        </w:tc>
        <w:tc>
          <w:tcPr>
            <w:tcW w:type="dxa" w:w="62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8</w:t>
            </w:r>
          </w:p>
        </w:tc>
        <w:tc>
          <w:tcPr>
            <w:tcW w:type="dxa" w:w="1000"/>
            <w:vMerge/>
          </w:tcPr>
          <w:p/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20%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10%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20%</w:t>
            </w:r>
          </w:p>
        </w:tc>
        <w:tc>
          <w:tcPr>
            <w:tcW w:type="dxa" w:w="11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0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第三单元 RAG与知识工程</w:t>
            </w:r>
          </w:p>
        </w:tc>
        <w:tc>
          <w:tcPr>
            <w:tcW w:type="dxa" w:w="6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12</w:t>
            </w:r>
          </w:p>
        </w:tc>
        <w:tc>
          <w:tcPr>
            <w:tcW w:type="dxa" w:w="66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4</w:t>
            </w:r>
          </w:p>
        </w:tc>
        <w:tc>
          <w:tcPr>
            <w:tcW w:type="dxa" w:w="62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8</w:t>
            </w:r>
          </w:p>
        </w:tc>
        <w:tc>
          <w:tcPr>
            <w:tcW w:type="dxa" w:w="1000"/>
            <w:vMerge/>
          </w:tcPr>
          <w:p/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25%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20%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15%</w:t>
            </w:r>
          </w:p>
        </w:tc>
        <w:tc>
          <w:tcPr>
            <w:tcW w:type="dxa" w:w="11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0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第四单元 Agent与状态工作流</w:t>
            </w:r>
          </w:p>
        </w:tc>
        <w:tc>
          <w:tcPr>
            <w:tcW w:type="dxa" w:w="6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8</w:t>
            </w:r>
          </w:p>
        </w:tc>
        <w:tc>
          <w:tcPr>
            <w:tcW w:type="dxa" w:w="66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4</w:t>
            </w:r>
          </w:p>
        </w:tc>
        <w:tc>
          <w:tcPr>
            <w:tcW w:type="dxa" w:w="62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4</w:t>
            </w:r>
          </w:p>
        </w:tc>
        <w:tc>
          <w:tcPr>
            <w:tcW w:type="dxa" w:w="1000"/>
            <w:vMerge/>
          </w:tcPr>
          <w:p/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15%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20%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15%</w:t>
            </w:r>
          </w:p>
        </w:tc>
        <w:tc>
          <w:tcPr>
            <w:tcW w:type="dxa" w:w="11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0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第五单元 多Agent、MCP与Harness</w:t>
            </w:r>
          </w:p>
        </w:tc>
        <w:tc>
          <w:tcPr>
            <w:tcW w:type="dxa" w:w="6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8</w:t>
            </w:r>
          </w:p>
        </w:tc>
        <w:tc>
          <w:tcPr>
            <w:tcW w:type="dxa" w:w="66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4</w:t>
            </w:r>
          </w:p>
        </w:tc>
        <w:tc>
          <w:tcPr>
            <w:tcW w:type="dxa" w:w="62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4</w:t>
            </w:r>
          </w:p>
        </w:tc>
        <w:tc>
          <w:tcPr>
            <w:tcW w:type="dxa" w:w="1000"/>
            <w:vMerge/>
          </w:tcPr>
          <w:p/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15%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20%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15%</w:t>
            </w:r>
          </w:p>
        </w:tc>
        <w:tc>
          <w:tcPr>
            <w:tcW w:type="dxa" w:w="11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目标 1.5，2.5，3.5</w:t>
            </w:r>
          </w:p>
        </w:tc>
      </w:tr>
      <w:tr>
        <w:trPr>
          <w:cantSplit/>
        </w:trPr>
        <w:tc>
          <w:tcPr>
            <w:tcW w:type="dxa" w:w="104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第六单元 评测、安全与综合应用</w:t>
            </w:r>
          </w:p>
        </w:tc>
        <w:tc>
          <w:tcPr>
            <w:tcW w:type="dxa" w:w="6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8</w:t>
            </w:r>
          </w:p>
        </w:tc>
        <w:tc>
          <w:tcPr>
            <w:tcW w:type="dxa" w:w="66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4</w:t>
            </w:r>
          </w:p>
        </w:tc>
        <w:tc>
          <w:tcPr>
            <w:tcW w:type="dxa" w:w="62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4</w:t>
            </w:r>
          </w:p>
        </w:tc>
        <w:tc>
          <w:tcPr>
            <w:tcW w:type="dxa" w:w="1000"/>
            <w:vMerge/>
          </w:tcPr>
          <w:p/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15%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25%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20%</w:t>
            </w:r>
          </w:p>
        </w:tc>
        <w:tc>
          <w:tcPr>
            <w:tcW w:type="dxa" w:w="11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目标 1.6，2.6，3.6</w:t>
            </w:r>
          </w:p>
        </w:tc>
      </w:tr>
      <w:tr>
        <w:tc>
          <w:tcPr>
            <w:tcW w:type="dxa" w:w="104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合计</w:t>
            </w:r>
          </w:p>
        </w:tc>
        <w:tc>
          <w:tcPr>
            <w:tcW w:type="dxa" w:w="6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56</w:t>
            </w:r>
          </w:p>
        </w:tc>
        <w:tc>
          <w:tcPr>
            <w:tcW w:type="dxa" w:w="66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24</w:t>
            </w:r>
          </w:p>
        </w:tc>
        <w:tc>
          <w:tcPr>
            <w:tcW w:type="dxa" w:w="62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32</w:t>
            </w:r>
          </w:p>
        </w:tc>
        <w:tc>
          <w:tcPr>
            <w:tcW w:type="dxa" w:w="10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—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100%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100%</w:t>
            </w:r>
          </w:p>
        </w:tc>
        <w:tc>
          <w:tcPr>
            <w:tcW w:type="dxa" w:w="10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100%</w:t>
            </w:r>
          </w:p>
        </w:tc>
        <w:tc>
          <w:tcPr>
            <w:tcW w:type="dxa" w:w="11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—</w:t>
            </w:r>
          </w:p>
        </w:tc>
      </w:tr>
    </w:tbl>
    <w:p/>
    <w:p>
      <w:pPr>
        <w:keepNext/>
        <w:spacing w:before="100" w:after="40"/>
      </w:pPr>
      <w:r>
        <w:rPr>
          <w:rFonts w:ascii="Times New Roman" w:hAnsi="Times New Roman" w:eastAsia="宋体" w:cs="Times New Roman"/>
          <w:b/>
          <w:sz w:val="24"/>
        </w:rPr>
        <w:t>（二）考核方式与评分标准</w:t>
      </w:r>
    </w:p>
    <w:p>
      <w:pPr>
        <w:keepNext/>
        <w:spacing w:before="100" w:after="40"/>
      </w:pPr>
      <w:r>
        <w:rPr>
          <w:rFonts w:ascii="Times New Roman" w:hAnsi="Times New Roman" w:eastAsia="宋体" w:cs="Times New Roman"/>
          <w:b/>
          <w:sz w:val="24"/>
        </w:rPr>
        <w:t>1.考核方式</w:t>
      </w:r>
    </w:p>
    <w:p>
      <w:pPr>
        <w:spacing w:after="0" w:line="312" w:lineRule="auto"/>
      </w:pPr>
      <w:r>
        <w:rPr>
          <w:rFonts w:ascii="Times New Roman" w:hAnsi="Times New Roman" w:eastAsia="宋体" w:cs="Times New Roman"/>
          <w:b w:val="0"/>
          <w:sz w:val="21"/>
        </w:rPr>
        <w:t>考试。</w:t>
      </w:r>
    </w:p>
    <w:p>
      <w:pPr>
        <w:keepNext/>
        <w:spacing w:before="100" w:after="40"/>
      </w:pPr>
      <w:r>
        <w:rPr>
          <w:rFonts w:ascii="Times New Roman" w:hAnsi="Times New Roman" w:eastAsia="宋体" w:cs="Times New Roman"/>
          <w:b/>
          <w:sz w:val="24"/>
        </w:rPr>
        <w:t>2.评分说明</w:t>
      </w:r>
    </w:p>
    <w:p>
      <w:pPr>
        <w:spacing w:after="0" w:line="312" w:lineRule="auto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课程采用过程评价、上机实验、综合项目和期末考试相结合的方式。最终成绩100%=平时表现15%＋上机实验25%＋综合项目25%＋期末考试35%。上机实验侧重单项技术的实现与验证，综合项目重点评价系统集成、工程证据、评价安全和个人贡献；期末考试以概念分析、程序/流程阅读、方案设计和故障分析为主，考查学生对人工智能原理与工程应用的综合理解。</w:t>
      </w:r>
    </w:p>
    <w:p>
      <w:pPr>
        <w:keepNext/>
        <w:spacing w:before="100" w:after="40"/>
      </w:pPr>
      <w:r>
        <w:rPr>
          <w:rFonts w:ascii="Times New Roman" w:hAnsi="Times New Roman" w:eastAsia="宋体" w:cs="Times New Roman"/>
          <w:b/>
          <w:sz w:val="24"/>
        </w:rPr>
        <w:t>3.评分标准分项说明</w:t>
      </w:r>
    </w:p>
    <w:p>
      <w:pPr>
        <w:keepNext/>
        <w:spacing w:before="100" w:after="40"/>
      </w:pPr>
      <w:r>
        <w:rPr>
          <w:rFonts w:ascii="Times New Roman" w:hAnsi="Times New Roman" w:eastAsia="宋体" w:cs="Times New Roman"/>
          <w:b/>
          <w:sz w:val="24"/>
        </w:rPr>
        <w:t>（1）平时表现评分标准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150"/>
        <w:gridCol w:w="750"/>
        <w:gridCol w:w="1500"/>
        <w:gridCol w:w="1500"/>
        <w:gridCol w:w="1500"/>
        <w:gridCol w:w="1500"/>
        <w:gridCol w:w="1500"/>
      </w:tblGrid>
      <w:tr>
        <w:trPr>
          <w:tblHeader w:val="true"/>
        </w:trPr>
        <w:tc>
          <w:tcPr>
            <w:tcW w:type="dxa" w:w="11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5"/>
              </w:rPr>
              <w:t>评分指标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5"/>
              </w:rPr>
              <w:t>指标权重</w:t>
            </w:r>
          </w:p>
        </w:tc>
        <w:tc>
          <w:tcPr>
            <w:tcW w:type="dxa" w:w="15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5"/>
              </w:rPr>
              <w:t>90–100（优）</w:t>
            </w:r>
          </w:p>
        </w:tc>
        <w:tc>
          <w:tcPr>
            <w:tcW w:type="dxa" w:w="15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5"/>
              </w:rPr>
              <w:t>80–89（良）</w:t>
            </w:r>
          </w:p>
        </w:tc>
        <w:tc>
          <w:tcPr>
            <w:tcW w:type="dxa" w:w="15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5"/>
              </w:rPr>
              <w:t>70–79（中）</w:t>
            </w:r>
          </w:p>
        </w:tc>
        <w:tc>
          <w:tcPr>
            <w:tcW w:type="dxa" w:w="15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5"/>
              </w:rPr>
              <w:t>60–69（及格）</w:t>
            </w:r>
          </w:p>
        </w:tc>
        <w:tc>
          <w:tcPr>
            <w:tcW w:type="dxa" w:w="15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5"/>
              </w:rPr>
              <w:t>0–59（不及格）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考勤与课堂规范</w:t>
            </w:r>
          </w:p>
        </w:tc>
        <w:tc>
          <w:tcPr>
            <w:tcW w:type="dxa" w:w="7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30%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出勤完整，遵守课堂、机房、数据与模型使用规范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出勤良好，偶有轻微迟到或规范疏漏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出勤基本正常，能遵守主要规范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达到最低出勤要求，经提醒能遵守规范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缺勤较多或多次违反课堂/安全/数据规范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课堂学习与参与</w:t>
            </w:r>
          </w:p>
        </w:tc>
        <w:tc>
          <w:tcPr>
            <w:tcW w:type="dxa" w:w="7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30%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主动参与原理分析、代码讲评和方案讨论，能清晰说明依据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能够参与主要活动并回答问题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基本参与课堂任务，能完成主要要求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经提醒可参与并完成基础要求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长期不参与或无法完成基本课堂任务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随堂练习与工程记录</w:t>
            </w:r>
          </w:p>
        </w:tc>
        <w:tc>
          <w:tcPr>
            <w:tcW w:type="dxa" w:w="7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40%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练习及时正确，代码/提示/测试/日志记录完整，可复现并主动核验AI输出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练习基本正确，记录较完整，少量问题可自主修正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完成主要练习，有基本记录和验证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在指导下完成基础练习和最低记录要求</w:t>
            </w:r>
          </w:p>
        </w:tc>
        <w:tc>
          <w:tcPr>
            <w:tcW w:type="dxa" w:w="150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5"/>
              </w:rPr>
              <w:t>大量缺交、无运行证据或直接提交无法解释的生成结果</w:t>
            </w:r>
          </w:p>
        </w:tc>
      </w:tr>
    </w:tbl>
    <w:p/>
    <w:p>
      <w:pPr>
        <w:keepNext/>
        <w:spacing w:before="100" w:after="40"/>
      </w:pPr>
      <w:r>
        <w:rPr>
          <w:rFonts w:ascii="Times New Roman" w:hAnsi="Times New Roman" w:eastAsia="宋体" w:cs="Times New Roman"/>
          <w:b/>
          <w:sz w:val="24"/>
        </w:rPr>
        <w:t>（2）上机实验评分标准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50"/>
        <w:gridCol w:w="800"/>
        <w:gridCol w:w="5550"/>
        <w:gridCol w:w="1380"/>
      </w:tblGrid>
      <w:tr>
        <w:trPr>
          <w:tblHeader w:val="true"/>
        </w:trPr>
        <w:tc>
          <w:tcPr>
            <w:tcW w:type="dxa" w:w="15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考核内容</w:t>
            </w:r>
          </w:p>
        </w:tc>
        <w:tc>
          <w:tcPr>
            <w:tcW w:type="dxa" w:w="8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成绩占比</w:t>
            </w:r>
          </w:p>
        </w:tc>
        <w:tc>
          <w:tcPr>
            <w:tcW w:type="dxa" w:w="55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考核目标与评分要求</w:t>
            </w:r>
          </w:p>
        </w:tc>
        <w:tc>
          <w:tcPr>
            <w:tcW w:type="dxa" w:w="138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课程目标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人工智能基础与表征实验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10%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PCA/SVD实现正确，降维与重建结果合理；能够完成简单神经网络训练并解释评价指标与实验差异。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LLM接口与工具调用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模型调用、结构化输出和异常处理完整；工具接口清晰，参数校验、终止条件和日志有效。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1.2，1.4，2.2，2.4，3.2，3.4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RAG与知识图谱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文档切分、检索、引用和图谱数据结构合理；能够完成可追溯回答和基本诊断路径，并用测试集评价。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LangGraph状态工作流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状态、节点、条件边、循环与错误恢复逻辑正确；流程可终止、可观察、可复现。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多Agent、MCP与Harness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角色职责、消息协议、MCP工具服务、权限和日志设计合理，协作流程可运行并有失败处理。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1.5，2.5，3.5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综合实验与评价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3D打印助手能够完成核心任务，证据引用和拒答策略有效，测试覆盖正确性、鲁棒性、成本/延迟和安全场景。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1.6，2.6，3.6</w:t>
            </w:r>
          </w:p>
        </w:tc>
      </w:tr>
      <w:tr>
        <w:tc>
          <w:tcPr>
            <w:tcW w:type="dxa" w:w="15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合计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100%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</w:r>
          </w:p>
        </w:tc>
      </w:tr>
    </w:tbl>
    <w:p/>
    <w:p>
      <w:pPr>
        <w:keepNext/>
        <w:spacing w:before="100" w:after="40"/>
      </w:pPr>
      <w:r>
        <w:rPr>
          <w:rFonts w:ascii="Times New Roman" w:hAnsi="Times New Roman" w:eastAsia="宋体" w:cs="Times New Roman"/>
          <w:b/>
          <w:sz w:val="24"/>
        </w:rPr>
        <w:t>（3）综合项目评分标准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50"/>
        <w:gridCol w:w="800"/>
        <w:gridCol w:w="5550"/>
        <w:gridCol w:w="1380"/>
      </w:tblGrid>
      <w:tr>
        <w:trPr>
          <w:tblHeader w:val="true"/>
        </w:trPr>
        <w:tc>
          <w:tcPr>
            <w:tcW w:type="dxa" w:w="15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考核内容</w:t>
            </w:r>
          </w:p>
        </w:tc>
        <w:tc>
          <w:tcPr>
            <w:tcW w:type="dxa" w:w="8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成绩占比</w:t>
            </w:r>
          </w:p>
        </w:tc>
        <w:tc>
          <w:tcPr>
            <w:tcW w:type="dxa" w:w="55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考核目标与评分要求</w:t>
            </w:r>
          </w:p>
        </w:tc>
        <w:tc>
          <w:tcPr>
            <w:tcW w:type="dxa" w:w="138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课程目标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问题定义、数据与知识边界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明确3D打印工艺/缺陷/故障诊断问题、输入输出、适用边界；资料来源真实可追溯，测试数据组织规范。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2.3，2.6，3.3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RAG与知识图谱质量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检索与图谱能够提供有效证据，实体/关系设计清楚，回答包含来源或诊断路径，能处理无证据情况。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Agent工具与状态工作流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工具接口、状态、路由、终止和错误恢复设计合理，日志能够解释关键决策和失败过程。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多Agent、MCP与Harness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角色分工与消息协议合理，工具服务与权限边界清晰，具备基本任务计划、重试和审计机制。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1.5，2.5，3.5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评测、安全与鲁棒性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建立代表性测试集，覆盖正确性、相关性、鲁棒性、提示注入/越权等场景；能根据结果改进系统。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1.6，2.6，3.6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工程交付与个人贡献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代码和文档结构规范，使用Git保留过程；演示清晰，个人能解释负责模块、测试依据及AI协作取舍。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2.6，3.5，3.6</w:t>
            </w:r>
          </w:p>
        </w:tc>
      </w:tr>
      <w:tr>
        <w:tc>
          <w:tcPr>
            <w:tcW w:type="dxa" w:w="15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合计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100%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</w:r>
          </w:p>
        </w:tc>
      </w:tr>
    </w:tbl>
    <w:p/>
    <w:p>
      <w:pPr>
        <w:keepNext/>
        <w:spacing w:before="100" w:after="40"/>
      </w:pPr>
      <w:r>
        <w:rPr>
          <w:rFonts w:ascii="Times New Roman" w:hAnsi="Times New Roman" w:eastAsia="宋体" w:cs="Times New Roman"/>
          <w:b/>
          <w:sz w:val="24"/>
        </w:rPr>
        <w:t>（4）期末考试评分标准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50"/>
        <w:gridCol w:w="800"/>
        <w:gridCol w:w="5550"/>
        <w:gridCol w:w="1380"/>
      </w:tblGrid>
      <w:tr>
        <w:trPr>
          <w:tblHeader w:val="true"/>
        </w:trPr>
        <w:tc>
          <w:tcPr>
            <w:tcW w:type="dxa" w:w="15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考核内容</w:t>
            </w:r>
          </w:p>
        </w:tc>
        <w:tc>
          <w:tcPr>
            <w:tcW w:type="dxa" w:w="80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成绩占比</w:t>
            </w:r>
          </w:p>
        </w:tc>
        <w:tc>
          <w:tcPr>
            <w:tcW w:type="dxa" w:w="555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考点与要求</w:t>
            </w:r>
          </w:p>
        </w:tc>
        <w:tc>
          <w:tcPr>
            <w:tcW w:type="dxa" w:w="138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课程目标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人工智能基础与表征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理解PCA、SVD、神经网络基本原理，能够分析降维、低秩近似、简单网络结构和评价结果。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1.1，2.1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Transformer与大语言模型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掌握注意力/Transformer、Token/Embedding、上下文与推理基本概念；能够分析提示、结构化输出和模型接口问题。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1.2，2.2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RAG与知识工程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掌握Embedding、切分、检索、重排序、引用与知识图谱基本机制，能够分析知识增强流程和失败原因。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1.3，2.3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Agent与状态工作流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掌握Agent Loop、工具、状态、记忆、终止和状态图，能够阅读/补全工作流并判断异常路径。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1.4，2.4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多Agent、MCP与Harness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理解多Agent协作、MCP、上下文/权限/主循环/日志等Harness要素，能够比较不同架构适用场景。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1.5，2.5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评价、安全与综合设计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能够设计AI应用评价方案，识别提示注入、越权和隐私风险，并给出智能制造场景的系统设计与安全控制思路。</w:t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1.6，2.6，3.6</w:t>
            </w:r>
          </w:p>
        </w:tc>
      </w:tr>
      <w:tr>
        <w:tc>
          <w:tcPr>
            <w:tcW w:type="dxa" w:w="15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合计</w:t>
            </w:r>
          </w:p>
        </w:tc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100%</w:t>
            </w:r>
          </w:p>
        </w:tc>
        <w:tc>
          <w:tcPr>
            <w:tcW w:type="dxa" w:w="55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</w:r>
          </w:p>
        </w:tc>
        <w:tc>
          <w:tcPr>
            <w:tcW w:type="dxa" w:w="138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</w:r>
          </w:p>
        </w:tc>
      </w:tr>
    </w:tbl>
    <w:p/>
    <w:p>
      <w:pPr>
        <w:keepNext/>
        <w:spacing w:before="160" w:after="80"/>
      </w:pPr>
      <w:r>
        <w:rPr>
          <w:rFonts w:ascii="Times New Roman" w:hAnsi="Times New Roman" w:eastAsia="黑体" w:cs="Times New Roman"/>
          <w:b/>
          <w:sz w:val="28"/>
        </w:rPr>
        <w:t>六、参考书目及学习资料</w:t>
      </w:r>
    </w:p>
    <w:p>
      <w:pPr>
        <w:keepNext/>
        <w:spacing w:before="100" w:after="40"/>
      </w:pPr>
      <w:r>
        <w:rPr>
          <w:rFonts w:ascii="Times New Roman" w:hAnsi="Times New Roman" w:eastAsia="宋体" w:cs="Times New Roman"/>
          <w:b/>
          <w:sz w:val="24"/>
        </w:rPr>
        <w:t>（一）选用教材</w:t>
      </w:r>
    </w:p>
    <w:p>
      <w:pPr>
        <w:spacing w:after="0" w:line="312" w:lineRule="auto"/>
      </w:pPr>
      <w:r>
        <w:rPr>
          <w:rFonts w:ascii="Times New Roman" w:hAnsi="Times New Roman" w:eastAsia="宋体" w:cs="Times New Roman"/>
          <w:b w:val="0"/>
          <w:sz w:val="21"/>
        </w:rPr>
        <w:t>高仑, 付杰, 张福利, 何会兴, 丁宁, 王煜林. 大语言模型原理及应用[M]. 北京：清华大学出版社，2026. ISBN 9787302705451</w:t>
      </w:r>
    </w:p>
    <w:p>
      <w:pPr>
        <w:keepNext/>
        <w:spacing w:before="100" w:after="40"/>
      </w:pPr>
      <w:r>
        <w:rPr>
          <w:rFonts w:ascii="Times New Roman" w:hAnsi="Times New Roman" w:eastAsia="宋体" w:cs="Times New Roman"/>
          <w:b/>
          <w:sz w:val="24"/>
        </w:rPr>
        <w:t>（二）学习资料</w:t>
      </w:r>
    </w:p>
    <w:p>
      <w:pPr>
        <w:spacing w:after="0" w:line="312" w:lineRule="auto"/>
      </w:pPr>
      <w:r>
        <w:rPr>
          <w:rFonts w:ascii="Times New Roman" w:hAnsi="Times New Roman" w:eastAsia="宋体" w:cs="Times New Roman"/>
          <w:b w:val="0"/>
          <w:sz w:val="21"/>
        </w:rPr>
        <w:t>[1] 鲍亮, 崔江涛, 李倩, 范涛. AI智能体应用开发[M]. 北京：清华大学出版社，2026. ISBN 9787302719960。</w:t>
      </w:r>
    </w:p>
    <w:p>
      <w:pPr>
        <w:spacing w:after="0" w:line="312" w:lineRule="auto"/>
      </w:pPr>
      <w:r>
        <w:rPr>
          <w:rFonts w:ascii="Times New Roman" w:hAnsi="Times New Roman" w:eastAsia="宋体" w:cs="Times New Roman"/>
          <w:b w:val="0"/>
          <w:sz w:val="21"/>
        </w:rPr>
        <w:t>[2] 邓立国, 邓淇文. AI Agent智能体开发实践[M]. 北京：清华大学出版社，2025. ISBN 9787302704157。</w:t>
      </w:r>
    </w:p>
    <w:p>
      <w:pPr>
        <w:spacing w:after="0" w:line="312" w:lineRule="auto"/>
      </w:pPr>
      <w:r>
        <w:rPr>
          <w:rFonts w:ascii="Times New Roman" w:hAnsi="Times New Roman" w:eastAsia="宋体" w:cs="Times New Roman"/>
          <w:b w:val="0"/>
          <w:sz w:val="21"/>
        </w:rPr>
        <w:t>[3] 王晓华. LangGraph智能体设计模式与多智能体开发[M]. 北京：清华大学出版社，2026. ISBN 9787302709527。</w:t>
      </w:r>
    </w:p>
    <w:p>
      <w:pPr>
        <w:spacing w:after="0" w:line="312" w:lineRule="auto"/>
      </w:pPr>
      <w:r>
        <w:rPr>
          <w:rFonts w:ascii="Times New Roman" w:hAnsi="Times New Roman" w:eastAsia="宋体" w:cs="Times New Roman"/>
          <w:b w:val="0"/>
          <w:sz w:val="21"/>
        </w:rPr>
        <w:t>[4] 孙洪淋, 侯武, 滕霞, 尹国东, 张东升. 知识图谱——从理论到实践[M]. 北京：清华大学出版社，2025. ISBN 9787302691815。</w:t>
      </w:r>
    </w:p>
    <w:p>
      <w:pPr>
        <w:spacing w:after="0" w:line="312" w:lineRule="auto"/>
      </w:pPr>
      <w:r>
        <w:rPr>
          <w:rFonts w:ascii="Times New Roman" w:hAnsi="Times New Roman" w:eastAsia="宋体" w:cs="Times New Roman"/>
          <w:b w:val="0"/>
          <w:sz w:val="21"/>
        </w:rPr>
        <w:t>[5] 姜伟生. 机器学习（全彩图解+微课+Python编程）[M]. 北京：清华大学出版社，2024. ISBN 9787302666769。</w:t>
      </w:r>
    </w:p>
    <w:p>
      <w:pPr>
        <w:spacing w:before="200"/>
      </w:pPr>
      <w:r>
        <w:rPr>
          <w:rFonts w:ascii="Times New Roman" w:hAnsi="Times New Roman" w:eastAsia="宋体" w:cs="Times New Roman"/>
          <w:b w:val="0"/>
          <w:sz w:val="21"/>
        </w:rPr>
        <w:t xml:space="preserve">制定人：　　　　　　　　审定人：　　　　　　　　批准人：　　　　　　　　</w:t>
      </w:r>
    </w:p>
    <w:p>
      <w:pPr>
        <w:jc w:val="center"/>
      </w:pPr>
      <w:r>
        <w:rPr>
          <w:rFonts w:ascii="Times New Roman" w:hAnsi="Times New Roman" w:eastAsia="宋体" w:cs="Times New Roman"/>
          <w:b w:val="0"/>
          <w:sz w:val="21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人工智能技术与应用课程教学大纲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