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3" w:lineRule="auto" w:before="0" w:after="160"/>
        <w:jc w:val="center"/>
      </w:pPr>
      <w:r>
        <w:rPr>
          <w:rFonts w:ascii="Times New Roman" w:hAnsi="Times New Roman" w:eastAsia="黑体" w:cs="Times New Roman"/>
          <w:b/>
          <w:sz w:val="32"/>
        </w:rPr>
        <w:t>《机器视觉技术》课程教学大纲</w:t>
      </w:r>
    </w:p>
    <w:p>
      <w:pPr>
        <w:keepNext/>
        <w:spacing w:line="283" w:lineRule="auto" w:before="100" w:after="60"/>
      </w:pPr>
      <w:r>
        <w:rPr>
          <w:rFonts w:ascii="Times New Roman" w:hAnsi="Times New Roman" w:eastAsia="黑体" w:cs="Times New Roman"/>
          <w:b/>
          <w:sz w:val="28"/>
        </w:rPr>
        <w:t>一、课程基本信息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31"/>
        <w:gridCol w:w="1634"/>
        <w:gridCol w:w="1215"/>
        <w:gridCol w:w="1104"/>
        <w:gridCol w:w="477"/>
        <w:gridCol w:w="627"/>
        <w:gridCol w:w="1033"/>
        <w:gridCol w:w="1033"/>
      </w:tblGrid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课程名称（中英文）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机器视觉技术  Machine Vision Technology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课程代码</w:t>
            </w:r>
          </w:p>
        </w:tc>
        <w:tc>
          <w:tcPr>
            <w:tcW w:type="dxa" w:w="2849"/>
            <w:gridSpan w:val="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25JD32405</w:t>
            </w:r>
          </w:p>
        </w:tc>
        <w:tc>
          <w:tcPr>
            <w:tcW w:type="dxa" w:w="110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课程类别</w:t>
            </w:r>
          </w:p>
        </w:tc>
        <w:tc>
          <w:tcPr>
            <w:tcW w:type="dxa" w:w="3170"/>
            <w:gridSpan w:val="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专业类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课程性质</w:t>
            </w:r>
          </w:p>
        </w:tc>
        <w:tc>
          <w:tcPr>
            <w:tcW w:type="dxa" w:w="2849"/>
            <w:gridSpan w:val="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选修课</w:t>
            </w:r>
          </w:p>
        </w:tc>
        <w:tc>
          <w:tcPr>
            <w:tcW w:type="dxa" w:w="110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授课语言</w:t>
            </w:r>
          </w:p>
        </w:tc>
        <w:tc>
          <w:tcPr>
            <w:tcW w:type="dxa" w:w="3170"/>
            <w:gridSpan w:val="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中文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授课学期</w:t>
            </w:r>
          </w:p>
        </w:tc>
        <w:tc>
          <w:tcPr>
            <w:tcW w:type="dxa" w:w="2849"/>
            <w:gridSpan w:val="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第7学期</w:t>
            </w:r>
          </w:p>
        </w:tc>
        <w:tc>
          <w:tcPr>
            <w:tcW w:type="dxa" w:w="110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学分</w:t>
            </w:r>
          </w:p>
        </w:tc>
        <w:tc>
          <w:tcPr>
            <w:tcW w:type="dxa" w:w="3170"/>
            <w:gridSpan w:val="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3565"/>
            <w:gridSpan w:val="2"/>
            <w:vMerge w:val="restart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课程学时及分配</w:t>
            </w:r>
          </w:p>
        </w:tc>
        <w:tc>
          <w:tcPr>
            <w:tcW w:type="dxa" w:w="12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总学时</w:t>
            </w:r>
          </w:p>
        </w:tc>
        <w:tc>
          <w:tcPr>
            <w:tcW w:type="dxa" w:w="110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理论</w:t>
            </w:r>
          </w:p>
        </w:tc>
        <w:tc>
          <w:tcPr>
            <w:tcW w:type="dxa" w:w="47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实践</w:t>
            </w:r>
          </w:p>
        </w:tc>
        <w:tc>
          <w:tcPr>
            <w:tcW w:type="dxa" w:w="62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实验</w:t>
            </w:r>
          </w:p>
        </w:tc>
        <w:tc>
          <w:tcPr>
            <w:tcW w:type="dxa" w:w="103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上机</w:t>
            </w:r>
          </w:p>
        </w:tc>
        <w:tc>
          <w:tcPr>
            <w:tcW w:type="dxa" w:w="103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项目式</w:t>
            </w:r>
          </w:p>
        </w:tc>
      </w:tr>
      <w:tr>
        <w:trPr>
          <w:cantSplit/>
        </w:trPr>
        <w:tc>
          <w:tcPr>
            <w:tcW w:type="dxa" w:w="3565"/>
            <w:gridSpan w:val="2"/>
            <w:vMerge/>
            <w:tcMar>
              <w:top w:w="80" w:type="dxa"/>
              <w:start w:w="70" w:type="dxa"/>
              <w:bottom w:w="80" w:type="dxa"/>
              <w:end w:w="70" w:type="dxa"/>
            </w:tcMar>
          </w:tcPr>
          <w:p/>
        </w:tc>
        <w:tc>
          <w:tcPr>
            <w:tcW w:type="dxa" w:w="12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32</w:t>
            </w:r>
          </w:p>
        </w:tc>
        <w:tc>
          <w:tcPr>
            <w:tcW w:type="dxa" w:w="110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32</w:t>
            </w:r>
          </w:p>
        </w:tc>
        <w:tc>
          <w:tcPr>
            <w:tcW w:type="dxa" w:w="47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0</w:t>
            </w:r>
          </w:p>
        </w:tc>
        <w:tc>
          <w:tcPr>
            <w:tcW w:type="dxa" w:w="62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0</w:t>
            </w:r>
          </w:p>
        </w:tc>
        <w:tc>
          <w:tcPr>
            <w:tcW w:type="dxa" w:w="103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0</w:t>
            </w:r>
          </w:p>
        </w:tc>
        <w:tc>
          <w:tcPr>
            <w:tcW w:type="dxa" w:w="103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适用专业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智能制造工程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授课学院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机械与动力工程学院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先修课程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程序设计基础（C&amp;C++）Ⅱ、工程建模与科学计算可视化基础（Python）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后续课程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毕业设计（论文）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课程简介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78" w:lineRule="auto" w:before="0" w:after="40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课程基本定位</w:t>
              <w:br/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本课程是智能制造工程专业的一门专业选修课，面向工业检测、测量、定位、识别与视觉引导等典型任务。课程以Python为统一实现语言，以NumPy和OpenCV为核心工具，建立“成像条件—图像处理—特征与测量—识别判定—性能评价”的机器视觉工作链。</w:t>
            </w:r>
          </w:p>
          <w:p>
            <w:pPr>
              <w:spacing w:line="278" w:lineRule="auto" w:before="0" w:after="40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核心学习结果</w:t>
              <w:br/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学生能够分析相机、镜头、光源与成像参数，使用Python/OpenCV完成图像预处理、分割、形态学、轮廓与几何测量、模板与特征匹配，理解深度学习视觉基本流程，并针对零件、装配、输送或FDM 3D打印场景形成可复现的视觉方案，以测量误差、误检/漏检、精确率/召回率、速度和鲁棒性评价结果。</w:t>
            </w:r>
          </w:p>
          <w:p>
            <w:pPr>
              <w:spacing w:line="278" w:lineRule="auto" w:before="0" w:after="40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主要教学方法</w:t>
              <w:br/>
            </w:r>
            <w:r>
              <w:rPr>
                <w:rFonts w:ascii="Times New Roman" w:hAnsi="Times New Roman" w:eastAsia="宋体" w:cs="Times New Roman"/>
                <w:b w:val="0"/>
                <w:sz w:val="18"/>
              </w:rPr>
              <w:t>采用“成像现象—算法原理—Python最小实现—OpenCV工程实现—参数对比—结果验证”的案例驱动方式。培养方案规定32学时均为理论学时，因此课堂代码演示和案例复现不虚构为独立上机学时。所有案例要求保留原始图像、参数、中间结果、评价指标和失败样例。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大纲更新时间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2026年9月</w:t>
            </w:r>
          </w:p>
        </w:tc>
      </w:tr>
    </w:tbl>
    <w:p>
      <w:pPr>
        <w:keepNext/>
        <w:spacing w:line="283" w:lineRule="auto" w:before="100" w:after="60"/>
      </w:pPr>
      <w:r>
        <w:rPr>
          <w:rFonts w:ascii="Times New Roman" w:hAnsi="Times New Roman" w:eastAsia="黑体" w:cs="Times New Roman"/>
          <w:b/>
          <w:sz w:val="28"/>
        </w:rPr>
        <w:t>二、课程目标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50"/>
        <w:gridCol w:w="4650"/>
        <w:gridCol w:w="3354"/>
      </w:tblGrid>
      <w:tr>
        <w:trPr>
          <w:tblHeader w:val="true"/>
          <w:cantSplit/>
        </w:trPr>
        <w:tc>
          <w:tcPr>
            <w:tcW w:type="dxa" w:w="105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课程总目标</w:t>
            </w:r>
          </w:p>
        </w:tc>
        <w:tc>
          <w:tcPr>
            <w:tcW w:type="dxa" w:w="465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课程子目标（参考学校定位、培养目标、毕业要求）</w:t>
            </w:r>
          </w:p>
        </w:tc>
        <w:tc>
          <w:tcPr>
            <w:tcW w:type="dxa" w:w="335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达成方法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1.知识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1.1 理解机器视觉系统组成、相机/镜头/光源及视场、分辨率、景深、曝光等成像参数。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通过零件检测、装配检查和3D打印监测案例拆解成像—处理—判定链路。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1.知识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 掌握数字图像、颜色空间、直方图、几何变换、噪声与滤波等基础。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使用Python、NumPy和OpenCV进行像素、颜色、直方图和几何变换对比。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1.知识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1.3 掌握阈值分割、边缘检测和数学形态学的基本原理与参数影响。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比较不同滤波、阈值、边缘和形态学组合及其失败工况。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1.知识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1.4 掌握轮廓、连通域、几何特征、尺度换算与机器视觉测量定位方法。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以零件尺寸、孔位和工件姿态案例由像素特征得到工程量。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1.知识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1.5 掌握模板匹配、角点与局部特征检测匹配的基本思想和适用条件。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通过目标定位案例比较模板方法与局部特征方法。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1.知识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1.6 理解分类、目标检测、缺陷检测与深度学习视觉基本流程及评价指标。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以预训练模型推理和小型缺陷数据评价比较传统视觉与学习型视觉。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2.能力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2.1 能够根据检测、测量、识别或引导任务分析成像需求并提出基本视觉系统方案。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从目标精度、速度和环境条件反推成像参数并评审。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2.能力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2.2 能够使用Python、NumPy和OpenCV构建可复现的预处理、分割与形态学流程。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保存参数、中间图和失败样例，并用第二组图像验证。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2.能力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2.3 能够提取轮廓与几何特征，完成计数、尺寸测量、位置/角度估计和误差分析。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围绕标准件、孔槽和打印件完成尺度换算、容差与重复性分析。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2.能力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2.4 能够使用模板或局部特征完成目标定位与匹配，并分析尺度、旋转、遮挡和光照影响。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通过受控变量实验比较匹配率和误检。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2.能力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2.5 能够调用经过验证的预训练视觉模型完成基本推理并计算精确率、召回率等指标。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使用小规模推理案例和混淆矩阵评价结果。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2.能力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2.6 能够针对智能制造场景形成完整视觉方案，以图像、代码、参数、指标和失败案例说明依据。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通过零件、装配、输送和FDM打印案例形成综合技术报告。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3.素质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3.1 形成成像、算法、环境和判定阈值协同的系统工程意识。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通过光照变化导致算法失效的案例进行系统复盘。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3.素质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3.2 形成原始数据、参数、代码版本和失败样例可追溯的工程规范。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要求保留原图、配置、代码版本和评价脚本。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3.素质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3.3 树立质量与安全责任意识，理解误检、漏检和错误测量/引导的工程风险。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讨论关键缺陷漏检和错误定位的复核与安全措施。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3.素质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3.4 形成基于误差、混淆矩阵、速度和鲁棒性评价算法的实证意识。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不以单张成功截图作为验收依据。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3.素质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3.5 形成规范的Python工程表达、图表与技术文档习惯。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通过代码审查、流程图和技术汇报训练。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3.素质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3.6 形成持续学习和工具边界意识，对开源代码、预训练模型和AI辅助结果独立核验。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通过官方文档、最小复现和结果复核训练。</w:t>
            </w:r>
          </w:p>
        </w:tc>
      </w:tr>
    </w:tbl>
    <w:p>
      <w:pPr>
        <w:keepNext/>
        <w:spacing w:line="283" w:lineRule="auto" w:before="100" w:after="60"/>
      </w:pPr>
      <w:r>
        <w:rPr>
          <w:rFonts w:ascii="Times New Roman" w:hAnsi="Times New Roman" w:eastAsia="黑体" w:cs="Times New Roman"/>
          <w:b/>
          <w:sz w:val="28"/>
        </w:rPr>
        <w:t>三、理论教学环节及基本要求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00"/>
        <w:gridCol w:w="1900"/>
        <w:gridCol w:w="600"/>
        <w:gridCol w:w="4000"/>
        <w:gridCol w:w="1254"/>
      </w:tblGrid>
      <w:tr>
        <w:trPr>
          <w:tblHeader w:val="true"/>
          <w:cantSplit/>
        </w:trPr>
        <w:tc>
          <w:tcPr>
            <w:tcW w:type="dxa" w:w="13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单元标题</w:t>
            </w:r>
          </w:p>
        </w:tc>
        <w:tc>
          <w:tcPr>
            <w:tcW w:type="dxa" w:w="19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教学内容</w:t>
            </w:r>
          </w:p>
        </w:tc>
        <w:tc>
          <w:tcPr>
            <w:tcW w:type="dxa" w:w="6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学时</w:t>
            </w:r>
          </w:p>
        </w:tc>
        <w:tc>
          <w:tcPr>
            <w:tcW w:type="dxa" w:w="40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课程要求</w:t>
            </w:r>
          </w:p>
        </w:tc>
        <w:tc>
          <w:tcPr>
            <w:tcW w:type="dxa" w:w="125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第一单元 机器视觉系统与成像基础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机器视觉概念与应用；系统组成；相机、镜头、光源；视场、工作距离、分辨率、景深；曝光、噪声与运动模糊；照明方案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以质量检测和视觉引导失效案例强化工程责任。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预期学习成果：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能根据任务精度和现场条件提出基本成像方案。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讲授、硬件案例、参数计算、成像对比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1.1，2.1，3.1，3.3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第二单元 Python/OpenCV图像表示与预处理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图像读写；NumPy像素与ROI；BGR/RGB/HSV/灰度；直方图；缩放、旋转、透视变换；均值/高斯/中值滤波；亮度与对比度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强调数据类型、通道、坐标和参数记录规范。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预期学习成果：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能建立规范的图像输入、预处理和可视化流程。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原理讲授、Python演示、结果对比、随堂练习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1.2，2.2，3.2，3.5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第三单元 分割、边缘与数学形态学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固定/自适应/Otsu阈值；Canny边缘；腐蚀、膨胀、开闭运算；结构元素；噪声、粘连、断裂与孔洞处理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要求参数在多工况验证，不选择性展示成功结果。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预期学习成果：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能组合分割、边缘和形态学方法并分析失败原因。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讲授、参数扫描、失败案例、A/B比较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1.3，2.2，3.2，3.4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第四单元 轮廓、连通域、测量与定位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轮廓与层级；连通域；面积、周长、质心、矩；外接矩形/圆/椭圆；直线/圆检测；尺度换算与标定概念；尺寸、位置和角度；容差与误差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测量结果必须有尺度基准、重复性和误差说明。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预期学习成果：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能完成计数、几何测量、定位和合格判定。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公式与代码对照、测量案例、误差分析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1.4，2.3，3.3，3.4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第五单元 模板匹配、特征与工业识别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模板匹配；角点；ORB/SIFT等局部特征思想；描述子匹配与几何验证；尺度、旋转、遮挡、背景和光照变化；定位识别流程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以误匹配案例强调阈值和证据。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预期学习成果：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能选择基本定位/匹配方案并分析鲁棒性。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讲授、演示、受控变量实验、复盘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1.5，2.4，3.4，3.6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第六单元 深度学习视觉入门与智能制造综合案例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分类/目标检测/缺陷检测；数据标注与划分；预训练模型推理；置信度、IoU、混淆矩阵、精确率/召回率；传统视觉与深度学习比较；零件、装配、FDM打印和输送检测案例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强调数据质量、误检漏检、算力和部署边界。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预期学习成果：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能评价预训练模型并形成含成像、算法、指标、失败样例和改进计划的综合方案。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讲授、推理演示、指标计算、案例评审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1.6，2.5，2.6，3.1—3.6</w:t>
            </w:r>
          </w:p>
        </w:tc>
      </w:tr>
    </w:tbl>
    <w:p>
      <w:pPr>
        <w:keepNext/>
        <w:spacing w:line="283" w:lineRule="auto" w:before="60" w:after="20"/>
      </w:pPr>
      <w:r>
        <w:rPr>
          <w:rFonts w:ascii="Times New Roman" w:hAnsi="Times New Roman" w:eastAsia="宋体" w:cs="Times New Roman"/>
          <w:b/>
          <w:sz w:val="21"/>
        </w:rPr>
        <w:t>理论总学时：32 学时。</w:t>
      </w:r>
    </w:p>
    <w:p>
      <w:pPr>
        <w:keepNext/>
        <w:spacing w:line="283" w:lineRule="auto" w:before="100" w:after="60"/>
      </w:pPr>
      <w:r>
        <w:rPr>
          <w:rFonts w:ascii="Times New Roman" w:hAnsi="Times New Roman" w:eastAsia="黑体" w:cs="Times New Roman"/>
          <w:b/>
          <w:sz w:val="28"/>
        </w:rPr>
        <w:t>四、课程评价</w:t>
      </w:r>
    </w:p>
    <w:p>
      <w:pPr>
        <w:keepNext/>
        <w:spacing w:line="283" w:lineRule="auto" w:before="80" w:after="40"/>
      </w:pPr>
      <w:r>
        <w:rPr>
          <w:rFonts w:ascii="Times New Roman" w:hAnsi="Times New Roman" w:eastAsia="宋体" w:cs="Times New Roman"/>
          <w:b/>
          <w:sz w:val="24"/>
        </w:rPr>
        <w:t>（一）考核内容、考核方式与课程目标对应关系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93"/>
        <w:gridCol w:w="1293"/>
        <w:gridCol w:w="1293"/>
        <w:gridCol w:w="1293"/>
        <w:gridCol w:w="1293"/>
        <w:gridCol w:w="1293"/>
        <w:gridCol w:w="1296"/>
      </w:tblGrid>
      <w:tr>
        <w:trPr>
          <w:tblHeader w:val="true"/>
          <w:cantSplit/>
        </w:trPr>
        <w:tc>
          <w:tcPr>
            <w:tcW w:type="dxa" w:w="129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考核内容</w:t>
            </w:r>
          </w:p>
        </w:tc>
        <w:tc>
          <w:tcPr>
            <w:tcW w:type="dxa" w:w="129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总学时</w:t>
            </w:r>
          </w:p>
        </w:tc>
        <w:tc>
          <w:tcPr>
            <w:tcW w:type="dxa" w:w="129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理论学时</w:t>
            </w:r>
          </w:p>
        </w:tc>
        <w:tc>
          <w:tcPr>
            <w:tcW w:type="dxa" w:w="129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平时表现（20%）</w:t>
            </w:r>
          </w:p>
        </w:tc>
        <w:tc>
          <w:tcPr>
            <w:tcW w:type="dxa" w:w="129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课程案例与作业（40%）</w:t>
            </w:r>
          </w:p>
        </w:tc>
        <w:tc>
          <w:tcPr>
            <w:tcW w:type="dxa" w:w="129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期末综合考查（40%）</w:t>
            </w:r>
          </w:p>
        </w:tc>
        <w:tc>
          <w:tcPr>
            <w:tcW w:type="dxa" w:w="129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机器视觉系统与成像基础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全过程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15%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10%</w:t>
            </w:r>
          </w:p>
        </w:tc>
        <w:tc>
          <w:tcPr>
            <w:tcW w:type="dxa" w:w="129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1.1，2.1，3.1，3.3</w:t>
            </w:r>
          </w:p>
        </w:tc>
      </w:tr>
      <w:tr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图像表示与预处理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全过程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20%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15%</w:t>
            </w:r>
          </w:p>
        </w:tc>
        <w:tc>
          <w:tcPr>
            <w:tcW w:type="dxa" w:w="129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1.2，2.2，3.2，3.5</w:t>
            </w:r>
          </w:p>
        </w:tc>
      </w:tr>
      <w:tr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分割、边缘与形态学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全过程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20%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20%</w:t>
            </w:r>
          </w:p>
        </w:tc>
        <w:tc>
          <w:tcPr>
            <w:tcW w:type="dxa" w:w="129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1.3，2.2，3.2，3.4</w:t>
            </w:r>
          </w:p>
        </w:tc>
      </w:tr>
      <w:tr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轮廓、测量与定位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全过程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20%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20%</w:t>
            </w:r>
          </w:p>
        </w:tc>
        <w:tc>
          <w:tcPr>
            <w:tcW w:type="dxa" w:w="129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1.4，2.3，3.3，3.4</w:t>
            </w:r>
          </w:p>
        </w:tc>
      </w:tr>
      <w:tr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模板、特征与识别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全过程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10%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15%</w:t>
            </w:r>
          </w:p>
        </w:tc>
        <w:tc>
          <w:tcPr>
            <w:tcW w:type="dxa" w:w="129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1.5，2.4，3.4，3.6</w:t>
            </w:r>
          </w:p>
        </w:tc>
      </w:tr>
      <w:tr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深度学习视觉与综合案例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全过程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15%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20%</w:t>
            </w:r>
          </w:p>
        </w:tc>
        <w:tc>
          <w:tcPr>
            <w:tcW w:type="dxa" w:w="129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1.6，2.5，2.6，3.1—3.6</w:t>
            </w:r>
          </w:p>
        </w:tc>
      </w:tr>
      <w:tr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合计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32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32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—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100%</w:t>
            </w:r>
          </w:p>
        </w:tc>
        <w:tc>
          <w:tcPr>
            <w:tcW w:type="dxa" w:w="1293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100%</w:t>
            </w:r>
          </w:p>
        </w:tc>
        <w:tc>
          <w:tcPr>
            <w:tcW w:type="dxa" w:w="129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—</w:t>
            </w:r>
          </w:p>
        </w:tc>
      </w:tr>
    </w:tbl>
    <w:p>
      <w:pPr>
        <w:keepNext/>
        <w:spacing w:line="283" w:lineRule="auto" w:before="80" w:after="40"/>
      </w:pPr>
      <w:r>
        <w:rPr>
          <w:rFonts w:ascii="Times New Roman" w:hAnsi="Times New Roman" w:eastAsia="宋体" w:cs="Times New Roman"/>
          <w:b/>
          <w:sz w:val="24"/>
        </w:rPr>
        <w:t>（二）考核方式与评分标准</w:t>
      </w:r>
    </w:p>
    <w:p>
      <w:pPr>
        <w:keepNext/>
        <w:spacing w:line="283" w:lineRule="auto" w:before="60" w:after="20"/>
      </w:pPr>
      <w:r>
        <w:rPr>
          <w:rFonts w:ascii="Times New Roman" w:hAnsi="Times New Roman" w:eastAsia="宋体" w:cs="Times New Roman"/>
          <w:b/>
          <w:sz w:val="21"/>
        </w:rPr>
        <w:t>1.考核方式</w:t>
      </w:r>
    </w:p>
    <w:p>
      <w:pPr>
        <w:spacing w:line="283" w:lineRule="auto" w:before="0" w:after="20"/>
        <w:ind w:firstLine="420"/>
        <w:jc w:val="left"/>
      </w:pPr>
      <w:r>
        <w:rPr>
          <w:rFonts w:ascii="Times New Roman" w:hAnsi="Times New Roman" w:eastAsia="宋体" w:cs="Times New Roman"/>
          <w:b w:val="0"/>
          <w:sz w:val="21"/>
        </w:rPr>
        <w:t>考查。</w:t>
      </w:r>
    </w:p>
    <w:p>
      <w:pPr>
        <w:keepNext/>
        <w:spacing w:line="283" w:lineRule="auto" w:before="60" w:after="20"/>
      </w:pPr>
      <w:r>
        <w:rPr>
          <w:rFonts w:ascii="Times New Roman" w:hAnsi="Times New Roman" w:eastAsia="宋体" w:cs="Times New Roman"/>
          <w:b/>
          <w:sz w:val="21"/>
        </w:rPr>
        <w:t>2.评分说明</w:t>
      </w:r>
    </w:p>
    <w:p>
      <w:pPr>
        <w:spacing w:line="283" w:lineRule="auto" w:before="0" w:after="20"/>
        <w:ind w:firstLine="420"/>
        <w:jc w:val="left"/>
      </w:pPr>
      <w:r>
        <w:rPr>
          <w:rFonts w:ascii="Times New Roman" w:hAnsi="Times New Roman" w:eastAsia="宋体" w:cs="Times New Roman"/>
          <w:b w:val="0"/>
          <w:sz w:val="21"/>
        </w:rPr>
        <w:t>最终成绩100%=平时表现20%＋课程案例与作业40%＋期末综合考查40%。课程案例与作业重点评价Python/OpenCV处理流程、参数记录和结果验证；期末综合考查采用机器视觉综合方案/项目报告与现场核验，重点评价成像方案、算法选择、工程判定、指标和失败分析。</w:t>
      </w:r>
    </w:p>
    <w:p>
      <w:pPr>
        <w:keepNext/>
        <w:spacing w:line="283" w:lineRule="auto" w:before="60" w:after="20"/>
      </w:pPr>
      <w:r>
        <w:rPr>
          <w:rFonts w:ascii="Times New Roman" w:hAnsi="Times New Roman" w:eastAsia="宋体" w:cs="Times New Roman"/>
          <w:b/>
          <w:sz w:val="21"/>
        </w:rPr>
        <w:t>3.评分标准分项说明</w:t>
      </w:r>
    </w:p>
    <w:p>
      <w:pPr>
        <w:keepNext/>
        <w:spacing w:line="283" w:lineRule="auto" w:before="60" w:after="20"/>
      </w:pPr>
      <w:r>
        <w:rPr>
          <w:rFonts w:ascii="Times New Roman" w:hAnsi="Times New Roman" w:eastAsia="宋体" w:cs="Times New Roman"/>
          <w:b/>
          <w:sz w:val="21"/>
        </w:rPr>
        <w:t>（1）平时表现评分标准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00"/>
        <w:gridCol w:w="700"/>
        <w:gridCol w:w="1451"/>
        <w:gridCol w:w="1451"/>
        <w:gridCol w:w="1451"/>
        <w:gridCol w:w="1451"/>
        <w:gridCol w:w="1450"/>
      </w:tblGrid>
      <w:tr>
        <w:trPr>
          <w:tblHeader w:val="true"/>
          <w:cantSplit/>
        </w:trPr>
        <w:tc>
          <w:tcPr>
            <w:tcW w:type="dxa" w:w="11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评分指标</w:t>
            </w:r>
          </w:p>
        </w:tc>
        <w:tc>
          <w:tcPr>
            <w:tcW w:type="dxa" w:w="7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指标权重</w:t>
            </w:r>
          </w:p>
        </w:tc>
        <w:tc>
          <w:tcPr>
            <w:tcW w:type="dxa" w:w="145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90–100（优）</w:t>
            </w:r>
          </w:p>
        </w:tc>
        <w:tc>
          <w:tcPr>
            <w:tcW w:type="dxa" w:w="145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80–89（良）</w:t>
            </w:r>
          </w:p>
        </w:tc>
        <w:tc>
          <w:tcPr>
            <w:tcW w:type="dxa" w:w="145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70–79（中）</w:t>
            </w:r>
          </w:p>
        </w:tc>
        <w:tc>
          <w:tcPr>
            <w:tcW w:type="dxa" w:w="145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60–69（及格）</w:t>
            </w:r>
          </w:p>
        </w:tc>
        <w:tc>
          <w:tcPr>
            <w:tcW w:type="dxa" w:w="145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0–59（不及格）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课堂参与与规范</w:t>
            </w:r>
          </w:p>
        </w:tc>
        <w:tc>
          <w:tcPr>
            <w:tcW w:type="dxa" w:w="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30%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主动参与且记录完整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参与良好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基本参与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达到最低要求</w:t>
            </w:r>
          </w:p>
        </w:tc>
        <w:tc>
          <w:tcPr>
            <w:tcW w:type="dxa" w:w="14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缺勤或参与不足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案例分析与随堂练习</w:t>
            </w:r>
          </w:p>
        </w:tc>
        <w:tc>
          <w:tcPr>
            <w:tcW w:type="dxa" w:w="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30%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分析准确且能解释依据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基本准确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主要思路正确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能完成基础任务</w:t>
            </w:r>
          </w:p>
        </w:tc>
        <w:tc>
          <w:tcPr>
            <w:tcW w:type="dxa" w:w="14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大量缺交或错误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数据、代码与结果核验</w:t>
            </w:r>
          </w:p>
        </w:tc>
        <w:tc>
          <w:tcPr>
            <w:tcW w:type="dxa" w:w="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40%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数据、参数、代码和结果完整可追溯并主动验证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记录较完整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有基本验证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在指导下完成</w:t>
            </w:r>
          </w:p>
        </w:tc>
        <w:tc>
          <w:tcPr>
            <w:tcW w:type="dxa" w:w="14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无证据或结果无法解释</w:t>
            </w:r>
          </w:p>
        </w:tc>
      </w:tr>
    </w:tbl>
    <w:p>
      <w:pPr>
        <w:keepNext/>
        <w:spacing w:line="283" w:lineRule="auto" w:before="60" w:after="20"/>
      </w:pPr>
      <w:r>
        <w:rPr>
          <w:rFonts w:ascii="Times New Roman" w:hAnsi="Times New Roman" w:eastAsia="宋体" w:cs="Times New Roman"/>
          <w:b/>
          <w:sz w:val="21"/>
        </w:rPr>
        <w:t>（2）课程案例与作业评分标准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00"/>
        <w:gridCol w:w="900"/>
        <w:gridCol w:w="5100"/>
        <w:gridCol w:w="1354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考核内容</w:t>
            </w:r>
          </w:p>
        </w:tc>
        <w:tc>
          <w:tcPr>
            <w:tcW w:type="dxa" w:w="9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成绩占比</w:t>
            </w:r>
          </w:p>
        </w:tc>
        <w:tc>
          <w:tcPr>
            <w:tcW w:type="dxa" w:w="51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考核目标与评分要求</w:t>
            </w:r>
          </w:p>
        </w:tc>
        <w:tc>
          <w:tcPr>
            <w:tcW w:type="dxa" w:w="135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成像与预处理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能说明成像条件并规范完成颜色、几何、滤波和增强处理，保留参数与中间结果。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1.1，1.2，2.1，2.2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分割与形态学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分割、边缘和形态学组合合理，能用多图像验证并解释失败原因。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1.3，2.2，3.4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轮廓测量与定位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尺度换算、轮廓特征、尺寸/位置/角度和容差判定正确，含误差分析。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1.4，2.3，3.3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模板与特征匹配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能完成基本定位匹配并分析尺度、旋转、遮挡和光照影响。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1.5，2.4，3.4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学习型视觉与综合分析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能完成预训练模型推理/评价，计算指标并与传统视觉比较适用边界。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1.6，2.5，2.6，3.6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合计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</w:tr>
    </w:tbl>
    <w:p>
      <w:pPr>
        <w:keepNext/>
        <w:spacing w:line="283" w:lineRule="auto" w:before="60" w:after="20"/>
      </w:pPr>
      <w:r>
        <w:rPr>
          <w:rFonts w:ascii="Times New Roman" w:hAnsi="Times New Roman" w:eastAsia="宋体" w:cs="Times New Roman"/>
          <w:b/>
          <w:sz w:val="21"/>
        </w:rPr>
        <w:t>（3）期末综合考查评分标准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00"/>
        <w:gridCol w:w="900"/>
        <w:gridCol w:w="5100"/>
        <w:gridCol w:w="1354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考核内容</w:t>
            </w:r>
          </w:p>
        </w:tc>
        <w:tc>
          <w:tcPr>
            <w:tcW w:type="dxa" w:w="9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成绩占比</w:t>
            </w:r>
          </w:p>
        </w:tc>
        <w:tc>
          <w:tcPr>
            <w:tcW w:type="dxa" w:w="51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考点与要求</w:t>
            </w:r>
          </w:p>
        </w:tc>
        <w:tc>
          <w:tcPr>
            <w:tcW w:type="dxa" w:w="135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成像与任务定义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明确对象、精度、视场、光照、采集条件和判定目标。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1.1，2.1，3.1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视觉处理与工程判定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处理流程选择合理，测量/定位/识别结果正确，阈值和容差有依据。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1.2—1.5，2.2—2.4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指标、鲁棒性与失败样例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报告误检/漏检、精确率/召回率或测量误差、速度及多工况失败分析。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2.3—2.6，3.4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深度学习视觉与方案比较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能评价预训练模型，并比较数据、算力、解释性和维护成本。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1.6，2.5，3.6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技术表达与可追溯性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原图、参数、代码、图表和结论完整，现场能解释关键处理步骤；外部代码/AI使用有核验说明。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 2.6，3.2，3.5，3.6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合计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</w:tr>
    </w:tbl>
    <w:p>
      <w:pPr>
        <w:keepNext/>
        <w:spacing w:line="283" w:lineRule="auto" w:before="100" w:after="60"/>
      </w:pPr>
      <w:r>
        <w:rPr>
          <w:rFonts w:ascii="Times New Roman" w:hAnsi="Times New Roman" w:eastAsia="黑体" w:cs="Times New Roman"/>
          <w:b/>
          <w:sz w:val="28"/>
        </w:rPr>
        <w:t>五、参考书目及学习资料</w:t>
      </w:r>
    </w:p>
    <w:p>
      <w:pPr>
        <w:keepNext/>
        <w:spacing w:line="283" w:lineRule="auto" w:before="80" w:after="40"/>
      </w:pPr>
      <w:r>
        <w:rPr>
          <w:rFonts w:ascii="Times New Roman" w:hAnsi="Times New Roman" w:eastAsia="宋体" w:cs="Times New Roman"/>
          <w:b/>
          <w:sz w:val="24"/>
        </w:rPr>
        <w:t>（一）选用教材</w:t>
      </w:r>
    </w:p>
    <w:p>
      <w:pPr>
        <w:spacing w:line="283" w:lineRule="auto" w:before="0" w:after="20"/>
        <w:ind w:firstLine="420"/>
        <w:jc w:val="left"/>
      </w:pPr>
      <w:r>
        <w:rPr>
          <w:rFonts w:ascii="Times New Roman" w:hAnsi="Times New Roman" w:eastAsia="宋体" w:cs="Times New Roman"/>
          <w:b w:val="0"/>
          <w:sz w:val="21"/>
        </w:rPr>
        <w:t>何文辉, 葛大伟. 机器视觉技术与应用[M]. 北京：机械工业出版社，2024. ISBN 9787111763048</w:t>
      </w:r>
    </w:p>
    <w:p>
      <w:pPr>
        <w:keepNext/>
        <w:spacing w:line="283" w:lineRule="auto" w:before="80" w:after="40"/>
      </w:pPr>
      <w:r>
        <w:rPr>
          <w:rFonts w:ascii="Times New Roman" w:hAnsi="Times New Roman" w:eastAsia="宋体" w:cs="Times New Roman"/>
          <w:b/>
          <w:sz w:val="24"/>
        </w:rPr>
        <w:t>（二）学习资料</w:t>
      </w:r>
    </w:p>
    <w:p>
      <w:pPr>
        <w:spacing w:line="283" w:lineRule="auto" w:before="0" w:after="20"/>
        <w:jc w:val="left"/>
      </w:pPr>
      <w:r>
        <w:rPr>
          <w:rFonts w:ascii="Times New Roman" w:hAnsi="Times New Roman" w:eastAsia="宋体" w:cs="Times New Roman"/>
          <w:b w:val="0"/>
          <w:sz w:val="21"/>
        </w:rPr>
        <w:t>[1] 李宁. Python OpenCV从菜鸟到高手[M]. 北京：清华大学出版社，2024. ISBN 9787302673712。</w:t>
      </w:r>
    </w:p>
    <w:p>
      <w:pPr>
        <w:spacing w:line="283" w:lineRule="auto" w:before="0" w:after="20"/>
        <w:jc w:val="left"/>
      </w:pPr>
      <w:r>
        <w:rPr>
          <w:rFonts w:ascii="Times New Roman" w:hAnsi="Times New Roman" w:eastAsia="宋体" w:cs="Times New Roman"/>
          <w:b w:val="0"/>
          <w:sz w:val="21"/>
        </w:rPr>
        <w:t>[2] 宋丽梅, 朱新军, 李云鹏, 等. 机器视觉原理及应用教程[M]. 北京：机械工业出版社，2023. ISBN 9787111733300。</w:t>
      </w:r>
    </w:p>
    <w:p>
      <w:pPr>
        <w:spacing w:line="283" w:lineRule="auto" w:before="0" w:after="20"/>
        <w:jc w:val="left"/>
      </w:pPr>
      <w:r>
        <w:rPr>
          <w:rFonts w:ascii="Times New Roman" w:hAnsi="Times New Roman" w:eastAsia="宋体" w:cs="Times New Roman"/>
          <w:b w:val="0"/>
          <w:sz w:val="21"/>
        </w:rPr>
        <w:t>[3] 孙学宏, 张文聪, 唐冬冬. 机器视觉技术及应用[M]. 北京：机械工业出版社，2021. ISBN 9787111689072。</w:t>
      </w:r>
    </w:p>
    <w:p>
      <w:pPr>
        <w:spacing w:line="283" w:lineRule="auto" w:before="0" w:after="20"/>
        <w:ind w:firstLine="420"/>
        <w:jc w:val="left"/>
      </w:pPr>
      <w:r>
        <w:rPr>
          <w:rFonts w:ascii="Times New Roman" w:hAnsi="Times New Roman" w:eastAsia="宋体" w:cs="Times New Roman"/>
          <w:b w:val="0"/>
          <w:sz w:val="21"/>
        </w:rPr>
        <w:t>制定人：　　　　　　　　审定人：　　　　　　　　批准人：</w:t>
      </w:r>
    </w:p>
    <w:p>
      <w:pPr>
        <w:spacing w:line="283" w:lineRule="auto" w:before="0" w:after="2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2026年9月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b w:val="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《机器视觉技术》课程教学大纲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