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E8363">
      <w:pPr>
        <w:pStyle w:val="16"/>
        <w:spacing w:after="240"/>
        <w:rPr>
          <w:rFonts w:hint="eastAsia" w:ascii="Times New Roman" w:hAnsi="Times New Roman" w:eastAsia="黑体"/>
          <w:color w:val="auto"/>
        </w:rPr>
      </w:pPr>
      <w:bookmarkStart w:id="2" w:name="_GoBack"/>
      <w:bookmarkEnd w:id="2"/>
      <w:r>
        <w:rPr>
          <w:rFonts w:ascii="Times New Roman" w:hAnsi="Times New Roman" w:eastAsia="黑体"/>
          <w:color w:val="auto"/>
        </w:rPr>
        <w:t>《</w:t>
      </w:r>
      <w:r>
        <w:rPr>
          <w:rFonts w:hint="eastAsia" w:ascii="Times New Roman" w:hAnsi="Times New Roman" w:eastAsia="黑体"/>
          <w:color w:val="auto"/>
          <w:u w:val="none"/>
        </w:rPr>
        <w:t>机电传动控制</w:t>
      </w:r>
      <w:r>
        <w:rPr>
          <w:rFonts w:ascii="Times New Roman" w:hAnsi="Times New Roman" w:eastAsia="黑体"/>
          <w:color w:val="auto"/>
        </w:rPr>
        <w:t>》课程教学大纲</w:t>
      </w:r>
    </w:p>
    <w:p w14:paraId="61D546DE">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t>一、课程基本信息</w:t>
      </w:r>
    </w:p>
    <w:tbl>
      <w:tblPr>
        <w:tblStyle w:val="18"/>
        <w:tblW w:w="9054"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634"/>
        <w:gridCol w:w="1215"/>
        <w:gridCol w:w="1104"/>
        <w:gridCol w:w="477"/>
        <w:gridCol w:w="627"/>
        <w:gridCol w:w="1033"/>
        <w:gridCol w:w="1033"/>
      </w:tblGrid>
      <w:tr w14:paraId="5D73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887457D">
            <w:pPr>
              <w:spacing w:line="300" w:lineRule="auto"/>
              <w:jc w:val="center"/>
              <w:rPr>
                <w:rFonts w:hint="eastAsia"/>
                <w:b/>
                <w:color w:val="auto"/>
              </w:rPr>
            </w:pPr>
            <w:r>
              <w:rPr>
                <w:b/>
                <w:color w:val="auto"/>
              </w:rPr>
              <w:t>课程名称</w:t>
            </w:r>
            <w:r>
              <w:rPr>
                <w:rFonts w:hint="eastAsia"/>
                <w:b/>
                <w:color w:val="auto"/>
              </w:rPr>
              <w:t>（中英文）</w:t>
            </w:r>
          </w:p>
        </w:tc>
        <w:tc>
          <w:tcPr>
            <w:tcW w:w="7123" w:type="dxa"/>
            <w:gridSpan w:val="7"/>
            <w:noWrap w:val="0"/>
            <w:vAlign w:val="center"/>
          </w:tcPr>
          <w:p w14:paraId="6CB8EF42">
            <w:pPr>
              <w:spacing w:line="300" w:lineRule="auto"/>
              <w:jc w:val="center"/>
              <w:rPr>
                <w:rFonts w:hint="eastAsia" w:ascii="宋体" w:hAnsi="宋体"/>
                <w:color w:val="auto"/>
              </w:rPr>
            </w:pPr>
            <w:r>
              <w:rPr>
                <w:rFonts w:hint="eastAsia"/>
                <w:color w:val="auto"/>
              </w:rPr>
              <w:t xml:space="preserve">机电传动控制  </w:t>
            </w:r>
            <w:r>
              <w:rPr>
                <w:rFonts w:hint="eastAsia"/>
                <w:bCs/>
                <w:color w:val="auto"/>
              </w:rPr>
              <w:t>Electromechanical Drive Control</w:t>
            </w:r>
          </w:p>
        </w:tc>
      </w:tr>
      <w:tr w14:paraId="0E6A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338457A">
            <w:pPr>
              <w:spacing w:line="300" w:lineRule="auto"/>
              <w:jc w:val="center"/>
              <w:rPr>
                <w:b/>
                <w:color w:val="auto"/>
              </w:rPr>
            </w:pPr>
            <w:r>
              <w:rPr>
                <w:rFonts w:hint="eastAsia"/>
                <w:b/>
                <w:color w:val="auto"/>
              </w:rPr>
              <w:t>课程代码</w:t>
            </w:r>
          </w:p>
        </w:tc>
        <w:tc>
          <w:tcPr>
            <w:tcW w:w="2849" w:type="dxa"/>
            <w:gridSpan w:val="2"/>
            <w:noWrap w:val="0"/>
            <w:vAlign w:val="center"/>
          </w:tcPr>
          <w:p w14:paraId="2CFD6254">
            <w:pPr>
              <w:spacing w:line="300" w:lineRule="auto"/>
              <w:jc w:val="center"/>
              <w:rPr>
                <w:rFonts w:ascii="宋体" w:hAnsi="宋体"/>
                <w:color w:val="auto"/>
              </w:rPr>
            </w:pPr>
            <w:r>
              <w:rPr>
                <w:rFonts w:hint="eastAsia" w:eastAsia="仿宋"/>
                <w:color w:val="auto"/>
                <w:kern w:val="0"/>
              </w:rPr>
              <w:t>25JD32402</w:t>
            </w:r>
          </w:p>
        </w:tc>
        <w:tc>
          <w:tcPr>
            <w:tcW w:w="1581" w:type="dxa"/>
            <w:gridSpan w:val="2"/>
            <w:noWrap w:val="0"/>
            <w:vAlign w:val="center"/>
          </w:tcPr>
          <w:p w14:paraId="3B41F32B">
            <w:pPr>
              <w:spacing w:line="300" w:lineRule="auto"/>
              <w:jc w:val="center"/>
              <w:rPr>
                <w:rFonts w:hint="eastAsia"/>
                <w:b/>
                <w:color w:val="auto"/>
              </w:rPr>
            </w:pPr>
            <w:r>
              <w:rPr>
                <w:b/>
                <w:color w:val="auto"/>
              </w:rPr>
              <w:t>课程</w:t>
            </w:r>
            <w:r>
              <w:rPr>
                <w:rFonts w:hint="eastAsia"/>
                <w:b/>
                <w:color w:val="auto"/>
              </w:rPr>
              <w:t>类别</w:t>
            </w:r>
          </w:p>
        </w:tc>
        <w:tc>
          <w:tcPr>
            <w:tcW w:w="2693" w:type="dxa"/>
            <w:gridSpan w:val="3"/>
            <w:noWrap w:val="0"/>
            <w:vAlign w:val="center"/>
          </w:tcPr>
          <w:p w14:paraId="58947171">
            <w:pPr>
              <w:spacing w:line="300" w:lineRule="auto"/>
              <w:jc w:val="center"/>
              <w:rPr>
                <w:rFonts w:hint="eastAsia" w:ascii="宋体" w:hAnsi="宋体"/>
                <w:color w:val="auto"/>
              </w:rPr>
            </w:pPr>
            <w:r>
              <w:rPr>
                <w:rFonts w:hint="eastAsia" w:ascii="宋体" w:hAnsi="宋体"/>
                <w:color w:val="auto"/>
                <w:lang w:val="en-US" w:eastAsia="zh-CN"/>
              </w:rPr>
              <w:t>专业</w:t>
            </w:r>
            <w:r>
              <w:rPr>
                <w:rFonts w:hint="eastAsia" w:ascii="宋体" w:hAnsi="宋体"/>
                <w:color w:val="auto"/>
              </w:rPr>
              <w:t>类</w:t>
            </w:r>
          </w:p>
        </w:tc>
      </w:tr>
      <w:tr w14:paraId="1860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69B3F8DB">
            <w:pPr>
              <w:spacing w:line="300" w:lineRule="auto"/>
              <w:jc w:val="center"/>
              <w:rPr>
                <w:color w:val="auto"/>
              </w:rPr>
            </w:pPr>
            <w:r>
              <w:rPr>
                <w:rFonts w:hint="eastAsia"/>
                <w:b/>
                <w:color w:val="auto"/>
              </w:rPr>
              <w:t>课程性质</w:t>
            </w:r>
          </w:p>
        </w:tc>
        <w:tc>
          <w:tcPr>
            <w:tcW w:w="2849" w:type="dxa"/>
            <w:gridSpan w:val="2"/>
            <w:noWrap w:val="0"/>
            <w:vAlign w:val="center"/>
          </w:tcPr>
          <w:p w14:paraId="5D68B962">
            <w:pPr>
              <w:spacing w:line="300" w:lineRule="auto"/>
              <w:jc w:val="center"/>
              <w:rPr>
                <w:rFonts w:hint="eastAsia"/>
                <w:bCs/>
                <w:color w:val="auto"/>
              </w:rPr>
            </w:pPr>
            <w:r>
              <w:rPr>
                <w:rFonts w:hint="eastAsia"/>
                <w:bCs/>
                <w:color w:val="auto"/>
                <w:lang w:val="en-US" w:eastAsia="zh-CN"/>
              </w:rPr>
              <w:t>选</w:t>
            </w:r>
            <w:r>
              <w:rPr>
                <w:rFonts w:hint="eastAsia"/>
                <w:bCs/>
                <w:color w:val="auto"/>
              </w:rPr>
              <w:t>修课</w:t>
            </w:r>
          </w:p>
        </w:tc>
        <w:tc>
          <w:tcPr>
            <w:tcW w:w="1581" w:type="dxa"/>
            <w:gridSpan w:val="2"/>
            <w:noWrap w:val="0"/>
            <w:vAlign w:val="center"/>
          </w:tcPr>
          <w:p w14:paraId="47A23E17">
            <w:pPr>
              <w:spacing w:line="300" w:lineRule="auto"/>
              <w:jc w:val="center"/>
              <w:rPr>
                <w:b/>
                <w:color w:val="auto"/>
              </w:rPr>
            </w:pPr>
            <w:r>
              <w:rPr>
                <w:rFonts w:hint="eastAsia"/>
                <w:b/>
                <w:color w:val="auto"/>
              </w:rPr>
              <w:t>授课语言</w:t>
            </w:r>
          </w:p>
        </w:tc>
        <w:tc>
          <w:tcPr>
            <w:tcW w:w="2693" w:type="dxa"/>
            <w:gridSpan w:val="3"/>
            <w:noWrap w:val="0"/>
            <w:vAlign w:val="center"/>
          </w:tcPr>
          <w:p w14:paraId="2589C629">
            <w:pPr>
              <w:spacing w:line="300" w:lineRule="auto"/>
              <w:jc w:val="center"/>
              <w:rPr>
                <w:rFonts w:hint="eastAsia"/>
                <w:color w:val="auto"/>
              </w:rPr>
            </w:pPr>
            <w:r>
              <w:rPr>
                <w:rFonts w:hint="eastAsia"/>
                <w:color w:val="auto"/>
              </w:rPr>
              <w:t>中文</w:t>
            </w:r>
          </w:p>
        </w:tc>
      </w:tr>
      <w:tr w14:paraId="72F9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52756401">
            <w:pPr>
              <w:spacing w:line="300" w:lineRule="auto"/>
              <w:jc w:val="center"/>
              <w:rPr>
                <w:b/>
                <w:color w:val="auto"/>
              </w:rPr>
            </w:pPr>
            <w:r>
              <w:rPr>
                <w:rFonts w:hint="eastAsia"/>
                <w:b/>
                <w:color w:val="auto"/>
              </w:rPr>
              <w:t>授课学期</w:t>
            </w:r>
          </w:p>
        </w:tc>
        <w:tc>
          <w:tcPr>
            <w:tcW w:w="2849" w:type="dxa"/>
            <w:gridSpan w:val="2"/>
            <w:noWrap w:val="0"/>
            <w:vAlign w:val="center"/>
          </w:tcPr>
          <w:p w14:paraId="1B2714F6">
            <w:pPr>
              <w:spacing w:line="300" w:lineRule="auto"/>
              <w:jc w:val="center"/>
              <w:rPr>
                <w:rFonts w:hint="default" w:eastAsia="宋体"/>
                <w:bCs/>
                <w:color w:val="auto"/>
                <w:lang w:val="en-US" w:eastAsia="zh-CN"/>
              </w:rPr>
            </w:pPr>
            <w:r>
              <w:rPr>
                <w:rFonts w:hint="eastAsia"/>
                <w:bCs/>
                <w:color w:val="auto"/>
                <w:lang w:val="en-US" w:eastAsia="zh-CN"/>
              </w:rPr>
              <w:t>5（</w:t>
            </w:r>
            <w:r>
              <w:rPr>
                <w:rFonts w:hint="eastAsia"/>
                <w:bCs/>
                <w:color w:val="auto"/>
                <w:lang w:val="en-US" w:eastAsia="zh-CN"/>
              </w:rPr>
              <w:t>智能</w:t>
            </w:r>
            <w:r>
              <w:rPr>
                <w:rFonts w:hint="eastAsia"/>
                <w:bCs/>
                <w:color w:val="auto"/>
                <w:lang w:val="en-US" w:eastAsia="zh-CN"/>
              </w:rPr>
              <w:t>）、</w:t>
            </w:r>
            <w:r>
              <w:rPr>
                <w:rFonts w:hint="eastAsia"/>
                <w:bCs/>
                <w:color w:val="auto"/>
                <w:lang w:val="en-US" w:eastAsia="zh-CN"/>
              </w:rPr>
              <w:t>6（机械）、2（机械专升本）</w:t>
            </w:r>
          </w:p>
        </w:tc>
        <w:tc>
          <w:tcPr>
            <w:tcW w:w="2208" w:type="dxa"/>
            <w:gridSpan w:val="3"/>
            <w:noWrap w:val="0"/>
            <w:vAlign w:val="center"/>
          </w:tcPr>
          <w:p w14:paraId="47A29FFB">
            <w:pPr>
              <w:spacing w:line="300" w:lineRule="auto"/>
              <w:jc w:val="center"/>
              <w:rPr>
                <w:rFonts w:hint="eastAsia"/>
                <w:b/>
                <w:color w:val="auto"/>
              </w:rPr>
            </w:pPr>
            <w:r>
              <w:rPr>
                <w:rFonts w:hint="eastAsia"/>
                <w:b/>
                <w:color w:val="auto"/>
              </w:rPr>
              <w:t>学分</w:t>
            </w:r>
          </w:p>
        </w:tc>
        <w:tc>
          <w:tcPr>
            <w:tcW w:w="2066" w:type="dxa"/>
            <w:gridSpan w:val="2"/>
            <w:noWrap w:val="0"/>
            <w:vAlign w:val="center"/>
          </w:tcPr>
          <w:p w14:paraId="0914FB11">
            <w:pPr>
              <w:spacing w:line="300" w:lineRule="auto"/>
              <w:jc w:val="center"/>
              <w:rPr>
                <w:rFonts w:hint="eastAsia" w:eastAsia="宋体"/>
                <w:color w:val="auto"/>
                <w:lang w:eastAsia="zh-CN"/>
              </w:rPr>
            </w:pPr>
            <w:r>
              <w:rPr>
                <w:rFonts w:hint="eastAsia"/>
                <w:color w:val="auto"/>
                <w:lang w:val="en-US" w:eastAsia="zh-CN"/>
              </w:rPr>
              <w:t>2</w:t>
            </w:r>
          </w:p>
        </w:tc>
      </w:tr>
      <w:tr w14:paraId="4F4D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restart"/>
            <w:noWrap w:val="0"/>
            <w:vAlign w:val="center"/>
          </w:tcPr>
          <w:p w14:paraId="366535FC">
            <w:pPr>
              <w:spacing w:line="300" w:lineRule="auto"/>
              <w:jc w:val="center"/>
              <w:rPr>
                <w:b/>
                <w:color w:val="auto"/>
              </w:rPr>
            </w:pPr>
            <w:r>
              <w:rPr>
                <w:b/>
                <w:color w:val="auto"/>
              </w:rPr>
              <w:t>课程学时及分配</w:t>
            </w:r>
          </w:p>
        </w:tc>
        <w:tc>
          <w:tcPr>
            <w:tcW w:w="1634" w:type="dxa"/>
            <w:noWrap w:val="0"/>
            <w:vAlign w:val="center"/>
          </w:tcPr>
          <w:p w14:paraId="2F9A525B">
            <w:pPr>
              <w:spacing w:line="300" w:lineRule="auto"/>
              <w:jc w:val="center"/>
              <w:rPr>
                <w:b/>
                <w:color w:val="auto"/>
              </w:rPr>
            </w:pPr>
            <w:r>
              <w:rPr>
                <w:b/>
                <w:color w:val="auto"/>
              </w:rPr>
              <w:t>总学时</w:t>
            </w:r>
          </w:p>
        </w:tc>
        <w:tc>
          <w:tcPr>
            <w:tcW w:w="1215" w:type="dxa"/>
            <w:noWrap w:val="0"/>
            <w:vAlign w:val="center"/>
          </w:tcPr>
          <w:p w14:paraId="2A2CBB2C">
            <w:pPr>
              <w:spacing w:line="300" w:lineRule="auto"/>
              <w:jc w:val="center"/>
              <w:rPr>
                <w:rFonts w:hint="eastAsia"/>
                <w:b/>
                <w:color w:val="auto"/>
              </w:rPr>
            </w:pPr>
            <w:r>
              <w:rPr>
                <w:rFonts w:hint="eastAsia"/>
                <w:b/>
                <w:color w:val="auto"/>
              </w:rPr>
              <w:t>理论</w:t>
            </w:r>
          </w:p>
        </w:tc>
        <w:tc>
          <w:tcPr>
            <w:tcW w:w="1104" w:type="dxa"/>
            <w:noWrap w:val="0"/>
            <w:vAlign w:val="center"/>
          </w:tcPr>
          <w:p w14:paraId="7F50F979">
            <w:pPr>
              <w:spacing w:line="300" w:lineRule="auto"/>
              <w:jc w:val="center"/>
              <w:rPr>
                <w:rFonts w:hint="eastAsia"/>
                <w:b/>
                <w:color w:val="auto"/>
              </w:rPr>
            </w:pPr>
            <w:r>
              <w:rPr>
                <w:rFonts w:hint="eastAsia"/>
                <w:b/>
                <w:color w:val="auto"/>
              </w:rPr>
              <w:t>实践</w:t>
            </w:r>
          </w:p>
        </w:tc>
        <w:tc>
          <w:tcPr>
            <w:tcW w:w="1104" w:type="dxa"/>
            <w:gridSpan w:val="2"/>
            <w:noWrap w:val="0"/>
            <w:vAlign w:val="center"/>
          </w:tcPr>
          <w:p w14:paraId="398CFACA">
            <w:pPr>
              <w:spacing w:line="300" w:lineRule="auto"/>
              <w:jc w:val="center"/>
              <w:rPr>
                <w:rFonts w:hint="eastAsia"/>
                <w:b/>
                <w:color w:val="auto"/>
              </w:rPr>
            </w:pPr>
            <w:r>
              <w:rPr>
                <w:rFonts w:hint="eastAsia"/>
                <w:b/>
                <w:color w:val="auto"/>
              </w:rPr>
              <w:t>实验</w:t>
            </w:r>
          </w:p>
        </w:tc>
        <w:tc>
          <w:tcPr>
            <w:tcW w:w="1033" w:type="dxa"/>
            <w:noWrap w:val="0"/>
            <w:vAlign w:val="center"/>
          </w:tcPr>
          <w:p w14:paraId="462E8473">
            <w:pPr>
              <w:spacing w:line="300" w:lineRule="auto"/>
              <w:jc w:val="center"/>
              <w:rPr>
                <w:color w:val="auto"/>
                <w:highlight w:val="yellow"/>
              </w:rPr>
            </w:pPr>
            <w:r>
              <w:rPr>
                <w:rFonts w:hint="eastAsia"/>
                <w:b/>
                <w:color w:val="auto"/>
              </w:rPr>
              <w:t>上机</w:t>
            </w:r>
          </w:p>
        </w:tc>
        <w:tc>
          <w:tcPr>
            <w:tcW w:w="1033" w:type="dxa"/>
            <w:noWrap w:val="0"/>
            <w:vAlign w:val="center"/>
          </w:tcPr>
          <w:p w14:paraId="63F4E6C8">
            <w:pPr>
              <w:spacing w:line="300" w:lineRule="auto"/>
              <w:jc w:val="center"/>
              <w:rPr>
                <w:b/>
                <w:color w:val="auto"/>
              </w:rPr>
            </w:pPr>
            <w:r>
              <w:rPr>
                <w:rFonts w:hint="eastAsia"/>
                <w:b/>
                <w:color w:val="auto"/>
              </w:rPr>
              <w:t>项目式</w:t>
            </w:r>
          </w:p>
        </w:tc>
      </w:tr>
      <w:tr w14:paraId="56E3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continue"/>
            <w:noWrap w:val="0"/>
            <w:vAlign w:val="center"/>
          </w:tcPr>
          <w:p w14:paraId="5F09664E">
            <w:pPr>
              <w:spacing w:line="300" w:lineRule="auto"/>
              <w:jc w:val="center"/>
              <w:rPr>
                <w:b/>
                <w:color w:val="auto"/>
              </w:rPr>
            </w:pPr>
          </w:p>
        </w:tc>
        <w:tc>
          <w:tcPr>
            <w:tcW w:w="1634" w:type="dxa"/>
            <w:noWrap w:val="0"/>
            <w:vAlign w:val="center"/>
          </w:tcPr>
          <w:p w14:paraId="71F6070E">
            <w:pPr>
              <w:spacing w:line="300" w:lineRule="auto"/>
              <w:jc w:val="center"/>
              <w:rPr>
                <w:rFonts w:hint="default" w:eastAsia="宋体"/>
                <w:color w:val="auto"/>
                <w:lang w:val="en-US" w:eastAsia="zh-CN"/>
              </w:rPr>
            </w:pPr>
            <w:r>
              <w:rPr>
                <w:rFonts w:hint="eastAsia"/>
                <w:color w:val="auto"/>
                <w:lang w:val="en-US" w:eastAsia="zh-CN"/>
              </w:rPr>
              <w:t>32</w:t>
            </w:r>
          </w:p>
        </w:tc>
        <w:tc>
          <w:tcPr>
            <w:tcW w:w="1215" w:type="dxa"/>
            <w:noWrap w:val="0"/>
            <w:vAlign w:val="center"/>
          </w:tcPr>
          <w:p w14:paraId="07A89B70">
            <w:pPr>
              <w:spacing w:line="300" w:lineRule="auto"/>
              <w:jc w:val="center"/>
              <w:rPr>
                <w:rFonts w:hint="default" w:eastAsia="宋体"/>
                <w:color w:val="auto"/>
                <w:lang w:val="en-US" w:eastAsia="zh-CN"/>
              </w:rPr>
            </w:pPr>
            <w:r>
              <w:rPr>
                <w:rFonts w:hint="eastAsia"/>
                <w:color w:val="auto"/>
                <w:lang w:val="en-US" w:eastAsia="zh-CN"/>
              </w:rPr>
              <w:t>32</w:t>
            </w:r>
          </w:p>
        </w:tc>
        <w:tc>
          <w:tcPr>
            <w:tcW w:w="1104" w:type="dxa"/>
            <w:noWrap w:val="0"/>
            <w:vAlign w:val="center"/>
          </w:tcPr>
          <w:p w14:paraId="2E78D766">
            <w:pPr>
              <w:spacing w:line="300" w:lineRule="auto"/>
              <w:jc w:val="center"/>
              <w:rPr>
                <w:rFonts w:hint="eastAsia"/>
                <w:color w:val="auto"/>
              </w:rPr>
            </w:pPr>
            <w:r>
              <w:rPr>
                <w:rFonts w:hint="eastAsia"/>
                <w:color w:val="auto"/>
              </w:rPr>
              <w:t>0</w:t>
            </w:r>
          </w:p>
        </w:tc>
        <w:tc>
          <w:tcPr>
            <w:tcW w:w="1104" w:type="dxa"/>
            <w:gridSpan w:val="2"/>
            <w:noWrap w:val="0"/>
            <w:vAlign w:val="center"/>
          </w:tcPr>
          <w:p w14:paraId="6DA73495">
            <w:pPr>
              <w:spacing w:line="300" w:lineRule="auto"/>
              <w:jc w:val="center"/>
              <w:rPr>
                <w:rFonts w:hint="eastAsia" w:eastAsia="宋体"/>
                <w:color w:val="auto"/>
                <w:lang w:eastAsia="zh-CN"/>
              </w:rPr>
            </w:pPr>
            <w:r>
              <w:rPr>
                <w:rFonts w:hint="eastAsia"/>
                <w:color w:val="auto"/>
                <w:lang w:val="en-US" w:eastAsia="zh-CN"/>
              </w:rPr>
              <w:t>0</w:t>
            </w:r>
          </w:p>
        </w:tc>
        <w:tc>
          <w:tcPr>
            <w:tcW w:w="1033" w:type="dxa"/>
            <w:noWrap w:val="0"/>
            <w:vAlign w:val="center"/>
          </w:tcPr>
          <w:p w14:paraId="3071918B">
            <w:pPr>
              <w:spacing w:line="300" w:lineRule="auto"/>
              <w:jc w:val="center"/>
              <w:rPr>
                <w:rFonts w:hint="eastAsia"/>
                <w:color w:val="auto"/>
              </w:rPr>
            </w:pPr>
            <w:r>
              <w:rPr>
                <w:rFonts w:hint="eastAsia"/>
                <w:color w:val="auto"/>
              </w:rPr>
              <w:t>0</w:t>
            </w:r>
          </w:p>
        </w:tc>
        <w:tc>
          <w:tcPr>
            <w:tcW w:w="1033" w:type="dxa"/>
            <w:noWrap w:val="0"/>
            <w:vAlign w:val="center"/>
          </w:tcPr>
          <w:p w14:paraId="39F87A70">
            <w:pPr>
              <w:spacing w:line="300" w:lineRule="auto"/>
              <w:jc w:val="center"/>
              <w:rPr>
                <w:rFonts w:hint="eastAsia"/>
                <w:color w:val="auto"/>
              </w:rPr>
            </w:pPr>
            <w:r>
              <w:rPr>
                <w:rFonts w:hint="eastAsia"/>
                <w:color w:val="auto"/>
              </w:rPr>
              <w:t>0</w:t>
            </w:r>
          </w:p>
        </w:tc>
      </w:tr>
      <w:tr w14:paraId="757D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519C7F7F">
            <w:pPr>
              <w:spacing w:line="300" w:lineRule="auto"/>
              <w:jc w:val="center"/>
              <w:rPr>
                <w:b/>
                <w:color w:val="auto"/>
              </w:rPr>
            </w:pPr>
            <w:r>
              <w:rPr>
                <w:b/>
                <w:color w:val="auto"/>
              </w:rPr>
              <w:t>适用专业</w:t>
            </w:r>
          </w:p>
        </w:tc>
        <w:tc>
          <w:tcPr>
            <w:tcW w:w="7123" w:type="dxa"/>
            <w:gridSpan w:val="7"/>
            <w:noWrap w:val="0"/>
            <w:vAlign w:val="center"/>
          </w:tcPr>
          <w:p w14:paraId="53CCA384">
            <w:pPr>
              <w:spacing w:line="300" w:lineRule="auto"/>
              <w:jc w:val="left"/>
              <w:rPr>
                <w:color w:val="auto"/>
              </w:rPr>
            </w:pPr>
            <w:r>
              <w:rPr>
                <w:rFonts w:hint="eastAsia"/>
                <w:color w:val="auto"/>
              </w:rPr>
              <w:t>智能制造工程、机械工程、机械工程（专升本）</w:t>
            </w:r>
          </w:p>
        </w:tc>
      </w:tr>
      <w:tr w14:paraId="6A3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5D52470">
            <w:pPr>
              <w:spacing w:line="300" w:lineRule="auto"/>
              <w:jc w:val="center"/>
              <w:rPr>
                <w:b/>
                <w:color w:val="auto"/>
              </w:rPr>
            </w:pPr>
            <w:r>
              <w:rPr>
                <w:rFonts w:hint="eastAsia"/>
                <w:b/>
                <w:color w:val="auto"/>
              </w:rPr>
              <w:t>授课学院</w:t>
            </w:r>
          </w:p>
        </w:tc>
        <w:tc>
          <w:tcPr>
            <w:tcW w:w="7123" w:type="dxa"/>
            <w:gridSpan w:val="7"/>
            <w:noWrap w:val="0"/>
            <w:vAlign w:val="center"/>
          </w:tcPr>
          <w:p w14:paraId="68F140D5">
            <w:pPr>
              <w:spacing w:line="300" w:lineRule="auto"/>
              <w:jc w:val="left"/>
              <w:rPr>
                <w:rFonts w:hint="eastAsia"/>
                <w:color w:val="auto"/>
              </w:rPr>
            </w:pPr>
            <w:r>
              <w:rPr>
                <w:rFonts w:hint="eastAsia"/>
                <w:color w:val="auto"/>
              </w:rPr>
              <w:t>机械与动力工程学院</w:t>
            </w:r>
          </w:p>
        </w:tc>
      </w:tr>
      <w:tr w14:paraId="71A2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4E1BE20B">
            <w:pPr>
              <w:spacing w:line="300" w:lineRule="auto"/>
              <w:jc w:val="center"/>
              <w:rPr>
                <w:b/>
                <w:color w:val="auto"/>
              </w:rPr>
            </w:pPr>
            <w:r>
              <w:rPr>
                <w:b/>
                <w:color w:val="auto"/>
              </w:rPr>
              <w:t>先修</w:t>
            </w:r>
            <w:r>
              <w:rPr>
                <w:rFonts w:hint="eastAsia"/>
                <w:b/>
                <w:color w:val="auto"/>
              </w:rPr>
              <w:t>课程</w:t>
            </w:r>
          </w:p>
        </w:tc>
        <w:tc>
          <w:tcPr>
            <w:tcW w:w="7123" w:type="dxa"/>
            <w:gridSpan w:val="7"/>
            <w:noWrap w:val="0"/>
            <w:vAlign w:val="center"/>
          </w:tcPr>
          <w:p w14:paraId="05EEBC79">
            <w:pPr>
              <w:spacing w:line="300" w:lineRule="auto"/>
              <w:jc w:val="left"/>
              <w:rPr>
                <w:color w:val="auto"/>
              </w:rPr>
            </w:pPr>
            <w:r>
              <w:rPr>
                <w:rFonts w:hint="eastAsia"/>
                <w:color w:val="auto"/>
              </w:rPr>
              <w:t>电工与电子技术（A）、微机原理及接口技术</w:t>
            </w:r>
          </w:p>
        </w:tc>
      </w:tr>
      <w:tr w14:paraId="2AD9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B1525E8">
            <w:pPr>
              <w:spacing w:line="300" w:lineRule="auto"/>
              <w:jc w:val="center"/>
              <w:rPr>
                <w:b/>
                <w:color w:val="auto"/>
              </w:rPr>
            </w:pPr>
            <w:r>
              <w:rPr>
                <w:rFonts w:hint="eastAsia"/>
                <w:b/>
                <w:color w:val="auto"/>
              </w:rPr>
              <w:t>后续课程</w:t>
            </w:r>
          </w:p>
        </w:tc>
        <w:tc>
          <w:tcPr>
            <w:tcW w:w="7123" w:type="dxa"/>
            <w:gridSpan w:val="7"/>
            <w:noWrap w:val="0"/>
            <w:vAlign w:val="center"/>
          </w:tcPr>
          <w:p w14:paraId="7AEA4447">
            <w:pPr>
              <w:spacing w:line="300" w:lineRule="auto"/>
              <w:jc w:val="left"/>
              <w:rPr>
                <w:color w:val="auto"/>
              </w:rPr>
            </w:pPr>
            <w:r>
              <w:rPr>
                <w:rFonts w:hint="eastAsia"/>
                <w:color w:val="auto"/>
              </w:rPr>
              <w:t>增材制造技术、机械制造装备设计</w:t>
            </w:r>
          </w:p>
        </w:tc>
      </w:tr>
      <w:tr w14:paraId="6DD6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dxa"/>
            <w:noWrap w:val="0"/>
            <w:vAlign w:val="center"/>
          </w:tcPr>
          <w:p w14:paraId="37B8D5F0">
            <w:pPr>
              <w:spacing w:line="300" w:lineRule="auto"/>
              <w:jc w:val="center"/>
              <w:rPr>
                <w:rFonts w:hint="eastAsia"/>
                <w:b/>
                <w:color w:val="auto"/>
              </w:rPr>
            </w:pPr>
            <w:r>
              <w:rPr>
                <w:rFonts w:hint="eastAsia"/>
                <w:b/>
                <w:color w:val="auto"/>
              </w:rPr>
              <w:t>课程简介</w:t>
            </w:r>
          </w:p>
        </w:tc>
        <w:tc>
          <w:tcPr>
            <w:tcW w:w="7123" w:type="dxa"/>
            <w:gridSpan w:val="7"/>
            <w:noWrap w:val="0"/>
            <w:vAlign w:val="center"/>
          </w:tcPr>
          <w:p w14:paraId="04F0E6A7">
            <w:pPr>
              <w:rPr>
                <w:rFonts w:hint="eastAsia" w:ascii="宋体" w:hAnsi="宋体"/>
                <w:color w:val="auto"/>
                <w:szCs w:val="18"/>
              </w:rPr>
            </w:pPr>
            <w:r>
              <w:rPr>
                <w:rFonts w:hint="eastAsia" w:ascii="宋体" w:hAnsi="宋体"/>
                <w:b/>
                <w:color w:val="auto"/>
                <w:szCs w:val="18"/>
              </w:rPr>
              <w:t>课程基本定位</w:t>
            </w:r>
          </w:p>
          <w:p w14:paraId="5414FB3D">
            <w:pPr>
              <w:ind w:firstLine="420" w:firstLineChars="200"/>
              <w:rPr>
                <w:rFonts w:hint="eastAsia" w:ascii="宋体" w:hAnsi="宋体"/>
                <w:color w:val="auto"/>
                <w:szCs w:val="18"/>
              </w:rPr>
            </w:pPr>
            <w:r>
              <w:commentReference w:id="0"/>
            </w:r>
            <w:r>
              <w:rPr>
                <w:rFonts w:hint="eastAsia" w:ascii="宋体" w:hAnsi="宋体"/>
                <w:color w:val="auto"/>
                <w:szCs w:val="18"/>
              </w:rPr>
              <w:t>本课程是智能制造工程、机械工程、</w:t>
            </w:r>
            <w:r>
              <w:rPr>
                <w:rFonts w:hint="eastAsia" w:ascii="宋体" w:hAnsi="宋体"/>
                <w:color w:val="auto"/>
                <w:szCs w:val="18"/>
                <w:lang w:val="en-US" w:eastAsia="zh-CN"/>
              </w:rPr>
              <w:t>机械工程（专升本）</w:t>
            </w:r>
            <w:r>
              <w:rPr>
                <w:rFonts w:hint="eastAsia" w:ascii="宋体" w:hAnsi="宋体"/>
                <w:color w:val="auto"/>
                <w:szCs w:val="18"/>
              </w:rPr>
              <w:t>专业的一门重要的专业</w:t>
            </w:r>
            <w:r>
              <w:rPr>
                <w:rFonts w:hint="eastAsia" w:ascii="宋体" w:hAnsi="宋体"/>
                <w:color w:val="auto"/>
                <w:szCs w:val="18"/>
                <w:lang w:val="en-US" w:eastAsia="zh-CN"/>
              </w:rPr>
              <w:t>选</w:t>
            </w:r>
            <w:r>
              <w:rPr>
                <w:rFonts w:hint="eastAsia" w:ascii="宋体" w:hAnsi="宋体"/>
                <w:color w:val="auto"/>
                <w:szCs w:val="18"/>
              </w:rPr>
              <w:t>修课，主要研究机电传动系统动力学规律，以及各类驱动电机的工作特性、运行控制与电气逻辑控制规律，为机电设备、自动化系统与智能制造装备的驱动设计、选型校核与控制优化奠定必要的机电基础。同时本课程又具有很强的工程应用性，能够直接应用于工业机械设备动力匹配、电机启停调速制动控制、低压电气回路设计与设备工况分析，是一门理论与实践结合比较紧密的课程。</w:t>
            </w:r>
          </w:p>
          <w:p w14:paraId="1544BB94">
            <w:pPr>
              <w:rPr>
                <w:rFonts w:hint="eastAsia" w:ascii="宋体" w:hAnsi="宋体"/>
                <w:b/>
                <w:color w:val="auto"/>
                <w:szCs w:val="18"/>
              </w:rPr>
            </w:pPr>
            <w:r>
              <w:rPr>
                <w:rFonts w:hint="eastAsia" w:ascii="宋体" w:hAnsi="宋体"/>
                <w:b/>
                <w:color w:val="auto"/>
                <w:szCs w:val="18"/>
              </w:rPr>
              <w:t>核心学习结果</w:t>
            </w:r>
          </w:p>
          <w:p w14:paraId="689912BA">
            <w:pPr>
              <w:ind w:firstLine="420" w:firstLineChars="200"/>
              <w:rPr>
                <w:rFonts w:hint="eastAsia" w:ascii="宋体" w:hAnsi="宋体"/>
                <w:bCs/>
                <w:color w:val="auto"/>
                <w:szCs w:val="18"/>
              </w:rPr>
            </w:pPr>
            <w:r>
              <w:rPr>
                <w:rFonts w:hint="eastAsia" w:ascii="宋体" w:hAnsi="宋体"/>
                <w:bCs/>
                <w:color w:val="auto"/>
                <w:szCs w:val="18"/>
              </w:rPr>
              <w:t>通过本课程的学习，学生能够掌握机电传动动力学、交直流电机与控制电机、低压电气控制的理论基础，初步具备综合应用所学机电知识分析、解决工业传动与电气控制实际问题的能力，对常见机电设备传动系统、电机拖动回路、电气控制线路进行原理分析、参数计算与方案设计的基本理论和方法。通过在教学过程中贯彻素质教育，学生能够具备坚持不懈的学习精神、严谨治学的科学态度和积极向上的价值观，为未来的专业学习、工程工作和生活奠定良好的基础。</w:t>
            </w:r>
          </w:p>
          <w:p w14:paraId="050D7DF9">
            <w:pPr>
              <w:rPr>
                <w:rFonts w:hint="eastAsia" w:ascii="宋体" w:hAnsi="宋体"/>
                <w:b/>
                <w:color w:val="auto"/>
                <w:szCs w:val="18"/>
              </w:rPr>
            </w:pPr>
            <w:r>
              <w:rPr>
                <w:rFonts w:hint="eastAsia" w:ascii="宋体" w:hAnsi="宋体"/>
                <w:b/>
                <w:color w:val="auto"/>
                <w:szCs w:val="18"/>
              </w:rPr>
              <w:t>主要教学方法</w:t>
            </w:r>
          </w:p>
          <w:p w14:paraId="0D8D8DA3">
            <w:pPr>
              <w:ind w:firstLine="420" w:firstLineChars="200"/>
              <w:rPr>
                <w:rFonts w:ascii="宋体" w:hAnsi="宋体"/>
                <w:color w:val="auto"/>
                <w:szCs w:val="18"/>
              </w:rPr>
            </w:pPr>
            <w:r>
              <w:rPr>
                <w:rFonts w:hint="eastAsia" w:ascii="宋体" w:hAnsi="宋体"/>
                <w:bCs/>
                <w:color w:val="auto"/>
                <w:szCs w:val="18"/>
              </w:rPr>
              <w:t>理论课堂主要采用讲授法学习新知识和例题；布置课上和课后练习，巩固所学新知识；重难点利用分组讨论法和互动提问加深理解。</w:t>
            </w:r>
          </w:p>
        </w:tc>
      </w:tr>
      <w:tr w14:paraId="074B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6B060D9">
            <w:pPr>
              <w:spacing w:line="300" w:lineRule="auto"/>
              <w:jc w:val="center"/>
              <w:rPr>
                <w:b/>
                <w:color w:val="auto"/>
              </w:rPr>
            </w:pPr>
            <w:r>
              <w:rPr>
                <w:b/>
                <w:color w:val="auto"/>
              </w:rPr>
              <w:t>大纲更新时间</w:t>
            </w:r>
          </w:p>
        </w:tc>
        <w:tc>
          <w:tcPr>
            <w:tcW w:w="7123" w:type="dxa"/>
            <w:gridSpan w:val="7"/>
            <w:noWrap w:val="0"/>
            <w:vAlign w:val="center"/>
          </w:tcPr>
          <w:p w14:paraId="78DA31A8">
            <w:pPr>
              <w:spacing w:line="300" w:lineRule="auto"/>
              <w:rPr>
                <w:color w:val="auto"/>
              </w:rPr>
            </w:pPr>
            <w:r>
              <w:rPr>
                <w:rFonts w:hint="eastAsia"/>
                <w:color w:val="auto"/>
              </w:rPr>
              <w:t>2025年9月</w:t>
            </w:r>
            <w:r>
              <w:commentReference w:id="1"/>
            </w:r>
          </w:p>
        </w:tc>
      </w:tr>
    </w:tbl>
    <w:p w14:paraId="1250D203">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br w:type="page"/>
      </w:r>
      <w:r>
        <w:rPr>
          <w:rFonts w:hint="eastAsia" w:ascii="黑体" w:hAnsi="黑体" w:eastAsia="黑体"/>
          <w:color w:val="auto"/>
          <w:sz w:val="28"/>
          <w:szCs w:val="28"/>
        </w:rPr>
        <w:t>二、课程目标</w:t>
      </w:r>
      <w:r>
        <w:commentReference w:id="2"/>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809"/>
        <w:gridCol w:w="4248"/>
        <w:gridCol w:w="4229"/>
      </w:tblGrid>
      <w:tr w14:paraId="476E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809" w:type="dxa"/>
            <w:noWrap w:val="0"/>
            <w:vAlign w:val="center"/>
          </w:tcPr>
          <w:p w14:paraId="0A2531A3">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课程总目标</w:t>
            </w:r>
          </w:p>
        </w:tc>
        <w:tc>
          <w:tcPr>
            <w:tcW w:w="4248" w:type="dxa"/>
            <w:noWrap w:val="0"/>
            <w:vAlign w:val="center"/>
          </w:tcPr>
          <w:p w14:paraId="43066FE2">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课程子目标（参考学校定位、培养目标、毕业要求）</w:t>
            </w:r>
          </w:p>
        </w:tc>
        <w:tc>
          <w:tcPr>
            <w:tcW w:w="4229" w:type="dxa"/>
            <w:noWrap w:val="0"/>
            <w:vAlign w:val="center"/>
          </w:tcPr>
          <w:p w14:paraId="30FCBB14">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达成方法</w:t>
            </w:r>
          </w:p>
        </w:tc>
      </w:tr>
      <w:tr w14:paraId="2D85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342" w:hRule="exact"/>
          <w:jc w:val="center"/>
        </w:trPr>
        <w:tc>
          <w:tcPr>
            <w:tcW w:w="809" w:type="dxa"/>
            <w:vMerge w:val="restart"/>
            <w:noWrap w:val="0"/>
            <w:vAlign w:val="center"/>
          </w:tcPr>
          <w:p w14:paraId="3B685F6B">
            <w:pPr>
              <w:snapToGrid w:val="0"/>
              <w:spacing w:line="240" w:lineRule="exact"/>
              <w:jc w:val="center"/>
              <w:rPr>
                <w:rFonts w:hint="default" w:ascii="Times New Roman" w:hAnsi="Times New Roman" w:eastAsia="宋体" w:cs="Times New Roman"/>
                <w:b/>
                <w:color w:val="auto"/>
                <w:kern w:val="0"/>
                <w:sz w:val="15"/>
                <w:szCs w:val="18"/>
              </w:rPr>
            </w:pPr>
            <w:r>
              <w:rPr>
                <w:rFonts w:hint="default" w:ascii="Times New Roman" w:hAnsi="Times New Roman" w:eastAsia="宋体" w:cs="Times New Roman"/>
                <w:b/>
                <w:color w:val="auto"/>
                <w:kern w:val="0"/>
                <w:sz w:val="15"/>
                <w:szCs w:val="18"/>
              </w:rPr>
              <w:t>1.知识</w:t>
            </w:r>
          </w:p>
        </w:tc>
        <w:tc>
          <w:tcPr>
            <w:tcW w:w="4248" w:type="dxa"/>
            <w:noWrap w:val="0"/>
            <w:vAlign w:val="center"/>
          </w:tcPr>
          <w:p w14:paraId="10FA067F">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1.1了解本课程的知识体系以及与其他课程关系，理解本课程在专业学习中的作用；掌握课程学习要求，熟知成绩评定规则与课堂规范，明确学习方向，为系统学习</w:t>
            </w:r>
            <w:r>
              <w:rPr>
                <w:rFonts w:hint="eastAsia" w:ascii="Times New Roman" w:hAnsi="Times New Roman" w:eastAsia="宋体" w:cs="Times New Roman"/>
                <w:color w:val="auto"/>
                <w:sz w:val="15"/>
                <w:szCs w:val="15"/>
                <w:lang w:val="en-US" w:eastAsia="zh-CN"/>
              </w:rPr>
              <w:t>机电传动系统与电动机</w:t>
            </w:r>
            <w:r>
              <w:rPr>
                <w:rFonts w:hint="default" w:ascii="Times New Roman" w:hAnsi="Times New Roman" w:eastAsia="宋体" w:cs="Times New Roman"/>
                <w:color w:val="auto"/>
                <w:sz w:val="15"/>
                <w:szCs w:val="15"/>
              </w:rPr>
              <w:t>知识奠定思想意识根基。</w:t>
            </w:r>
          </w:p>
        </w:tc>
        <w:tc>
          <w:tcPr>
            <w:tcW w:w="4229" w:type="dxa"/>
            <w:noWrap w:val="0"/>
            <w:vAlign w:val="center"/>
          </w:tcPr>
          <w:p w14:paraId="1ACEEF2F">
            <w:pPr>
              <w:snapToGrid w:val="0"/>
              <w:spacing w:line="240" w:lineRule="exact"/>
              <w:jc w:val="left"/>
              <w:rPr>
                <w:rFonts w:hint="default" w:ascii="Times New Roman" w:hAnsi="Times New Roman" w:eastAsia="宋体" w:cs="Times New Roman"/>
                <w:b/>
                <w:color w:val="auto"/>
                <w:sz w:val="15"/>
                <w:szCs w:val="15"/>
              </w:rPr>
            </w:pPr>
            <w:r>
              <w:rPr>
                <w:rFonts w:hint="default" w:ascii="Times New Roman" w:hAnsi="Times New Roman" w:eastAsia="宋体" w:cs="Times New Roman"/>
                <w:color w:val="auto"/>
                <w:sz w:val="15"/>
                <w:szCs w:val="15"/>
              </w:rPr>
              <w:t>课程学习过程中，通过自主梳理、手绘思维导图的方式系统拆解本课程完整知识体系，清晰划分机电传动动力学基础、交直流驱动电机、精密控制电机、低压电气控制四大核心模块，理清各章节知识点的递进关系、并列关系与支撑关系，直观建立模块化、系统化的整体知识框架。</w:t>
            </w:r>
          </w:p>
        </w:tc>
      </w:tr>
      <w:tr w14:paraId="643C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455" w:hRule="exact"/>
          <w:jc w:val="center"/>
        </w:trPr>
        <w:tc>
          <w:tcPr>
            <w:tcW w:w="809" w:type="dxa"/>
            <w:vMerge w:val="continue"/>
            <w:noWrap w:val="0"/>
            <w:vAlign w:val="center"/>
          </w:tcPr>
          <w:p w14:paraId="0997D4C3">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center"/>
          </w:tcPr>
          <w:p w14:paraId="130FF23F">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1.2掌握机电传动系统基本概念，包括机电传动系统组成、运动状态、转矩、转动惯量、负载特性；熟悉常见的机械传动机构类型以及对应的动力学特性，包括带传动、齿轮传动、多级轴系传动；掌握机电传动系统动力学等效折算方法，熟悉机电系统受力与运动分析、绘制传动系统力学模型的步骤。</w:t>
            </w:r>
          </w:p>
        </w:tc>
        <w:tc>
          <w:tcPr>
            <w:tcW w:w="4229" w:type="dxa"/>
            <w:noWrap w:val="0"/>
            <w:vAlign w:val="center"/>
          </w:tcPr>
          <w:p w14:paraId="547479DA">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课堂理论学习、知识点归纳梳理与例题训练，系统识记机电传动系统核心基本概念，精准理解转矩、转动惯量、负载特性等关键参数的物理意义。结合工程传动机构实物案例与原理图分析，对比掌握带传动、齿轮传动、多级轴系传动的结构特点与动力学性能差异，厘清不同传动机构的适用工况。</w:t>
            </w:r>
          </w:p>
        </w:tc>
      </w:tr>
      <w:tr w14:paraId="1FB7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1" w:hRule="exact"/>
          <w:jc w:val="center"/>
        </w:trPr>
        <w:tc>
          <w:tcPr>
            <w:tcW w:w="809" w:type="dxa"/>
            <w:vMerge w:val="continue"/>
            <w:noWrap w:val="0"/>
            <w:vAlign w:val="center"/>
          </w:tcPr>
          <w:p w14:paraId="6701EC2B">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center"/>
          </w:tcPr>
          <w:p w14:paraId="6714E612">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1.3掌握直流电动机基本概念，包括直流电动机结构组成、励磁方式、电动势与电磁转矩；熟悉直流电动机的运行特性以及对应的工作规律，包括固有机械特性、人为机械特性；掌握直流电动机启动、调速和制动的基本原理，熟悉直流电机工况分析、参数计算与特性曲线绘制的步骤。</w:t>
            </w:r>
          </w:p>
        </w:tc>
        <w:tc>
          <w:tcPr>
            <w:tcW w:w="4229" w:type="dxa"/>
            <w:noWrap w:val="0"/>
            <w:vAlign w:val="center"/>
          </w:tcPr>
          <w:p w14:paraId="27965A7C">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课堂理论讲授、知识点梳理归纳和典型例题练习，系统掌握直流电动机的基本结构、不同励磁方式特点，深入理解感应电动势与电磁转矩的产生原理及物理意义。结合电机特性曲线图解分析、课堂案例对比学习，熟练掌握直流电动机固有机械特性和人为机械特性的变化规律、特征参数及适用工况。通过课后习题训练、工况仿真分析与曲线绘制实操，熟练掌握直流电动机启动、调速、制动各类控制方式的工作原理与操作特点</w:t>
            </w:r>
            <w:r>
              <w:rPr>
                <w:rFonts w:hint="eastAsia" w:ascii="Times New Roman" w:hAnsi="Times New Roman" w:eastAsia="宋体" w:cs="Times New Roman"/>
                <w:color w:val="auto"/>
                <w:sz w:val="15"/>
                <w:szCs w:val="15"/>
                <w:lang w:eastAsia="zh-CN"/>
              </w:rPr>
              <w:t>。</w:t>
            </w:r>
          </w:p>
        </w:tc>
      </w:tr>
      <w:tr w14:paraId="28FF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15" w:hRule="exact"/>
          <w:jc w:val="center"/>
        </w:trPr>
        <w:tc>
          <w:tcPr>
            <w:tcW w:w="809" w:type="dxa"/>
            <w:vMerge w:val="continue"/>
            <w:noWrap w:val="0"/>
            <w:vAlign w:val="center"/>
          </w:tcPr>
          <w:p w14:paraId="601A75AA">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center"/>
          </w:tcPr>
          <w:p w14:paraId="0FD6562A">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1.4掌握三相异步电动机基本概念，包括三相异步电动机结构组成、旋转磁场、转差率与电磁转矩；熟悉三相异步电动机的运行特性以及对应的工作规律，包括固有机械特性、人为机械特性；掌握三相异步电动机调速和制动的基本原理，熟悉异步电机工况分析、参数计算与特性分析的步骤。</w:t>
            </w:r>
          </w:p>
        </w:tc>
        <w:tc>
          <w:tcPr>
            <w:tcW w:w="4229" w:type="dxa"/>
            <w:noWrap w:val="0"/>
            <w:vAlign w:val="center"/>
          </w:tcPr>
          <w:p w14:paraId="59EA82AF">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课堂理论讲授、知识点归纳梳理与原理推演学习，系统掌握三相异步电动机结构组成、旋转磁场产生条件，深刻理解转差率、电磁转矩等核心参数的物理意义及相互关联。结合工程实例与特性曲线对比分析，熟练掌握三相异步电动机固有机械特性和人为机械特性的变化规律、特征特点与适用场景。通过课堂典型例题演练、课后习题巩固与工况分析训练，熟练掌握异步电动机各类调速、制动方式的工作原理与运行特点</w:t>
            </w:r>
            <w:r>
              <w:rPr>
                <w:rFonts w:hint="eastAsia" w:ascii="Times New Roman" w:hAnsi="Times New Roman" w:eastAsia="宋体" w:cs="Times New Roman"/>
                <w:color w:val="auto"/>
                <w:sz w:val="15"/>
                <w:szCs w:val="15"/>
                <w:lang w:eastAsia="zh-CN"/>
              </w:rPr>
              <w:t>。</w:t>
            </w:r>
          </w:p>
        </w:tc>
      </w:tr>
      <w:tr w14:paraId="6058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70" w:hRule="exact"/>
          <w:jc w:val="center"/>
        </w:trPr>
        <w:tc>
          <w:tcPr>
            <w:tcW w:w="809" w:type="dxa"/>
            <w:vMerge w:val="continue"/>
            <w:noWrap w:val="0"/>
            <w:vAlign w:val="center"/>
          </w:tcPr>
          <w:p w14:paraId="175A6441">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center"/>
          </w:tcPr>
          <w:p w14:paraId="6B773DF4">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1.5掌握控制电机基本概念，包括步进电动机、伺服电动机、测速发电机的结构组成与工作原理；熟悉各类控制电机的运行特性以及对应的性能规律，包括响应特性、定位精度与调速特性；掌握控制电机的基本控制方式与适用场景，熟悉自动化设备中控制电机选型、工况分析的基本步骤。</w:t>
            </w:r>
          </w:p>
        </w:tc>
        <w:tc>
          <w:tcPr>
            <w:tcW w:w="4229" w:type="dxa"/>
            <w:noWrap w:val="0"/>
            <w:vAlign w:val="center"/>
          </w:tcPr>
          <w:p w14:paraId="75F7D3C0">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课堂理论讲授、知识点分类梳理与对比归纳学习，系统掌握步进电机、伺服电机、测速发电机的结构组成与核心工作原理，明确各类控制电机的功能定位与性能差异。结合自动化设备、数控进给、机器人关节等工程案例，对比分析各类控制电机的响应特性、定位精度与运行规律，厘清不同控制电机的适用工况与优缺点。通过课堂案例分析、课后知识点总结与选型练习，熟练掌握控制电机的基本控制方式与工作特性</w:t>
            </w:r>
            <w:r>
              <w:rPr>
                <w:rFonts w:hint="eastAsia" w:ascii="Times New Roman" w:hAnsi="Times New Roman" w:eastAsia="宋体" w:cs="Times New Roman"/>
                <w:color w:val="auto"/>
                <w:sz w:val="15"/>
                <w:szCs w:val="15"/>
                <w:lang w:eastAsia="zh-CN"/>
              </w:rPr>
              <w:t>。</w:t>
            </w:r>
          </w:p>
        </w:tc>
      </w:tr>
      <w:tr w14:paraId="2425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2802" w:hRule="exact"/>
          <w:jc w:val="center"/>
        </w:trPr>
        <w:tc>
          <w:tcPr>
            <w:tcW w:w="809" w:type="dxa"/>
            <w:vMerge w:val="continue"/>
            <w:noWrap w:val="0"/>
            <w:vAlign w:val="center"/>
          </w:tcPr>
          <w:p w14:paraId="41543F7E">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center"/>
          </w:tcPr>
          <w:p w14:paraId="5E9536DF">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1.6掌握低压电器基本概念，包括接触器、继电器、熔断器、行程开关、控制按钮的结构组成与工作原理；熟悉常用低压电器的功能特性、选型原则与使用场景；掌握继电器-接触器基本控制线路的工作原理，熟悉电气原理图识图、线路分析与简单控制回路设计的步骤。</w:t>
            </w:r>
          </w:p>
        </w:tc>
        <w:tc>
          <w:tcPr>
            <w:tcW w:w="4229" w:type="dxa"/>
            <w:noWrap w:val="0"/>
            <w:vAlign w:val="center"/>
          </w:tcPr>
          <w:p w14:paraId="2BBF8367">
            <w:pPr>
              <w:snapToGrid w:val="0"/>
              <w:spacing w:line="240" w:lineRule="exact"/>
              <w:jc w:val="lef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课堂理论讲授、电器实物认知与知识点归纳梳理，系统掌握各类常用低压电器的结构组成、工作原理与功能特点，明确不同电器的选型依据与适用工况。结合标准电气图纸案例解析、课堂逻辑推演学习，熟练掌握电气原理图绘制规范、识图方法与线路逻辑分析思路，厘清电机启停、正反转、联锁限位等典型控制线路的动作流程与保护原理。通过课堂线路分析训练、课后识图绘图练习与控制案例实操总结，熟练掌握基础电气控制回路的分析方法与设计流程，规范完成电气线路识图、逻辑校核与简易线路设计，全面夯实工业基础电气控制的理论功底与工程实践能力。</w:t>
            </w:r>
          </w:p>
        </w:tc>
      </w:tr>
    </w:tbl>
    <w:p w14:paraId="4D708CAE">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0D3D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47410CE1">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w:t>
            </w:r>
          </w:p>
          <w:p w14:paraId="5C19E612">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总目标</w:t>
            </w:r>
          </w:p>
        </w:tc>
        <w:tc>
          <w:tcPr>
            <w:tcW w:w="4310" w:type="dxa"/>
            <w:noWrap w:val="0"/>
            <w:vAlign w:val="center"/>
          </w:tcPr>
          <w:p w14:paraId="72DBED44">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课程子目标（参考学校定位、培养目标、毕业要求）</w:t>
            </w:r>
          </w:p>
        </w:tc>
        <w:tc>
          <w:tcPr>
            <w:tcW w:w="4457" w:type="dxa"/>
            <w:noWrap w:val="0"/>
            <w:vAlign w:val="center"/>
          </w:tcPr>
          <w:p w14:paraId="60526D17">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达成方法</w:t>
            </w:r>
          </w:p>
        </w:tc>
      </w:tr>
      <w:tr w14:paraId="338A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jc w:val="center"/>
        </w:trPr>
        <w:tc>
          <w:tcPr>
            <w:tcW w:w="977" w:type="dxa"/>
            <w:vMerge w:val="restart"/>
            <w:noWrap w:val="0"/>
            <w:vAlign w:val="center"/>
          </w:tcPr>
          <w:p w14:paraId="09C18336">
            <w:pPr>
              <w:spacing w:line="240" w:lineRule="exact"/>
              <w:jc w:val="center"/>
              <w:rPr>
                <w:rFonts w:hint="default" w:ascii="Times New Roman" w:hAnsi="Times New Roman" w:cs="Times New Roman"/>
                <w:b/>
                <w:color w:val="auto"/>
                <w:kern w:val="0"/>
                <w:sz w:val="18"/>
                <w:szCs w:val="18"/>
              </w:rPr>
            </w:pPr>
            <w:r>
              <w:rPr>
                <w:rFonts w:hint="default" w:ascii="Times New Roman" w:hAnsi="Times New Roman" w:cs="Times New Roman"/>
                <w:b/>
                <w:color w:val="auto"/>
                <w:kern w:val="0"/>
                <w:sz w:val="18"/>
                <w:szCs w:val="18"/>
              </w:rPr>
              <w:t>2.能力</w:t>
            </w:r>
          </w:p>
        </w:tc>
        <w:tc>
          <w:tcPr>
            <w:tcW w:w="4310" w:type="dxa"/>
            <w:noWrap w:val="0"/>
            <w:vAlign w:val="center"/>
          </w:tcPr>
          <w:p w14:paraId="12A7624D">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2.1能够初步运用课程知识框架，在后续专业课程（如</w:t>
            </w:r>
            <w:r>
              <w:rPr>
                <w:rFonts w:hint="eastAsia" w:ascii="Times New Roman" w:hAnsi="Times New Roman" w:cs="Times New Roman"/>
                <w:color w:val="auto"/>
                <w:sz w:val="15"/>
                <w:szCs w:val="15"/>
                <w:lang w:val="en-US" w:eastAsia="zh-CN"/>
              </w:rPr>
              <w:t>增材制造技术</w:t>
            </w:r>
            <w:r>
              <w:rPr>
                <w:rFonts w:hint="default" w:ascii="Times New Roman" w:hAnsi="Times New Roman" w:cs="Times New Roman"/>
                <w:color w:val="auto"/>
                <w:sz w:val="15"/>
                <w:szCs w:val="15"/>
              </w:rPr>
              <w:t>、</w:t>
            </w:r>
            <w:r>
              <w:rPr>
                <w:rFonts w:hint="eastAsia" w:ascii="Times New Roman" w:hAnsi="Times New Roman" w:cs="Times New Roman"/>
                <w:color w:val="auto"/>
                <w:sz w:val="15"/>
                <w:szCs w:val="15"/>
                <w:lang w:val="en-US" w:eastAsia="zh-CN"/>
              </w:rPr>
              <w:t>机械制造装备设计</w:t>
            </w:r>
            <w:r>
              <w:rPr>
                <w:rFonts w:hint="default" w:ascii="Times New Roman" w:hAnsi="Times New Roman" w:cs="Times New Roman"/>
                <w:color w:val="auto"/>
                <w:sz w:val="15"/>
                <w:szCs w:val="15"/>
              </w:rPr>
              <w:t>）学习中，主动识别并关联相关的力学原理与分析方法的适用场景。能够根据课程要求与评定规则，自主规划学习路径，制定有效的学习计划。</w:t>
            </w:r>
          </w:p>
        </w:tc>
        <w:tc>
          <w:tcPr>
            <w:tcW w:w="4457" w:type="dxa"/>
            <w:noWrap w:val="0"/>
            <w:vAlign w:val="center"/>
          </w:tcPr>
          <w:p w14:paraId="649B93D0">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展示以“传动系统动力学建模-电机特性分析-电气逻辑控制-机电系统匹配校核”为主线的知识框架图，点明各机电传动核心知识点与增材制造技术、机械制造装备设计等后续课程的具体衔接关系。组织课堂小组研讨，给定设备传动负载匹配、自动化机构动力运行等专业工程问题，引导学生主动拆解工况、识别其中涵盖的动力学折算、电机拖动、电气控制等核心知识点，系统训练学生的知识关联思维与工程迁移应用能力。</w:t>
            </w:r>
          </w:p>
        </w:tc>
      </w:tr>
      <w:tr w14:paraId="19EC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977" w:type="dxa"/>
            <w:vMerge w:val="continue"/>
            <w:noWrap w:val="0"/>
            <w:vAlign w:val="center"/>
          </w:tcPr>
          <w:p w14:paraId="1539210D">
            <w:pPr>
              <w:spacing w:line="240" w:lineRule="exact"/>
              <w:rPr>
                <w:rFonts w:hint="default" w:ascii="Times New Roman" w:hAnsi="Times New Roman" w:cs="Times New Roman"/>
                <w:color w:val="auto"/>
                <w:sz w:val="18"/>
                <w:szCs w:val="18"/>
              </w:rPr>
            </w:pPr>
          </w:p>
        </w:tc>
        <w:tc>
          <w:tcPr>
            <w:tcW w:w="4310" w:type="dxa"/>
            <w:noWrap w:val="0"/>
            <w:vAlign w:val="center"/>
          </w:tcPr>
          <w:p w14:paraId="1EFD60D5">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2.2能够准确识别机电传动系统中各类传动约束与负载约束及其性质，并正确分析其约束转矩、作用力的大小与作用规律；能够熟练运用机电系统受力与动力学分析基本步骤，独立、准确地对传动机构、电机拖动系统进行拆分解析，并梳理出完整、规范的机电动力学分析逻辑，为后续传动参数折算、电机工况计算与系统校核奠定坚实基础。</w:t>
            </w:r>
          </w:p>
        </w:tc>
        <w:tc>
          <w:tcPr>
            <w:tcW w:w="4457" w:type="dxa"/>
            <w:noWrap w:val="0"/>
            <w:vAlign w:val="center"/>
          </w:tcPr>
          <w:p w14:paraId="73426B90">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梳理机电传动系统各类传动约束、负载约束的类型与力学特性，通过典型传动机构模型拆解、工况案例精讲，引导学生精准判别不同约束的工作性质、受力特点与约束作用规律，熟练掌握约束转矩、作用力的分析与判别方法。依托课堂例题实操、分步推演训练，标准化拆解机电系统动力学分析完整流程，引导学生严格按照系统拆分、受力解析、载荷判定、逻辑梳理的步骤开展实操训练，独立完成带传动、齿轮传动、多级轴系等典型传动系统的结构拆解与动力学分析。</w:t>
            </w:r>
          </w:p>
        </w:tc>
      </w:tr>
      <w:tr w14:paraId="5D13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977" w:type="dxa"/>
            <w:vMerge w:val="continue"/>
            <w:noWrap w:val="0"/>
            <w:vAlign w:val="center"/>
          </w:tcPr>
          <w:p w14:paraId="0E28EAE9">
            <w:pPr>
              <w:spacing w:line="240" w:lineRule="exact"/>
              <w:rPr>
                <w:rFonts w:hint="default" w:ascii="Times New Roman" w:hAnsi="Times New Roman" w:cs="Times New Roman"/>
                <w:color w:val="auto"/>
                <w:sz w:val="18"/>
                <w:szCs w:val="18"/>
              </w:rPr>
            </w:pPr>
          </w:p>
        </w:tc>
        <w:tc>
          <w:tcPr>
            <w:tcW w:w="4310" w:type="dxa"/>
            <w:noWrap w:val="0"/>
            <w:vAlign w:val="center"/>
          </w:tcPr>
          <w:p w14:paraId="1EE45C6E">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2.3 能够准确识别直流电动机各类励磁方式的结构特征与工作属性，正确辨析电机感应电动势、电磁转矩的产生机理与运行特性规律；能够熟练运用直流电机特性分析与参数计算的基本步骤，独立、规范地完成他励直流电动机固有与人为机械特性研判、曲线绘制及启停、调速、制动全工况解析，为后续机电传动系统动力匹配、电机选型与控制方案设计奠定坚实基础。</w:t>
            </w:r>
          </w:p>
        </w:tc>
        <w:tc>
          <w:tcPr>
            <w:tcW w:w="4457" w:type="dxa"/>
            <w:noWrap w:val="0"/>
            <w:vAlign w:val="center"/>
          </w:tcPr>
          <w:p w14:paraId="350798FC">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梳理直流电动机不同励磁方式的结构特征与工作属性，结合原理动画、特性曲线图谱与典型电机工况案例，精讲辨析各类励磁电机的电磁机理、电动势与电磁转矩的变化规律，引导学生精准识别、准确研判直流电机的运行特性差异。依托标准化解题流程开展课堂分步推演、例题实操训练，严格按照参数梳理、特性辨析、工况判定、曲线绘制的规范步骤，引导学生独立完成直流电机固有与人为机械特性分析、曲线图绘制以及启停、调速、制动各类工况的完整解析训练。</w:t>
            </w:r>
          </w:p>
        </w:tc>
      </w:tr>
      <w:tr w14:paraId="4863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977" w:type="dxa"/>
            <w:vMerge w:val="continue"/>
            <w:noWrap w:val="0"/>
            <w:vAlign w:val="center"/>
          </w:tcPr>
          <w:p w14:paraId="75E56866">
            <w:pPr>
              <w:spacing w:line="240" w:lineRule="exact"/>
              <w:rPr>
                <w:rFonts w:hint="default" w:ascii="Times New Roman" w:hAnsi="Times New Roman" w:cs="Times New Roman"/>
                <w:color w:val="auto"/>
                <w:sz w:val="18"/>
                <w:szCs w:val="18"/>
              </w:rPr>
            </w:pPr>
          </w:p>
        </w:tc>
        <w:tc>
          <w:tcPr>
            <w:tcW w:w="4310" w:type="dxa"/>
            <w:noWrap w:val="0"/>
            <w:vAlign w:val="center"/>
          </w:tcPr>
          <w:p w14:paraId="13835F98">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2.4能够准确识别三相异步电动机不同结构形式与运行磁场特性，正确判别电机转差率、电磁转矩的变化规律与机械特性；能够熟练运用异步电机参数计算与工况分析基本步骤，独立、规范地完成三相异步电动机固有与人为机械特性辨析、工况研判及调速制动方案解析，为后续工业传动设备电机选型与系统控制设计奠定坚实基础。</w:t>
            </w:r>
          </w:p>
        </w:tc>
        <w:tc>
          <w:tcPr>
            <w:tcW w:w="4457" w:type="dxa"/>
            <w:noWrap w:val="0"/>
            <w:vAlign w:val="center"/>
          </w:tcPr>
          <w:p w14:paraId="3D0FCFBA">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梳理三相异步电动机的结构形式、旋转磁场运行特性与核心工作参数，通过电机结构拆解、原理推演与工业工况案例精讲，引导学生精准辨析转差率、电磁转矩的变化规律，熟练判别异步电机固有与人为机械特性的特征差异与运行性质。依托课堂分步推演、典型例题实操训练，标准化拆解异步电机参数计算、特性辨析、工况研判、调速制动方案分析的完整流程，引导学生严格按照参数核算、特性对比、负载匹配、方案优选的规范步骤开展实操训练，独立完成不同工况下三相异步电动机运行状态解析与控制方案校核。</w:t>
            </w:r>
          </w:p>
        </w:tc>
      </w:tr>
      <w:tr w14:paraId="675D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9" w:hRule="atLeast"/>
          <w:jc w:val="center"/>
        </w:trPr>
        <w:tc>
          <w:tcPr>
            <w:tcW w:w="977" w:type="dxa"/>
            <w:vMerge w:val="continue"/>
            <w:noWrap w:val="0"/>
            <w:vAlign w:val="center"/>
          </w:tcPr>
          <w:p w14:paraId="373CA5AE">
            <w:pPr>
              <w:spacing w:line="240" w:lineRule="exact"/>
              <w:rPr>
                <w:rFonts w:hint="default" w:ascii="Times New Roman" w:hAnsi="Times New Roman" w:cs="Times New Roman"/>
                <w:color w:val="auto"/>
                <w:sz w:val="18"/>
                <w:szCs w:val="18"/>
              </w:rPr>
            </w:pPr>
          </w:p>
        </w:tc>
        <w:tc>
          <w:tcPr>
            <w:tcW w:w="4310" w:type="dxa"/>
            <w:noWrap w:val="0"/>
            <w:vAlign w:val="center"/>
          </w:tcPr>
          <w:p w14:paraId="33D0921E">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2.5能够准确识别步进电动机、伺服电动机、测速发电机等各类控制电机的结构特征与工作属性，正确判别控制电机的响应特性、定位精度与调速运行规律；能够熟练运用控制电机工况分析与性能校核基本步骤，独立、规范地完成各类控制电机性能辨析、工况适配与设备选型分析，为后续自动化设备精密传动与精准控制系统设计奠定坚实基础。</w:t>
            </w:r>
          </w:p>
        </w:tc>
        <w:tc>
          <w:tcPr>
            <w:tcW w:w="4457" w:type="dxa"/>
            <w:noWrap w:val="0"/>
            <w:vAlign w:val="center"/>
          </w:tcPr>
          <w:p w14:paraId="65E42292">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梳理步进电动机、伺服电动机、测速发电机等各类控制电机的结构特征、工作原理与性能属性，通过精密传动设备模型拆解、原理剖析与自动化工况案例精讲，引导学生精准区分不同控制电机的响应特性、定位精度与调速运行规律，熟练掌握各类控制电机的性能差异与适配特点。依托课堂分步对比、典型工况实操训练，标准化拆解控制电机性能辨析、参数校核、工况适配、设备选型的完整流程，引导学生严格按照性能对比、负载匹配、精度校核、方案优选的规范步骤开展实操训练，独立完成不同自动化工况下控制电机的性能研判与选型分析。</w:t>
            </w:r>
          </w:p>
        </w:tc>
      </w:tr>
      <w:tr w14:paraId="71EE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6" w:hRule="atLeast"/>
          <w:jc w:val="center"/>
        </w:trPr>
        <w:tc>
          <w:tcPr>
            <w:tcW w:w="977" w:type="dxa"/>
            <w:vMerge w:val="continue"/>
            <w:noWrap w:val="0"/>
            <w:vAlign w:val="center"/>
          </w:tcPr>
          <w:p w14:paraId="4F8B5F94">
            <w:pPr>
              <w:spacing w:line="240" w:lineRule="exact"/>
              <w:rPr>
                <w:rFonts w:hint="default" w:ascii="Times New Roman" w:hAnsi="Times New Roman" w:cs="Times New Roman"/>
                <w:color w:val="auto"/>
                <w:sz w:val="18"/>
                <w:szCs w:val="18"/>
              </w:rPr>
            </w:pPr>
          </w:p>
        </w:tc>
        <w:tc>
          <w:tcPr>
            <w:tcW w:w="4310" w:type="dxa"/>
            <w:noWrap w:val="0"/>
            <w:vAlign w:val="center"/>
          </w:tcPr>
          <w:p w14:paraId="162F38A2">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2.6能够准确识别接触器、继电器、熔断器、行程开关、控制按钮等各类低压电器的结构特征与工作属性，正确判别各类低压电器的功能特点、适用场景与保护机制；能够熟练运用电气控制线路识图与逻辑分析基本步骤，独立、规范地完成典型继电器-接触器控制线路的原理辨析、动作逻辑研判与控制功能解析，为后续电气控制回路设计、故障排查与电气系统运维奠定坚实基础。</w:t>
            </w:r>
          </w:p>
        </w:tc>
        <w:tc>
          <w:tcPr>
            <w:tcW w:w="4457" w:type="dxa"/>
            <w:noWrap w:val="0"/>
            <w:vAlign w:val="center"/>
          </w:tcPr>
          <w:p w14:paraId="79CE839C">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系统梳理接触器、继电器、熔断器、行程开关、控制按钮等各类低压电器的结构特征、工作原理与功能属性，通过低压电器实物认知、结构拆解与典型电气案例精讲，引导学生精准辨析各类电器的功能特点、保护机制与适用场景，熟练判别不同低压电器的工作属性与应用差异。依托课堂线路逻辑推演、典型电气图纸实操训练，标准化拆解电气线路识图、原理辨析、逻辑研判、功能解析的完整流程，引导学生严格按照器件识别、线路梳理、动作推演、功能校核的规范步骤开展实操训练，独立完成电机启停、正反转、限位保护等典型继电器-接触器控制线路的逻辑分析与原理解读。</w:t>
            </w:r>
          </w:p>
        </w:tc>
      </w:tr>
    </w:tbl>
    <w:p w14:paraId="797E8249">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78A1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085D4321">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w:t>
            </w:r>
          </w:p>
          <w:p w14:paraId="13D17A51">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总目标</w:t>
            </w:r>
          </w:p>
        </w:tc>
        <w:tc>
          <w:tcPr>
            <w:tcW w:w="4310" w:type="dxa"/>
            <w:noWrap w:val="0"/>
            <w:vAlign w:val="center"/>
          </w:tcPr>
          <w:p w14:paraId="5F7A8B3A">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课程子目标（参考学校定位、培养目标、毕业要求）</w:t>
            </w:r>
          </w:p>
        </w:tc>
        <w:tc>
          <w:tcPr>
            <w:tcW w:w="4457" w:type="dxa"/>
            <w:noWrap w:val="0"/>
            <w:vAlign w:val="center"/>
          </w:tcPr>
          <w:p w14:paraId="2B7EA15E">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达成方法</w:t>
            </w:r>
          </w:p>
        </w:tc>
      </w:tr>
      <w:tr w14:paraId="4927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jc w:val="center"/>
        </w:trPr>
        <w:tc>
          <w:tcPr>
            <w:tcW w:w="977" w:type="dxa"/>
            <w:vMerge w:val="restart"/>
            <w:noWrap w:val="0"/>
            <w:vAlign w:val="center"/>
          </w:tcPr>
          <w:p w14:paraId="589F1DD8">
            <w:pPr>
              <w:spacing w:line="240" w:lineRule="exact"/>
              <w:jc w:val="center"/>
              <w:rPr>
                <w:rFonts w:hint="default" w:ascii="Times New Roman" w:hAnsi="Times New Roman" w:cs="Times New Roman"/>
                <w:b/>
                <w:color w:val="auto"/>
                <w:kern w:val="0"/>
                <w:sz w:val="18"/>
                <w:szCs w:val="18"/>
              </w:rPr>
            </w:pPr>
            <w:r>
              <w:rPr>
                <w:rFonts w:hint="default" w:ascii="Times New Roman" w:hAnsi="Times New Roman" w:cs="Times New Roman"/>
                <w:b/>
                <w:color w:val="auto"/>
                <w:kern w:val="0"/>
                <w:sz w:val="18"/>
                <w:szCs w:val="18"/>
              </w:rPr>
              <w:t>3.素质</w:t>
            </w:r>
          </w:p>
        </w:tc>
        <w:tc>
          <w:tcPr>
            <w:tcW w:w="4310" w:type="dxa"/>
            <w:noWrap w:val="0"/>
            <w:vAlign w:val="center"/>
          </w:tcPr>
          <w:p w14:paraId="3A092D7C">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3.1树立严谨求实的科学态度和工程安全意识，认识到机电传动动力学分析、电机特性计算与电气逻辑控制是机电装备设计与工况分析的核心基础，培养一丝不苟、精益求精的智能制造职业精神。建立机电一体化系统思维观，理解课程基础理论与分析方法对解决复杂机电传动、电机控制、电气运维工程问题的重要性，激发学生对后续自动化控制、智能装备设计等专业内容深入学习的兴趣与自主探究主动性。</w:t>
            </w:r>
          </w:p>
        </w:tc>
        <w:tc>
          <w:tcPr>
            <w:tcW w:w="4457" w:type="dxa"/>
            <w:noWrap w:val="0"/>
            <w:vAlign w:val="center"/>
          </w:tcPr>
          <w:p w14:paraId="35B867C8">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理论教学、工程案例思政融入与课程价值宣讲，引导学生深刻认识机电传动动力学计算、电机特性分析、电气逻辑控制在机电装备设计、设备运维、安全生产中的核心地位，明晰精准计算、规范分析、标准控线对工程安全与装备可靠性的关键意义，树立严谨求实的治学态度与牢固的工程安全意识。结合各类电机拖动故障、电气控制失误引发的工程案例开展警示教育，引导学生摒弃粗放估算、主观臆断的学习习惯，养成一丝不苟、严谨规范、精益求精的职业素养与治学精神。</w:t>
            </w:r>
          </w:p>
        </w:tc>
      </w:tr>
      <w:tr w14:paraId="54EA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jc w:val="center"/>
        </w:trPr>
        <w:tc>
          <w:tcPr>
            <w:tcW w:w="977" w:type="dxa"/>
            <w:vMerge w:val="continue"/>
            <w:noWrap w:val="0"/>
            <w:vAlign w:val="center"/>
          </w:tcPr>
          <w:p w14:paraId="4CE15D3E">
            <w:pPr>
              <w:spacing w:line="240" w:lineRule="exact"/>
              <w:rPr>
                <w:rFonts w:hint="default" w:ascii="Times New Roman" w:hAnsi="Times New Roman" w:cs="Times New Roman"/>
                <w:color w:val="auto"/>
                <w:sz w:val="15"/>
                <w:szCs w:val="15"/>
              </w:rPr>
            </w:pPr>
          </w:p>
        </w:tc>
        <w:tc>
          <w:tcPr>
            <w:tcW w:w="4310" w:type="dxa"/>
            <w:noWrap w:val="0"/>
            <w:vAlign w:val="center"/>
          </w:tcPr>
          <w:p w14:paraId="35849244">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3.2树立辩证分析、求真务实的工程思维，充分认识机电传动系统载荷折算、动力学分析对机械传动设计、设备工况优化的支撑价值，养成严谨规范、精准校核的工程计算习惯。树立系统适配、节能高效的工程设计理念，能够结合不同传动结构与负载特性辩证分析系统运行优劣，培养因地制宜、择优优化的工程素养，树立绿色节能、稳定可靠的智能制造价值观念。</w:t>
            </w:r>
          </w:p>
        </w:tc>
        <w:tc>
          <w:tcPr>
            <w:tcW w:w="4457" w:type="dxa"/>
            <w:noWrap w:val="0"/>
            <w:vAlign w:val="center"/>
          </w:tcPr>
          <w:p w14:paraId="11046BBC">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典型传动工况案例剖析、动力学计算实操训练与工程设计理念渗透，引导学生充分认知机电传动载荷折算、动力学建模分析在机械传动结构设计、设备工况匹配、系统性能优化中的核心支撑作用，摒弃粗放估算、敷衍校核的不良习惯，养成求真务实、精准计算、严谨规范的工程分析与设计习惯。</w:t>
            </w:r>
          </w:p>
        </w:tc>
      </w:tr>
      <w:tr w14:paraId="004E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977" w:type="dxa"/>
            <w:vMerge w:val="continue"/>
            <w:noWrap w:val="0"/>
            <w:vAlign w:val="center"/>
          </w:tcPr>
          <w:p w14:paraId="34EF9261">
            <w:pPr>
              <w:spacing w:line="240" w:lineRule="exact"/>
              <w:rPr>
                <w:rFonts w:hint="default" w:ascii="Times New Roman" w:hAnsi="Times New Roman" w:cs="Times New Roman"/>
                <w:color w:val="auto"/>
                <w:sz w:val="15"/>
                <w:szCs w:val="15"/>
              </w:rPr>
            </w:pPr>
          </w:p>
        </w:tc>
        <w:tc>
          <w:tcPr>
            <w:tcW w:w="4310" w:type="dxa"/>
            <w:noWrap w:val="0"/>
            <w:vAlign w:val="center"/>
          </w:tcPr>
          <w:p w14:paraId="550DBC78">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3.3树立机电耦合的系统工程理念，深刻认知直流电机电磁参数、机械特性与设备工况的内在关联，建立“参数调控性能、特性匹配工况”的工程思维。能够辩证甄别直流电机不同启停、调速、制动方案的优劣特性与适用场景，养成择优选用、规范设计、精准校核的工程习惯，培养安全可靠、高效节能、精益求精的电机拖动系统设计与运维职业素养。</w:t>
            </w:r>
          </w:p>
        </w:tc>
        <w:tc>
          <w:tcPr>
            <w:tcW w:w="4457" w:type="dxa"/>
            <w:noWrap w:val="0"/>
            <w:vAlign w:val="center"/>
          </w:tcPr>
          <w:p w14:paraId="4BC37FF5">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直流电机原理精讲、机电耦合机理剖析与特性曲线对比教学，引导学生深度认知直流电机电磁参数、机械特性与实际设备工况的内在联系，透彻理解参数调整对电机运行性能的调控规律，逐步建立参数可控、工况适配、机电一体的系统工程思维。依托各类直流电机启停、调速、制动控制方案的对比案例教学，全方位辨析不同控制方式的运行优势、适用工况与应用短板，引导学生结合工业设备实际负载精准择优、合理选型，养成辩证分析、规范设计、精准校核的工程作业习惯。</w:t>
            </w:r>
          </w:p>
        </w:tc>
      </w:tr>
      <w:tr w14:paraId="4389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jc w:val="center"/>
        </w:trPr>
        <w:tc>
          <w:tcPr>
            <w:tcW w:w="977" w:type="dxa"/>
            <w:vMerge w:val="continue"/>
            <w:noWrap w:val="0"/>
            <w:vAlign w:val="center"/>
          </w:tcPr>
          <w:p w14:paraId="4B54F2E8">
            <w:pPr>
              <w:spacing w:line="240" w:lineRule="exact"/>
              <w:rPr>
                <w:rFonts w:hint="default" w:ascii="Times New Roman" w:hAnsi="Times New Roman" w:cs="Times New Roman"/>
                <w:color w:val="auto"/>
                <w:sz w:val="15"/>
                <w:szCs w:val="15"/>
              </w:rPr>
            </w:pPr>
          </w:p>
        </w:tc>
        <w:tc>
          <w:tcPr>
            <w:tcW w:w="4310" w:type="dxa"/>
            <w:noWrap w:val="0"/>
            <w:vAlign w:val="center"/>
          </w:tcPr>
          <w:p w14:paraId="783C657B">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3.4树立工况适配、择优调控的工程设计思维，充分认知三相异步电动机机械特性、调速制动方式与工业负载工况的匹配逻辑，建立“负载特性决定控制方案”的系统认知。能够辩证辨析不同调速、制动方案的运行稳定性、经济性与适用边界，养成因地制宜、精准适配、严谨校核的工程习惯，培养节能降耗、安全稳定、务实创新的智能制造工程素养与职业价值观。</w:t>
            </w:r>
          </w:p>
        </w:tc>
        <w:tc>
          <w:tcPr>
            <w:tcW w:w="4457" w:type="dxa"/>
            <w:noWrap w:val="0"/>
            <w:vAlign w:val="center"/>
          </w:tcPr>
          <w:p w14:paraId="09A0C3BD">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三相异步电动机原理推演、机械特性分层解析与工业负载工况归类教学，引导学生深度理解异步电机机械特性、调速制动机理与各类工业负载的匹配逻辑，牢固树立负载决定工况、工况适配控制的机电系统设计思维。依托变极调速、调压调速、转子串电阻调速及各类制动方式的对比案例教学，系统辨析不同调控方案的运行稳定性、能耗特性与适用边界，引导学生结合风机、水泵、传送带等典型设备工况辩证择优、精准适配，养成因地制宜、严谨校核的工程分析习惯。</w:t>
            </w:r>
          </w:p>
        </w:tc>
      </w:tr>
      <w:tr w14:paraId="4A2D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jc w:val="center"/>
        </w:trPr>
        <w:tc>
          <w:tcPr>
            <w:tcW w:w="977" w:type="dxa"/>
            <w:vMerge w:val="continue"/>
            <w:noWrap w:val="0"/>
            <w:vAlign w:val="center"/>
          </w:tcPr>
          <w:p w14:paraId="540D5B74">
            <w:pPr>
              <w:spacing w:line="240" w:lineRule="exact"/>
              <w:rPr>
                <w:rFonts w:hint="default" w:ascii="Times New Roman" w:hAnsi="Times New Roman" w:cs="Times New Roman"/>
                <w:color w:val="auto"/>
                <w:sz w:val="15"/>
                <w:szCs w:val="15"/>
              </w:rPr>
            </w:pPr>
          </w:p>
        </w:tc>
        <w:tc>
          <w:tcPr>
            <w:tcW w:w="4310" w:type="dxa"/>
            <w:noWrap w:val="0"/>
            <w:vAlign w:val="center"/>
          </w:tcPr>
          <w:p w14:paraId="2CD65133">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3.5树立精准控制、精度优先的精密机电设计思维，深刻认知步进电机、伺服电机等控制电机的精度特性、响应性能与自动化设备精密工况的适配逻辑，建立“精度匹配需求、性能支撑工艺”的工程认知。能够辩证区分各类控制电机的控制特性、响应速度与定位精度差异，养成精细研判、精准选型、严谨校核的工程习惯，培养精益求精、稳定可靠、专注精细的智能制造工匠精神与职业素养。</w:t>
            </w:r>
          </w:p>
        </w:tc>
        <w:tc>
          <w:tcPr>
            <w:tcW w:w="4457" w:type="dxa"/>
            <w:noWrap w:val="0"/>
            <w:vAlign w:val="center"/>
          </w:tcPr>
          <w:p w14:paraId="050AE17F">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控制电机原理精讲、精密控制机理剖析与性能参数对比教学，引导学生深度认知步进电机、伺服电机、测速发电机的定位精度、响应速度与控制特性差异，透彻理解精密设备工艺需求与控制电机性能的适配逻辑，牢固树立精度优先、性能匹配、工艺支撑的精密机电系统设计思维。依托各类控制电机在数控设备、自动化进给、精密定位场景中的工程案例对比分析，全方位辨析不同控制电机的应用优势、性能短板与适用边界，引导学生结合精密工况且精细研判、精准选型，养成严谨校核、精益求精的工程作业习惯。</w:t>
            </w:r>
          </w:p>
        </w:tc>
      </w:tr>
      <w:tr w14:paraId="78F1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4" w:hRule="atLeast"/>
          <w:jc w:val="center"/>
        </w:trPr>
        <w:tc>
          <w:tcPr>
            <w:tcW w:w="977" w:type="dxa"/>
            <w:vMerge w:val="continue"/>
            <w:noWrap w:val="0"/>
            <w:vAlign w:val="center"/>
          </w:tcPr>
          <w:p w14:paraId="506DB6A8">
            <w:pPr>
              <w:spacing w:line="240" w:lineRule="exact"/>
              <w:rPr>
                <w:rFonts w:hint="default" w:ascii="Times New Roman" w:hAnsi="Times New Roman" w:cs="Times New Roman"/>
                <w:color w:val="auto"/>
                <w:sz w:val="15"/>
                <w:szCs w:val="15"/>
              </w:rPr>
            </w:pPr>
          </w:p>
        </w:tc>
        <w:tc>
          <w:tcPr>
            <w:tcW w:w="4310" w:type="dxa"/>
            <w:noWrap w:val="0"/>
            <w:vAlign w:val="center"/>
          </w:tcPr>
          <w:p w14:paraId="0E5C1738">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3.6树立逻辑严谨、安全为本的电气控制工程思维，深刻认知低压电器功能特性与电气控制线路的逻辑关联，建立“电气逻辑保障设备安全稳定运行”的系统认知。能够辩证判别各类电气控制线路、保护环节的可靠性与适用场景，养成规范识图、标准布线、严谨校核的电气作业习惯，培养安全规范、责任至上、精益求精的电气工程职业素养与智能制造价值理念。</w:t>
            </w:r>
          </w:p>
        </w:tc>
        <w:tc>
          <w:tcPr>
            <w:tcW w:w="4457" w:type="dxa"/>
            <w:noWrap w:val="0"/>
            <w:vAlign w:val="center"/>
          </w:tcPr>
          <w:p w14:paraId="5759B5C3">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堂低压电器原理讲解、电气控制逻辑推演与标准电路案例教学，引导学生深度认知各类低压电器的功能属性、保护机理与电气线路的内在逻辑关联，透彻理解电气控制逻辑对机电设备安全、稳定、可靠运行的核心保障作用，牢固树立逻辑严谨、安全为先的电气控制系统设计思维。依托电机启停、正反转、限位保护、联锁控制等典型电气线路的对比分析，全方位辨析不同控制线路、保护环节的适用场景、运行优势与安全短板，引导学生结合设备工艺需求辩证判别、合理选用控制方案，养成规范识图、标准布线、严谨校核的电气工程作业习惯。</w:t>
            </w:r>
          </w:p>
        </w:tc>
      </w:tr>
    </w:tbl>
    <w:p w14:paraId="4A14429C">
      <w:pPr>
        <w:pStyle w:val="14"/>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ascii="黑体" w:hAnsi="黑体" w:eastAsia="黑体"/>
          <w:color w:val="auto"/>
          <w:sz w:val="28"/>
          <w:szCs w:val="28"/>
        </w:rPr>
      </w:pPr>
      <w:r>
        <w:rPr>
          <w:rFonts w:hint="default" w:ascii="Times New Roman" w:hAnsi="Times New Roman" w:cs="Times New Roman"/>
          <w:color w:val="auto"/>
          <w:sz w:val="21"/>
          <w:szCs w:val="21"/>
        </w:rPr>
        <w:br w:type="page"/>
      </w:r>
      <w:r>
        <w:rPr>
          <w:rFonts w:hint="eastAsia" w:ascii="黑体" w:hAnsi="黑体" w:eastAsia="黑体"/>
          <w:color w:val="auto"/>
          <w:sz w:val="28"/>
          <w:szCs w:val="28"/>
        </w:rPr>
        <w:t>三、理论教学环节及基本要求</w:t>
      </w:r>
      <w:r>
        <w:commentReference w:id="3"/>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58"/>
        <w:gridCol w:w="704"/>
        <w:gridCol w:w="1163"/>
        <w:gridCol w:w="3726"/>
        <w:gridCol w:w="1139"/>
      </w:tblGrid>
      <w:tr w14:paraId="42B9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noWrap w:val="0"/>
            <w:vAlign w:val="center"/>
          </w:tcPr>
          <w:p w14:paraId="7754277C">
            <w:pPr>
              <w:spacing w:line="300" w:lineRule="auto"/>
              <w:jc w:val="center"/>
              <w:rPr>
                <w:rFonts w:hint="eastAsia"/>
                <w:b/>
                <w:bCs/>
                <w:color w:val="auto"/>
              </w:rPr>
            </w:pPr>
            <w:commentRangeStart w:id="4"/>
            <w:r>
              <w:rPr>
                <w:rFonts w:hint="eastAsia"/>
                <w:b/>
                <w:bCs/>
                <w:color w:val="auto"/>
              </w:rPr>
              <w:t>单元标题</w:t>
            </w:r>
            <w:commentRangeEnd w:id="4"/>
            <w:r>
              <w:commentReference w:id="4"/>
            </w:r>
          </w:p>
        </w:tc>
        <w:tc>
          <w:tcPr>
            <w:tcW w:w="785" w:type="pct"/>
            <w:noWrap w:val="0"/>
            <w:vAlign w:val="center"/>
          </w:tcPr>
          <w:p w14:paraId="37F391D8">
            <w:pPr>
              <w:spacing w:line="300" w:lineRule="auto"/>
              <w:jc w:val="center"/>
              <w:rPr>
                <w:rFonts w:hint="eastAsia"/>
                <w:b/>
                <w:bCs/>
                <w:color w:val="auto"/>
              </w:rPr>
            </w:pPr>
            <w:r>
              <w:rPr>
                <w:rFonts w:hint="eastAsia"/>
                <w:b/>
                <w:bCs/>
                <w:color w:val="auto"/>
              </w:rPr>
              <w:t>教学内容</w:t>
            </w:r>
          </w:p>
        </w:tc>
        <w:tc>
          <w:tcPr>
            <w:tcW w:w="379" w:type="pct"/>
            <w:noWrap w:val="0"/>
            <w:vAlign w:val="center"/>
          </w:tcPr>
          <w:p w14:paraId="5A102820">
            <w:pPr>
              <w:spacing w:line="300" w:lineRule="auto"/>
              <w:jc w:val="center"/>
              <w:rPr>
                <w:rFonts w:hint="eastAsia"/>
                <w:b/>
                <w:bCs/>
                <w:color w:val="auto"/>
              </w:rPr>
            </w:pPr>
            <w:r>
              <w:rPr>
                <w:rFonts w:hint="eastAsia"/>
                <w:b/>
                <w:bCs/>
                <w:color w:val="auto"/>
              </w:rPr>
              <w:t>学时</w:t>
            </w:r>
          </w:p>
        </w:tc>
        <w:tc>
          <w:tcPr>
            <w:tcW w:w="2632" w:type="pct"/>
            <w:gridSpan w:val="2"/>
            <w:noWrap w:val="0"/>
            <w:vAlign w:val="center"/>
          </w:tcPr>
          <w:p w14:paraId="4DEF2047">
            <w:pPr>
              <w:spacing w:line="300" w:lineRule="auto"/>
              <w:jc w:val="center"/>
              <w:rPr>
                <w:rFonts w:hint="eastAsia"/>
                <w:b/>
                <w:bCs/>
                <w:color w:val="auto"/>
              </w:rPr>
            </w:pPr>
            <w:r>
              <w:rPr>
                <w:rFonts w:hint="eastAsia"/>
                <w:b/>
                <w:bCs/>
                <w:color w:val="auto"/>
              </w:rPr>
              <w:t>课程要求</w:t>
            </w:r>
          </w:p>
        </w:tc>
        <w:tc>
          <w:tcPr>
            <w:tcW w:w="613" w:type="pct"/>
            <w:noWrap w:val="0"/>
            <w:vAlign w:val="center"/>
          </w:tcPr>
          <w:p w14:paraId="44ABEFE5">
            <w:pPr>
              <w:spacing w:line="300" w:lineRule="auto"/>
              <w:jc w:val="center"/>
              <w:rPr>
                <w:rFonts w:hint="eastAsia"/>
                <w:b/>
                <w:bCs/>
                <w:color w:val="auto"/>
              </w:rPr>
            </w:pPr>
            <w:r>
              <w:rPr>
                <w:rFonts w:hint="eastAsia"/>
                <w:b/>
                <w:bCs/>
                <w:color w:val="auto"/>
              </w:rPr>
              <w:t>课程目标</w:t>
            </w:r>
          </w:p>
        </w:tc>
      </w:tr>
      <w:tr w14:paraId="35C0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restart"/>
            <w:noWrap w:val="0"/>
            <w:vAlign w:val="center"/>
          </w:tcPr>
          <w:p w14:paraId="1564F67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bCs/>
                <w:color w:val="auto"/>
                <w:sz w:val="18"/>
                <w:szCs w:val="18"/>
              </w:rPr>
            </w:pPr>
            <w:r>
              <w:rPr>
                <w:rFonts w:hint="eastAsia"/>
                <w:b/>
                <w:bCs w:val="0"/>
                <w:color w:val="auto"/>
                <w:sz w:val="18"/>
                <w:szCs w:val="18"/>
              </w:rPr>
              <w:t>绪论</w:t>
            </w:r>
          </w:p>
        </w:tc>
        <w:tc>
          <w:tcPr>
            <w:tcW w:w="785" w:type="pct"/>
            <w:vMerge w:val="restart"/>
            <w:noWrap w:val="0"/>
            <w:vAlign w:val="center"/>
          </w:tcPr>
          <w:p w14:paraId="0999BA04">
            <w:pPr>
              <w:spacing w:line="200" w:lineRule="exact"/>
              <w:rPr>
                <w:bCs/>
                <w:color w:val="auto"/>
                <w:sz w:val="18"/>
                <w:szCs w:val="18"/>
              </w:rPr>
            </w:pPr>
            <w:r>
              <w:rPr>
                <w:rFonts w:hint="eastAsia"/>
                <w:bCs/>
                <w:color w:val="auto"/>
                <w:sz w:val="18"/>
                <w:szCs w:val="18"/>
                <w:lang w:val="en-US" w:eastAsia="zh-CN"/>
              </w:rPr>
              <w:t>机电</w:t>
            </w:r>
            <w:r>
              <w:rPr>
                <w:rFonts w:hint="eastAsia"/>
                <w:bCs/>
                <w:color w:val="auto"/>
                <w:sz w:val="18"/>
                <w:szCs w:val="18"/>
                <w:lang w:val="en-US" w:eastAsia="zh-CN"/>
              </w:rPr>
              <w:t>传动系统总述</w:t>
            </w:r>
            <w:r>
              <w:rPr>
                <w:rFonts w:hint="eastAsia"/>
                <w:bCs/>
                <w:color w:val="auto"/>
                <w:sz w:val="18"/>
                <w:szCs w:val="18"/>
              </w:rPr>
              <w:t>，学习要求，成绩评定规则，课堂规范</w:t>
            </w:r>
          </w:p>
        </w:tc>
        <w:tc>
          <w:tcPr>
            <w:tcW w:w="379" w:type="pct"/>
            <w:vMerge w:val="restart"/>
            <w:noWrap w:val="0"/>
            <w:vAlign w:val="center"/>
          </w:tcPr>
          <w:p w14:paraId="6BFC28BF">
            <w:pPr>
              <w:spacing w:line="200" w:lineRule="exact"/>
              <w:jc w:val="center"/>
              <w:rPr>
                <w:rFonts w:hint="eastAsia"/>
                <w:b/>
                <w:bCs/>
                <w:color w:val="auto"/>
                <w:sz w:val="18"/>
                <w:szCs w:val="18"/>
              </w:rPr>
            </w:pPr>
            <w:r>
              <w:rPr>
                <w:rFonts w:hint="eastAsia" w:ascii="Times New Roman" w:hAnsi="Times New Roman" w:eastAsia="宋体" w:cs="Times New Roman"/>
                <w:color w:val="auto"/>
                <w:sz w:val="18"/>
                <w:szCs w:val="18"/>
              </w:rPr>
              <w:t>2</w:t>
            </w:r>
          </w:p>
        </w:tc>
        <w:tc>
          <w:tcPr>
            <w:tcW w:w="626" w:type="pct"/>
            <w:noWrap w:val="0"/>
            <w:vAlign w:val="center"/>
          </w:tcPr>
          <w:p w14:paraId="5663C0B1">
            <w:pPr>
              <w:spacing w:line="200" w:lineRule="exact"/>
              <w:jc w:val="center"/>
              <w:rPr>
                <w:rFonts w:hint="eastAsia"/>
                <w:color w:val="auto"/>
                <w:sz w:val="18"/>
                <w:szCs w:val="18"/>
              </w:rPr>
            </w:pPr>
            <w:commentRangeStart w:id="5"/>
            <w:r>
              <w:rPr>
                <w:rFonts w:hint="eastAsia"/>
                <w:color w:val="auto"/>
                <w:sz w:val="18"/>
                <w:szCs w:val="18"/>
              </w:rPr>
              <w:t>思政融入点</w:t>
            </w:r>
            <w:commentRangeEnd w:id="5"/>
            <w:r>
              <w:commentReference w:id="5"/>
            </w:r>
          </w:p>
        </w:tc>
        <w:tc>
          <w:tcPr>
            <w:tcW w:w="2006" w:type="pct"/>
            <w:noWrap w:val="0"/>
            <w:vAlign w:val="center"/>
          </w:tcPr>
          <w:p w14:paraId="2DE248CE">
            <w:pPr>
              <w:spacing w:line="200" w:lineRule="exact"/>
              <w:rPr>
                <w:rFonts w:hint="eastAsia"/>
                <w:color w:val="auto"/>
                <w:sz w:val="15"/>
                <w:szCs w:val="15"/>
              </w:rPr>
            </w:pPr>
            <w:r>
              <w:rPr>
                <w:rFonts w:hint="eastAsia"/>
                <w:color w:val="auto"/>
                <w:sz w:val="15"/>
                <w:szCs w:val="15"/>
              </w:rPr>
              <w:t>通过剖析机电控制系统（PLC、工控系统、控制算法）从国外垄断到国产工控系统、工业软件自主迭代突破的产业变革，引导学生认识工业底层技术对制造安全、产业安全的重要性，激励学生深耕控制技术、钻研智能算法，主动肩负突破工业“卡脖子”技术的时代责任。</w:t>
            </w:r>
          </w:p>
        </w:tc>
        <w:tc>
          <w:tcPr>
            <w:tcW w:w="613" w:type="pct"/>
            <w:vMerge w:val="restart"/>
            <w:noWrap w:val="0"/>
            <w:vAlign w:val="center"/>
          </w:tcPr>
          <w:p w14:paraId="1AC84B30">
            <w:pPr>
              <w:spacing w:line="200" w:lineRule="exact"/>
              <w:jc w:val="center"/>
              <w:rPr>
                <w:b/>
                <w:bCs/>
                <w:color w:val="auto"/>
              </w:rPr>
            </w:pPr>
            <w:r>
              <w:rPr>
                <w:rFonts w:hint="eastAsia"/>
                <w:bCs/>
                <w:color w:val="auto"/>
                <w:sz w:val="18"/>
                <w:szCs w:val="18"/>
              </w:rPr>
              <w:t>目标1.1，2.1，3.1</w:t>
            </w:r>
          </w:p>
        </w:tc>
      </w:tr>
      <w:tr w14:paraId="058A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continue"/>
            <w:noWrap w:val="0"/>
            <w:vAlign w:val="center"/>
          </w:tcPr>
          <w:p w14:paraId="4993A87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bCs/>
                <w:color w:val="auto"/>
                <w:sz w:val="18"/>
                <w:szCs w:val="18"/>
              </w:rPr>
            </w:pPr>
          </w:p>
        </w:tc>
        <w:tc>
          <w:tcPr>
            <w:tcW w:w="785" w:type="pct"/>
            <w:vMerge w:val="continue"/>
            <w:noWrap w:val="0"/>
            <w:vAlign w:val="center"/>
          </w:tcPr>
          <w:p w14:paraId="48D34F14">
            <w:pPr>
              <w:spacing w:line="200" w:lineRule="exact"/>
              <w:jc w:val="center"/>
              <w:rPr>
                <w:bCs/>
                <w:color w:val="auto"/>
                <w:sz w:val="18"/>
                <w:szCs w:val="18"/>
              </w:rPr>
            </w:pPr>
          </w:p>
        </w:tc>
        <w:tc>
          <w:tcPr>
            <w:tcW w:w="379" w:type="pct"/>
            <w:vMerge w:val="continue"/>
            <w:noWrap w:val="0"/>
            <w:vAlign w:val="center"/>
          </w:tcPr>
          <w:p w14:paraId="08F07745">
            <w:pPr>
              <w:spacing w:line="200" w:lineRule="exact"/>
              <w:jc w:val="center"/>
              <w:rPr>
                <w:rFonts w:hint="eastAsia"/>
                <w:b/>
                <w:bCs/>
                <w:color w:val="auto"/>
                <w:sz w:val="18"/>
                <w:szCs w:val="18"/>
              </w:rPr>
            </w:pPr>
          </w:p>
        </w:tc>
        <w:tc>
          <w:tcPr>
            <w:tcW w:w="626" w:type="pct"/>
            <w:noWrap w:val="0"/>
            <w:vAlign w:val="center"/>
          </w:tcPr>
          <w:p w14:paraId="5DBF7DB9">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2AEA3DF9">
            <w:pPr>
              <w:spacing w:line="200" w:lineRule="exact"/>
              <w:rPr>
                <w:rFonts w:hint="eastAsia"/>
                <w:color w:val="auto"/>
                <w:sz w:val="15"/>
                <w:szCs w:val="15"/>
              </w:rPr>
            </w:pPr>
            <w:r>
              <w:rPr>
                <w:rFonts w:hint="eastAsia"/>
                <w:b/>
                <w:bCs/>
                <w:color w:val="auto"/>
                <w:sz w:val="15"/>
                <w:szCs w:val="15"/>
              </w:rPr>
              <w:t>知识层面：</w:t>
            </w:r>
            <w:r>
              <w:rPr>
                <w:rFonts w:hint="eastAsia"/>
                <w:color w:val="auto"/>
                <w:sz w:val="15"/>
                <w:szCs w:val="15"/>
              </w:rPr>
              <w:t>学生理解机电系统各模块的工作原理与协同运行逻辑</w:t>
            </w:r>
            <w:r>
              <w:rPr>
                <w:rFonts w:hint="eastAsia"/>
                <w:color w:val="auto"/>
                <w:sz w:val="15"/>
                <w:szCs w:val="15"/>
                <w:lang w:eastAsia="zh-CN"/>
              </w:rPr>
              <w:t>，</w:t>
            </w:r>
            <w:r>
              <w:rPr>
                <w:rFonts w:hint="eastAsia"/>
                <w:color w:val="auto"/>
                <w:sz w:val="15"/>
                <w:szCs w:val="15"/>
              </w:rPr>
              <w:t>理解其作为专业课的地位，明确课程考核方式与学习要求。</w:t>
            </w:r>
          </w:p>
          <w:p w14:paraId="4ED1DC0A">
            <w:pPr>
              <w:spacing w:line="200" w:lineRule="exact"/>
              <w:rPr>
                <w:rFonts w:hint="eastAsia"/>
                <w:b/>
                <w:bCs/>
                <w:color w:val="auto"/>
                <w:sz w:val="15"/>
                <w:szCs w:val="15"/>
              </w:rPr>
            </w:pPr>
            <w:r>
              <w:rPr>
                <w:rFonts w:hint="eastAsia"/>
                <w:b/>
                <w:bCs/>
                <w:color w:val="auto"/>
                <w:sz w:val="15"/>
                <w:szCs w:val="15"/>
              </w:rPr>
              <w:t>能力层面：</w:t>
            </w:r>
            <w:r>
              <w:rPr>
                <w:rFonts w:hint="eastAsia"/>
                <w:color w:val="auto"/>
                <w:sz w:val="15"/>
                <w:szCs w:val="15"/>
              </w:rPr>
              <w:t>学生能初步建立知识体系与后续课程的联系，并根据课程要求制定初步学习计划，具备规范学习的适应能力。</w:t>
            </w:r>
          </w:p>
          <w:p w14:paraId="1EE28642">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形成对</w:t>
            </w:r>
            <w:r>
              <w:rPr>
                <w:rFonts w:hint="eastAsia"/>
                <w:color w:val="auto"/>
                <w:sz w:val="15"/>
                <w:szCs w:val="15"/>
                <w:lang w:val="en-US" w:eastAsia="zh-CN"/>
              </w:rPr>
              <w:t>机电系统</w:t>
            </w:r>
            <w:r>
              <w:rPr>
                <w:rFonts w:hint="eastAsia"/>
                <w:color w:val="auto"/>
                <w:sz w:val="15"/>
                <w:szCs w:val="15"/>
              </w:rPr>
              <w:t>的科学认知，激发学习兴趣，初步建立工程安全意识、系统思维观和主动规划学习的责任感。</w:t>
            </w:r>
          </w:p>
        </w:tc>
        <w:tc>
          <w:tcPr>
            <w:tcW w:w="613" w:type="pct"/>
            <w:vMerge w:val="continue"/>
            <w:noWrap w:val="0"/>
            <w:vAlign w:val="center"/>
          </w:tcPr>
          <w:p w14:paraId="7C19798A">
            <w:pPr>
              <w:spacing w:line="200" w:lineRule="exact"/>
              <w:jc w:val="center"/>
              <w:rPr>
                <w:b/>
                <w:bCs/>
                <w:color w:val="auto"/>
              </w:rPr>
            </w:pPr>
          </w:p>
        </w:tc>
      </w:tr>
      <w:tr w14:paraId="5367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9A4BEB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08290871">
            <w:pPr>
              <w:spacing w:line="200" w:lineRule="exact"/>
              <w:jc w:val="center"/>
              <w:rPr>
                <w:rFonts w:hint="eastAsia"/>
                <w:bCs/>
                <w:color w:val="auto"/>
                <w:sz w:val="18"/>
                <w:szCs w:val="18"/>
              </w:rPr>
            </w:pPr>
          </w:p>
        </w:tc>
        <w:tc>
          <w:tcPr>
            <w:tcW w:w="379" w:type="pct"/>
            <w:vMerge w:val="continue"/>
            <w:noWrap w:val="0"/>
            <w:vAlign w:val="center"/>
          </w:tcPr>
          <w:p w14:paraId="22DC62D0">
            <w:pPr>
              <w:spacing w:line="200" w:lineRule="exact"/>
              <w:jc w:val="center"/>
              <w:rPr>
                <w:rFonts w:hint="eastAsia"/>
                <w:color w:val="auto"/>
                <w:sz w:val="18"/>
                <w:szCs w:val="18"/>
              </w:rPr>
            </w:pPr>
          </w:p>
        </w:tc>
        <w:tc>
          <w:tcPr>
            <w:tcW w:w="626" w:type="pct"/>
            <w:noWrap w:val="0"/>
            <w:vAlign w:val="center"/>
          </w:tcPr>
          <w:p w14:paraId="4CD93B1B">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D13B55B">
            <w:pPr>
              <w:spacing w:line="200" w:lineRule="exact"/>
              <w:jc w:val="center"/>
              <w:rPr>
                <w:color w:val="auto"/>
                <w:sz w:val="15"/>
                <w:szCs w:val="15"/>
              </w:rPr>
            </w:pPr>
            <w:r>
              <w:rPr>
                <w:rFonts w:hint="eastAsia"/>
                <w:color w:val="auto"/>
                <w:sz w:val="15"/>
                <w:szCs w:val="15"/>
              </w:rPr>
              <w:t>讲授、案例</w:t>
            </w:r>
          </w:p>
        </w:tc>
        <w:tc>
          <w:tcPr>
            <w:tcW w:w="613" w:type="pct"/>
            <w:vMerge w:val="continue"/>
            <w:noWrap w:val="0"/>
            <w:vAlign w:val="center"/>
          </w:tcPr>
          <w:p w14:paraId="46CA10C1">
            <w:pPr>
              <w:spacing w:line="200" w:lineRule="exact"/>
              <w:jc w:val="center"/>
              <w:rPr>
                <w:rFonts w:hint="eastAsia"/>
                <w:bCs/>
                <w:color w:val="auto"/>
                <w:sz w:val="18"/>
                <w:szCs w:val="18"/>
              </w:rPr>
            </w:pPr>
          </w:p>
        </w:tc>
      </w:tr>
      <w:tr w14:paraId="66BD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6C7096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第一单元</w:t>
            </w:r>
          </w:p>
          <w:p w14:paraId="1B6499D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bCs/>
                <w:color w:val="auto"/>
                <w:sz w:val="18"/>
                <w:szCs w:val="18"/>
                <w:lang w:val="en-US" w:eastAsia="zh-CN"/>
              </w:rPr>
            </w:pPr>
            <w:r>
              <w:rPr>
                <w:rFonts w:hint="eastAsia"/>
                <w:bCs/>
                <w:color w:val="auto"/>
                <w:sz w:val="18"/>
                <w:szCs w:val="18"/>
                <w:lang w:val="en-US" w:eastAsia="zh-CN"/>
              </w:rPr>
              <w:t>动力学基础</w:t>
            </w:r>
          </w:p>
        </w:tc>
        <w:tc>
          <w:tcPr>
            <w:tcW w:w="785" w:type="pct"/>
            <w:vMerge w:val="restart"/>
            <w:noWrap w:val="0"/>
            <w:vAlign w:val="center"/>
          </w:tcPr>
          <w:p w14:paraId="63B4F46D">
            <w:pPr>
              <w:spacing w:line="200" w:lineRule="exact"/>
              <w:rPr>
                <w:rFonts w:hint="eastAsia"/>
                <w:bCs/>
                <w:color w:val="auto"/>
                <w:sz w:val="18"/>
                <w:szCs w:val="18"/>
              </w:rPr>
            </w:pPr>
            <w:r>
              <w:rPr>
                <w:rFonts w:hint="eastAsia"/>
                <w:bCs/>
                <w:color w:val="auto"/>
                <w:sz w:val="18"/>
                <w:szCs w:val="18"/>
                <w:lang w:val="en-US" w:eastAsia="zh-CN"/>
              </w:rPr>
              <w:t>运动方程式，负载转矩、转动惯量和飞轮转矩的折算，负载特性</w:t>
            </w:r>
          </w:p>
        </w:tc>
        <w:tc>
          <w:tcPr>
            <w:tcW w:w="379" w:type="pct"/>
            <w:vMerge w:val="restart"/>
            <w:noWrap w:val="0"/>
            <w:vAlign w:val="center"/>
          </w:tcPr>
          <w:p w14:paraId="3EBCC8D9">
            <w:pPr>
              <w:spacing w:line="200" w:lineRule="exact"/>
              <w:jc w:val="center"/>
              <w:rPr>
                <w:rFonts w:hint="eastAsia"/>
                <w:color w:val="auto"/>
                <w:sz w:val="18"/>
                <w:szCs w:val="18"/>
              </w:rPr>
            </w:pPr>
            <w:r>
              <w:rPr>
                <w:rFonts w:hint="eastAsia"/>
                <w:color w:val="auto"/>
                <w:sz w:val="18"/>
                <w:szCs w:val="18"/>
              </w:rPr>
              <w:t>4</w:t>
            </w:r>
          </w:p>
        </w:tc>
        <w:tc>
          <w:tcPr>
            <w:tcW w:w="626" w:type="pct"/>
            <w:noWrap w:val="0"/>
            <w:vAlign w:val="center"/>
          </w:tcPr>
          <w:p w14:paraId="116766C8">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6BC42AF1">
            <w:pPr>
              <w:spacing w:line="200" w:lineRule="exact"/>
              <w:jc w:val="left"/>
              <w:rPr>
                <w:rFonts w:hint="eastAsia"/>
                <w:color w:val="auto"/>
                <w:sz w:val="15"/>
                <w:szCs w:val="15"/>
              </w:rPr>
            </w:pPr>
            <w:r>
              <w:rPr>
                <w:rFonts w:hint="eastAsia"/>
                <w:color w:val="auto"/>
                <w:sz w:val="15"/>
                <w:szCs w:val="15"/>
              </w:rPr>
              <w:t>通过学习恒转矩、恒功率、风机泵类等典型负载特性，掌握不同工况下的适配控制与节能优化方法，对接国家绿色制造、双碳发展战略，引导学生树立绿色节能、技术为民的工程理念，培养立足岗位降耗增效、服务产业低碳发展的职业素养。</w:t>
            </w:r>
          </w:p>
        </w:tc>
        <w:tc>
          <w:tcPr>
            <w:tcW w:w="613" w:type="pct"/>
            <w:vMerge w:val="restart"/>
            <w:noWrap w:val="0"/>
            <w:vAlign w:val="center"/>
          </w:tcPr>
          <w:p w14:paraId="5C380838">
            <w:pPr>
              <w:spacing w:line="200" w:lineRule="exact"/>
              <w:jc w:val="center"/>
              <w:rPr>
                <w:rFonts w:hint="eastAsia"/>
                <w:bCs/>
                <w:color w:val="auto"/>
                <w:sz w:val="18"/>
                <w:szCs w:val="18"/>
              </w:rPr>
            </w:pPr>
            <w:r>
              <w:rPr>
                <w:rFonts w:hint="eastAsia"/>
                <w:bCs/>
                <w:color w:val="auto"/>
                <w:sz w:val="18"/>
                <w:szCs w:val="18"/>
              </w:rPr>
              <w:t>目标1.2，2.2，3.2</w:t>
            </w:r>
          </w:p>
        </w:tc>
      </w:tr>
      <w:tr w14:paraId="5AF7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33A30C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09D78343">
            <w:pPr>
              <w:spacing w:line="200" w:lineRule="exact"/>
              <w:jc w:val="center"/>
              <w:rPr>
                <w:rFonts w:hint="eastAsia"/>
                <w:bCs/>
                <w:color w:val="auto"/>
                <w:sz w:val="18"/>
                <w:szCs w:val="18"/>
              </w:rPr>
            </w:pPr>
          </w:p>
        </w:tc>
        <w:tc>
          <w:tcPr>
            <w:tcW w:w="379" w:type="pct"/>
            <w:vMerge w:val="continue"/>
            <w:noWrap w:val="0"/>
            <w:vAlign w:val="center"/>
          </w:tcPr>
          <w:p w14:paraId="62F93BD1">
            <w:pPr>
              <w:spacing w:line="200" w:lineRule="exact"/>
              <w:jc w:val="center"/>
              <w:rPr>
                <w:rFonts w:hint="eastAsia"/>
                <w:color w:val="auto"/>
                <w:sz w:val="18"/>
                <w:szCs w:val="18"/>
              </w:rPr>
            </w:pPr>
          </w:p>
        </w:tc>
        <w:tc>
          <w:tcPr>
            <w:tcW w:w="626" w:type="pct"/>
            <w:noWrap w:val="0"/>
            <w:vAlign w:val="center"/>
          </w:tcPr>
          <w:p w14:paraId="5AEE23E7">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6F5EA8B2">
            <w:pPr>
              <w:spacing w:line="200" w:lineRule="exact"/>
              <w:jc w:val="left"/>
              <w:rPr>
                <w:color w:val="auto"/>
                <w:sz w:val="15"/>
                <w:szCs w:val="15"/>
              </w:rPr>
            </w:pPr>
            <w:r>
              <w:rPr>
                <w:rFonts w:hint="eastAsia"/>
                <w:b/>
                <w:bCs/>
                <w:color w:val="auto"/>
                <w:sz w:val="15"/>
                <w:szCs w:val="15"/>
              </w:rPr>
              <w:t>知识层面：</w:t>
            </w:r>
            <w:r>
              <w:rPr>
                <w:rFonts w:hint="eastAsia"/>
                <w:color w:val="auto"/>
                <w:sz w:val="15"/>
                <w:szCs w:val="15"/>
              </w:rPr>
              <w:t>学生熟练掌握多轴传动系统负载转矩、转动惯量、飞轮转矩的等效折算原理与折算公式，理解“等效替代、工程简化”的理论依据，知晓折算过程的基本规则与误差来源。</w:t>
            </w:r>
          </w:p>
          <w:p w14:paraId="4E3B1384">
            <w:pPr>
              <w:spacing w:line="200" w:lineRule="exact"/>
              <w:jc w:val="left"/>
              <w:rPr>
                <w:rFonts w:hint="eastAsia"/>
                <w:color w:val="auto"/>
                <w:sz w:val="15"/>
                <w:szCs w:val="15"/>
              </w:rPr>
            </w:pPr>
            <w:r>
              <w:rPr>
                <w:rFonts w:hint="eastAsia"/>
                <w:b/>
                <w:bCs/>
                <w:color w:val="auto"/>
                <w:sz w:val="15"/>
                <w:szCs w:val="15"/>
              </w:rPr>
              <w:t>能力层面：</w:t>
            </w:r>
            <w:r>
              <w:rPr>
                <w:rFonts w:hint="eastAsia"/>
                <w:color w:val="auto"/>
                <w:sz w:val="15"/>
                <w:szCs w:val="15"/>
              </w:rPr>
              <w:t>学生能够对复杂多轴传动系统完成负载转矩、转动惯量、飞轮转矩的精准折算计算，具备规范运算、参数校核、误差分析的工程计算能力。</w:t>
            </w:r>
          </w:p>
          <w:p w14:paraId="7F7611DD">
            <w:pPr>
              <w:spacing w:line="200" w:lineRule="exact"/>
              <w:jc w:val="left"/>
              <w:rPr>
                <w:rFonts w:hint="eastAsia"/>
                <w:color w:val="auto"/>
                <w:sz w:val="15"/>
                <w:szCs w:val="15"/>
              </w:rPr>
            </w:pPr>
            <w:r>
              <w:rPr>
                <w:rFonts w:hint="eastAsia"/>
                <w:b/>
                <w:bCs/>
                <w:color w:val="auto"/>
                <w:sz w:val="15"/>
                <w:szCs w:val="15"/>
              </w:rPr>
              <w:t>素养层面：</w:t>
            </w:r>
            <w:r>
              <w:rPr>
                <w:rFonts w:hint="eastAsia"/>
                <w:color w:val="auto"/>
                <w:sz w:val="15"/>
                <w:szCs w:val="15"/>
              </w:rPr>
              <w:t>树立精益求精的工匠精神，对待参数折算、公式运算、特性分析做到精准细致、反复校核，培养一丝不苟、追求精准的工程职业素养。</w:t>
            </w:r>
          </w:p>
        </w:tc>
        <w:tc>
          <w:tcPr>
            <w:tcW w:w="613" w:type="pct"/>
            <w:vMerge w:val="continue"/>
            <w:noWrap w:val="0"/>
            <w:vAlign w:val="center"/>
          </w:tcPr>
          <w:p w14:paraId="069362E0">
            <w:pPr>
              <w:spacing w:line="200" w:lineRule="exact"/>
              <w:jc w:val="center"/>
              <w:rPr>
                <w:rFonts w:hint="eastAsia"/>
                <w:bCs/>
                <w:color w:val="auto"/>
                <w:sz w:val="18"/>
                <w:szCs w:val="18"/>
              </w:rPr>
            </w:pPr>
          </w:p>
        </w:tc>
      </w:tr>
      <w:tr w14:paraId="3132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72BC14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75514076">
            <w:pPr>
              <w:spacing w:line="200" w:lineRule="exact"/>
              <w:jc w:val="center"/>
              <w:rPr>
                <w:rFonts w:hint="eastAsia"/>
                <w:bCs/>
                <w:color w:val="auto"/>
                <w:sz w:val="18"/>
                <w:szCs w:val="18"/>
              </w:rPr>
            </w:pPr>
          </w:p>
        </w:tc>
        <w:tc>
          <w:tcPr>
            <w:tcW w:w="379" w:type="pct"/>
            <w:vMerge w:val="continue"/>
            <w:noWrap w:val="0"/>
            <w:vAlign w:val="center"/>
          </w:tcPr>
          <w:p w14:paraId="05FC8D4D">
            <w:pPr>
              <w:spacing w:line="200" w:lineRule="exact"/>
              <w:jc w:val="center"/>
              <w:rPr>
                <w:rFonts w:hint="eastAsia"/>
                <w:color w:val="auto"/>
                <w:sz w:val="18"/>
                <w:szCs w:val="18"/>
              </w:rPr>
            </w:pPr>
          </w:p>
        </w:tc>
        <w:tc>
          <w:tcPr>
            <w:tcW w:w="626" w:type="pct"/>
            <w:noWrap w:val="0"/>
            <w:vAlign w:val="center"/>
          </w:tcPr>
          <w:p w14:paraId="5C09E188">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47D2E11F">
            <w:pPr>
              <w:spacing w:line="200" w:lineRule="exact"/>
              <w:jc w:val="center"/>
              <w:rPr>
                <w:rFonts w:hint="eastAsia"/>
                <w:color w:val="auto"/>
                <w:sz w:val="15"/>
                <w:szCs w:val="15"/>
              </w:rPr>
            </w:pPr>
            <w:r>
              <w:rPr>
                <w:rFonts w:hint="eastAsia"/>
                <w:color w:val="auto"/>
                <w:sz w:val="15"/>
                <w:szCs w:val="15"/>
              </w:rPr>
              <w:t>讲授、案例、练习、研讨、互动</w:t>
            </w:r>
          </w:p>
        </w:tc>
        <w:tc>
          <w:tcPr>
            <w:tcW w:w="613" w:type="pct"/>
            <w:vMerge w:val="continue"/>
            <w:noWrap w:val="0"/>
            <w:vAlign w:val="center"/>
          </w:tcPr>
          <w:p w14:paraId="58BC75B7">
            <w:pPr>
              <w:spacing w:line="200" w:lineRule="exact"/>
              <w:jc w:val="center"/>
              <w:rPr>
                <w:rFonts w:hint="eastAsia"/>
                <w:bCs/>
                <w:color w:val="auto"/>
                <w:sz w:val="18"/>
                <w:szCs w:val="18"/>
              </w:rPr>
            </w:pPr>
          </w:p>
        </w:tc>
      </w:tr>
      <w:tr w14:paraId="43A1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303204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第二单元</w:t>
            </w:r>
          </w:p>
          <w:p w14:paraId="5FF4CF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bCs/>
                <w:color w:val="auto"/>
                <w:sz w:val="18"/>
                <w:szCs w:val="18"/>
                <w:lang w:val="en-US" w:eastAsia="zh-CN"/>
              </w:rPr>
            </w:pPr>
            <w:r>
              <w:rPr>
                <w:rFonts w:hint="eastAsia"/>
                <w:bCs/>
                <w:color w:val="auto"/>
                <w:sz w:val="18"/>
                <w:szCs w:val="18"/>
                <w:lang w:val="en-US" w:eastAsia="zh-CN"/>
              </w:rPr>
              <w:t>直流与交流</w:t>
            </w:r>
            <w:r>
              <w:rPr>
                <w:rFonts w:hint="eastAsia"/>
                <w:bCs/>
                <w:color w:val="auto"/>
                <w:sz w:val="18"/>
                <w:szCs w:val="18"/>
                <w:lang w:val="en-US" w:eastAsia="zh-CN"/>
              </w:rPr>
              <w:t>电动机</w:t>
            </w:r>
            <w:r>
              <w:rPr>
                <w:rFonts w:hint="eastAsia"/>
                <w:bCs/>
                <w:color w:val="auto"/>
                <w:sz w:val="18"/>
                <w:szCs w:val="18"/>
                <w:lang w:val="en-US" w:eastAsia="zh-CN"/>
              </w:rPr>
              <w:t>的工作原理及特性</w:t>
            </w:r>
          </w:p>
        </w:tc>
        <w:tc>
          <w:tcPr>
            <w:tcW w:w="785" w:type="pct"/>
            <w:vMerge w:val="restart"/>
            <w:noWrap w:val="0"/>
            <w:vAlign w:val="center"/>
          </w:tcPr>
          <w:p w14:paraId="3797458D">
            <w:pPr>
              <w:spacing w:line="200" w:lineRule="exact"/>
              <w:rPr>
                <w:rFonts w:hint="default" w:eastAsia="宋体"/>
                <w:bCs/>
                <w:color w:val="auto"/>
                <w:sz w:val="18"/>
                <w:szCs w:val="18"/>
                <w:lang w:val="en-US" w:eastAsia="zh-CN"/>
              </w:rPr>
            </w:pPr>
            <w:r>
              <w:rPr>
                <w:rFonts w:hint="eastAsia"/>
                <w:bCs/>
                <w:color w:val="auto"/>
                <w:sz w:val="18"/>
                <w:szCs w:val="18"/>
                <w:lang w:val="en-US" w:eastAsia="zh-CN"/>
              </w:rPr>
              <w:t>2</w:t>
            </w:r>
            <w:r>
              <w:rPr>
                <w:rFonts w:hint="eastAsia"/>
                <w:bCs/>
                <w:color w:val="auto"/>
                <w:sz w:val="18"/>
                <w:szCs w:val="18"/>
              </w:rPr>
              <w:t>.1</w:t>
            </w:r>
            <w:r>
              <w:rPr>
                <w:rFonts w:hint="eastAsia"/>
                <w:bCs/>
                <w:color w:val="auto"/>
                <w:sz w:val="18"/>
                <w:szCs w:val="18"/>
                <w:lang w:val="en-US" w:eastAsia="zh-CN"/>
              </w:rPr>
              <w:t>直流</w:t>
            </w:r>
            <w:r>
              <w:rPr>
                <w:rFonts w:hint="eastAsia"/>
                <w:bCs/>
                <w:color w:val="auto"/>
                <w:sz w:val="18"/>
                <w:szCs w:val="18"/>
                <w:lang w:val="en-US" w:eastAsia="zh-CN"/>
              </w:rPr>
              <w:t>电机的基本结构，机械特性，启动特性，调速特性，制动特性</w:t>
            </w:r>
          </w:p>
        </w:tc>
        <w:tc>
          <w:tcPr>
            <w:tcW w:w="379" w:type="pct"/>
            <w:vMerge w:val="restart"/>
            <w:noWrap w:val="0"/>
            <w:vAlign w:val="center"/>
          </w:tcPr>
          <w:p w14:paraId="197C94F8">
            <w:pPr>
              <w:spacing w:line="200" w:lineRule="exact"/>
              <w:jc w:val="center"/>
              <w:rPr>
                <w:rFonts w:hint="eastAsia" w:eastAsia="宋体"/>
                <w:color w:val="auto"/>
                <w:sz w:val="18"/>
                <w:szCs w:val="18"/>
                <w:lang w:eastAsia="zh-CN"/>
              </w:rPr>
            </w:pPr>
            <w:r>
              <w:rPr>
                <w:rFonts w:hint="eastAsia"/>
                <w:color w:val="auto"/>
                <w:sz w:val="18"/>
                <w:szCs w:val="18"/>
                <w:lang w:val="en-US" w:eastAsia="zh-CN"/>
              </w:rPr>
              <w:t>8</w:t>
            </w:r>
          </w:p>
        </w:tc>
        <w:tc>
          <w:tcPr>
            <w:tcW w:w="626" w:type="pct"/>
            <w:noWrap w:val="0"/>
            <w:vAlign w:val="center"/>
          </w:tcPr>
          <w:p w14:paraId="02B09925">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C10DC15">
            <w:pPr>
              <w:spacing w:line="200" w:lineRule="exact"/>
              <w:jc w:val="left"/>
              <w:rPr>
                <w:rFonts w:hint="eastAsia" w:eastAsia="宋体"/>
                <w:color w:val="auto"/>
                <w:sz w:val="15"/>
                <w:szCs w:val="15"/>
                <w:lang w:eastAsia="zh-CN"/>
              </w:rPr>
            </w:pPr>
            <w:r>
              <w:rPr>
                <w:rFonts w:hint="eastAsia"/>
                <w:color w:val="auto"/>
                <w:sz w:val="15"/>
                <w:szCs w:val="15"/>
              </w:rPr>
              <w:t>通过讲解直流电机定子、转子、换向器、电刷等完整结构的分工配合原理，认识电机每一个零部件各司其职、协同工作的运行机制，引导学生理解系统整体协作的重要性，培养团结协作、各司其职、相互配合的团队精神与全局思维</w:t>
            </w:r>
            <w:r>
              <w:rPr>
                <w:rFonts w:hint="eastAsia"/>
                <w:color w:val="auto"/>
                <w:sz w:val="15"/>
                <w:szCs w:val="15"/>
                <w:lang w:eastAsia="zh-CN"/>
              </w:rPr>
              <w:t>。</w:t>
            </w:r>
          </w:p>
        </w:tc>
        <w:tc>
          <w:tcPr>
            <w:tcW w:w="613" w:type="pct"/>
            <w:vMerge w:val="restart"/>
            <w:noWrap w:val="0"/>
            <w:vAlign w:val="center"/>
          </w:tcPr>
          <w:p w14:paraId="328A68E2">
            <w:pPr>
              <w:spacing w:line="200" w:lineRule="exact"/>
              <w:jc w:val="center"/>
              <w:rPr>
                <w:rFonts w:hint="default" w:eastAsia="宋体"/>
                <w:bCs/>
                <w:color w:val="auto"/>
                <w:sz w:val="18"/>
                <w:szCs w:val="18"/>
                <w:lang w:val="en-US" w:eastAsia="zh-CN"/>
              </w:rPr>
            </w:pPr>
            <w:r>
              <w:rPr>
                <w:rFonts w:hint="eastAsia"/>
                <w:bCs/>
                <w:color w:val="auto"/>
                <w:sz w:val="18"/>
                <w:szCs w:val="18"/>
              </w:rPr>
              <w:t>目标1.3，</w:t>
            </w:r>
            <w:r>
              <w:rPr>
                <w:rFonts w:hint="eastAsia"/>
                <w:bCs/>
                <w:color w:val="auto"/>
                <w:sz w:val="18"/>
                <w:szCs w:val="18"/>
                <w:lang w:val="en-US" w:eastAsia="zh-CN"/>
              </w:rPr>
              <w:t>1.4，</w:t>
            </w:r>
            <w:r>
              <w:rPr>
                <w:rFonts w:hint="eastAsia"/>
                <w:bCs/>
                <w:color w:val="auto"/>
                <w:sz w:val="18"/>
                <w:szCs w:val="18"/>
              </w:rPr>
              <w:t>2.3</w:t>
            </w:r>
            <w:r>
              <w:rPr>
                <w:rFonts w:hint="eastAsia"/>
                <w:bCs/>
                <w:color w:val="auto"/>
                <w:sz w:val="18"/>
                <w:szCs w:val="18"/>
                <w:lang w:val="en-US" w:eastAsia="zh-CN"/>
              </w:rPr>
              <w:t>，2.4，</w:t>
            </w:r>
            <w:r>
              <w:rPr>
                <w:rFonts w:hint="eastAsia"/>
                <w:bCs/>
                <w:color w:val="auto"/>
                <w:sz w:val="18"/>
                <w:szCs w:val="18"/>
              </w:rPr>
              <w:t>3.3</w:t>
            </w:r>
            <w:r>
              <w:rPr>
                <w:rFonts w:hint="eastAsia"/>
                <w:bCs/>
                <w:color w:val="auto"/>
                <w:sz w:val="18"/>
                <w:szCs w:val="18"/>
                <w:lang w:eastAsia="zh-CN"/>
              </w:rPr>
              <w:t>，</w:t>
            </w:r>
            <w:r>
              <w:rPr>
                <w:rFonts w:hint="eastAsia"/>
                <w:bCs/>
                <w:color w:val="auto"/>
                <w:sz w:val="18"/>
                <w:szCs w:val="18"/>
                <w:lang w:val="en-US" w:eastAsia="zh-CN"/>
              </w:rPr>
              <w:t>3.4</w:t>
            </w:r>
          </w:p>
        </w:tc>
      </w:tr>
      <w:tr w14:paraId="66AB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65308D4">
            <w:pPr>
              <w:spacing w:line="200" w:lineRule="exact"/>
              <w:jc w:val="center"/>
              <w:rPr>
                <w:rFonts w:hint="eastAsia"/>
                <w:bCs/>
                <w:color w:val="auto"/>
                <w:sz w:val="18"/>
                <w:szCs w:val="18"/>
              </w:rPr>
            </w:pPr>
          </w:p>
        </w:tc>
        <w:tc>
          <w:tcPr>
            <w:tcW w:w="785" w:type="pct"/>
            <w:vMerge w:val="continue"/>
            <w:noWrap w:val="0"/>
            <w:vAlign w:val="center"/>
          </w:tcPr>
          <w:p w14:paraId="606180F3">
            <w:pPr>
              <w:spacing w:line="200" w:lineRule="exact"/>
              <w:jc w:val="center"/>
              <w:rPr>
                <w:rFonts w:hint="eastAsia"/>
                <w:bCs/>
                <w:color w:val="auto"/>
                <w:sz w:val="18"/>
                <w:szCs w:val="18"/>
              </w:rPr>
            </w:pPr>
          </w:p>
        </w:tc>
        <w:tc>
          <w:tcPr>
            <w:tcW w:w="379" w:type="pct"/>
            <w:vMerge w:val="continue"/>
            <w:noWrap w:val="0"/>
            <w:vAlign w:val="center"/>
          </w:tcPr>
          <w:p w14:paraId="68878BFF">
            <w:pPr>
              <w:spacing w:line="200" w:lineRule="exact"/>
              <w:jc w:val="center"/>
              <w:rPr>
                <w:rFonts w:hint="eastAsia"/>
                <w:color w:val="auto"/>
                <w:sz w:val="18"/>
                <w:szCs w:val="18"/>
              </w:rPr>
            </w:pPr>
          </w:p>
        </w:tc>
        <w:tc>
          <w:tcPr>
            <w:tcW w:w="626" w:type="pct"/>
            <w:noWrap w:val="0"/>
            <w:vAlign w:val="center"/>
          </w:tcPr>
          <w:p w14:paraId="0000ED12">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0A91674B">
            <w:pPr>
              <w:spacing w:line="200" w:lineRule="exact"/>
              <w:rPr>
                <w:rFonts w:hint="eastAsia"/>
                <w:color w:val="auto"/>
                <w:sz w:val="15"/>
                <w:szCs w:val="15"/>
              </w:rPr>
            </w:pPr>
            <w:r>
              <w:rPr>
                <w:rFonts w:hint="eastAsia"/>
                <w:b/>
                <w:bCs/>
                <w:color w:val="auto"/>
                <w:sz w:val="15"/>
                <w:szCs w:val="15"/>
              </w:rPr>
              <w:t>知识层面：</w:t>
            </w:r>
            <w:r>
              <w:rPr>
                <w:rFonts w:hint="eastAsia"/>
                <w:color w:val="auto"/>
                <w:sz w:val="15"/>
                <w:szCs w:val="15"/>
              </w:rPr>
              <w:t>学生掌握直流电机基本结构、电磁工作原理，熟知机械特性、启动、调速、制动的核心原理、特性规律及工程适用场景。</w:t>
            </w:r>
          </w:p>
          <w:p w14:paraId="4476F18B">
            <w:pPr>
              <w:spacing w:line="200" w:lineRule="exact"/>
              <w:rPr>
                <w:rFonts w:hint="eastAsia"/>
                <w:color w:val="auto"/>
                <w:sz w:val="15"/>
                <w:szCs w:val="15"/>
              </w:rPr>
            </w:pPr>
            <w:r>
              <w:rPr>
                <w:rFonts w:hint="eastAsia"/>
                <w:b/>
                <w:bCs/>
                <w:color w:val="auto"/>
                <w:sz w:val="15"/>
                <w:szCs w:val="15"/>
              </w:rPr>
              <w:t>能力层面：</w:t>
            </w:r>
            <w:r>
              <w:rPr>
                <w:rFonts w:hint="eastAsia"/>
                <w:color w:val="auto"/>
                <w:sz w:val="15"/>
                <w:szCs w:val="15"/>
              </w:rPr>
              <w:t>能够辨识直流电机结构、分析运行特性与工况，可合理选型启停调速制动方案，具备故障排查与节能优化的工程能力。</w:t>
            </w:r>
          </w:p>
          <w:p w14:paraId="61B02CE6">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秉持严谨求实的科学态度与精益求精的工匠精神，坚守工程安全伦理，树立系统思维、绿色理念与科技报国的职业素养。</w:t>
            </w:r>
          </w:p>
        </w:tc>
        <w:tc>
          <w:tcPr>
            <w:tcW w:w="613" w:type="pct"/>
            <w:vMerge w:val="continue"/>
            <w:noWrap w:val="0"/>
            <w:vAlign w:val="center"/>
          </w:tcPr>
          <w:p w14:paraId="2EB2E661">
            <w:pPr>
              <w:spacing w:line="200" w:lineRule="exact"/>
              <w:jc w:val="center"/>
              <w:rPr>
                <w:rFonts w:hint="eastAsia"/>
                <w:bCs/>
                <w:color w:val="auto"/>
                <w:sz w:val="18"/>
                <w:szCs w:val="18"/>
              </w:rPr>
            </w:pPr>
          </w:p>
        </w:tc>
      </w:tr>
      <w:tr w14:paraId="1DA1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2FCA790">
            <w:pPr>
              <w:spacing w:line="200" w:lineRule="exact"/>
              <w:jc w:val="center"/>
              <w:rPr>
                <w:rFonts w:hint="eastAsia"/>
                <w:bCs/>
                <w:color w:val="auto"/>
                <w:sz w:val="18"/>
                <w:szCs w:val="18"/>
              </w:rPr>
            </w:pPr>
          </w:p>
        </w:tc>
        <w:tc>
          <w:tcPr>
            <w:tcW w:w="785" w:type="pct"/>
            <w:vMerge w:val="continue"/>
            <w:noWrap w:val="0"/>
            <w:vAlign w:val="center"/>
          </w:tcPr>
          <w:p w14:paraId="4B71A9D0">
            <w:pPr>
              <w:spacing w:line="200" w:lineRule="exact"/>
              <w:jc w:val="center"/>
              <w:rPr>
                <w:rFonts w:hint="eastAsia"/>
                <w:bCs/>
                <w:color w:val="auto"/>
                <w:sz w:val="18"/>
                <w:szCs w:val="18"/>
              </w:rPr>
            </w:pPr>
          </w:p>
        </w:tc>
        <w:tc>
          <w:tcPr>
            <w:tcW w:w="379" w:type="pct"/>
            <w:vMerge w:val="continue"/>
            <w:noWrap w:val="0"/>
            <w:vAlign w:val="center"/>
          </w:tcPr>
          <w:p w14:paraId="08E3A58C">
            <w:pPr>
              <w:spacing w:line="200" w:lineRule="exact"/>
              <w:jc w:val="center"/>
              <w:rPr>
                <w:rFonts w:hint="eastAsia"/>
                <w:color w:val="auto"/>
                <w:sz w:val="18"/>
                <w:szCs w:val="18"/>
              </w:rPr>
            </w:pPr>
          </w:p>
        </w:tc>
        <w:tc>
          <w:tcPr>
            <w:tcW w:w="626" w:type="pct"/>
            <w:noWrap w:val="0"/>
            <w:vAlign w:val="center"/>
          </w:tcPr>
          <w:p w14:paraId="1CC406CE">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C141EDE">
            <w:pPr>
              <w:spacing w:line="200" w:lineRule="exact"/>
              <w:jc w:val="center"/>
              <w:rPr>
                <w:rFonts w:hint="eastAsia"/>
                <w:color w:val="auto"/>
                <w:sz w:val="15"/>
                <w:szCs w:val="15"/>
              </w:rPr>
            </w:pPr>
            <w:r>
              <w:rPr>
                <w:rFonts w:hint="eastAsia"/>
                <w:color w:val="auto"/>
                <w:sz w:val="15"/>
                <w:szCs w:val="15"/>
              </w:rPr>
              <w:t>讲授、练习、研讨、互动</w:t>
            </w:r>
          </w:p>
        </w:tc>
        <w:tc>
          <w:tcPr>
            <w:tcW w:w="613" w:type="pct"/>
            <w:vMerge w:val="continue"/>
            <w:noWrap w:val="0"/>
            <w:vAlign w:val="center"/>
          </w:tcPr>
          <w:p w14:paraId="5619C9D8">
            <w:pPr>
              <w:spacing w:line="200" w:lineRule="exact"/>
              <w:jc w:val="center"/>
              <w:rPr>
                <w:rFonts w:hint="eastAsia"/>
                <w:bCs/>
                <w:color w:val="auto"/>
                <w:sz w:val="18"/>
                <w:szCs w:val="18"/>
              </w:rPr>
            </w:pPr>
          </w:p>
        </w:tc>
      </w:tr>
      <w:tr w14:paraId="2951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590" w:type="pct"/>
            <w:vMerge w:val="continue"/>
            <w:noWrap w:val="0"/>
            <w:vAlign w:val="center"/>
          </w:tcPr>
          <w:p w14:paraId="25FE3686">
            <w:pPr>
              <w:spacing w:line="200" w:lineRule="exact"/>
              <w:jc w:val="center"/>
              <w:rPr>
                <w:rFonts w:hint="eastAsia"/>
                <w:bCs/>
                <w:color w:val="auto"/>
                <w:sz w:val="18"/>
                <w:szCs w:val="18"/>
              </w:rPr>
            </w:pPr>
          </w:p>
        </w:tc>
        <w:tc>
          <w:tcPr>
            <w:tcW w:w="785" w:type="pct"/>
            <w:vMerge w:val="restart"/>
            <w:noWrap w:val="0"/>
            <w:vAlign w:val="center"/>
          </w:tcPr>
          <w:p w14:paraId="46C9E372">
            <w:pPr>
              <w:spacing w:line="200" w:lineRule="exact"/>
              <w:rPr>
                <w:rFonts w:hint="default" w:eastAsia="宋体"/>
                <w:bCs/>
                <w:color w:val="auto"/>
                <w:sz w:val="18"/>
                <w:szCs w:val="18"/>
                <w:lang w:val="en-US" w:eastAsia="zh-CN"/>
              </w:rPr>
            </w:pPr>
            <w:r>
              <w:rPr>
                <w:rFonts w:hint="eastAsia"/>
                <w:bCs/>
                <w:color w:val="auto"/>
                <w:sz w:val="18"/>
                <w:szCs w:val="18"/>
                <w:lang w:val="en-US" w:eastAsia="zh-CN"/>
              </w:rPr>
              <w:t>2</w:t>
            </w:r>
            <w:r>
              <w:rPr>
                <w:rFonts w:hint="eastAsia"/>
                <w:bCs/>
                <w:color w:val="auto"/>
                <w:sz w:val="18"/>
                <w:szCs w:val="18"/>
              </w:rPr>
              <w:t>.2</w:t>
            </w:r>
            <w:r>
              <w:rPr>
                <w:rFonts w:hint="eastAsia"/>
                <w:bCs/>
                <w:color w:val="auto"/>
                <w:sz w:val="18"/>
                <w:szCs w:val="18"/>
                <w:lang w:val="en-US" w:eastAsia="zh-CN"/>
              </w:rPr>
              <w:t>三相</w:t>
            </w:r>
            <w:r>
              <w:rPr>
                <w:rFonts w:hint="eastAsia"/>
                <w:bCs/>
                <w:color w:val="auto"/>
                <w:sz w:val="18"/>
                <w:szCs w:val="18"/>
                <w:lang w:val="en-US" w:eastAsia="zh-CN"/>
              </w:rPr>
              <w:t>交流电动机的结构与机械特性</w:t>
            </w:r>
          </w:p>
        </w:tc>
        <w:tc>
          <w:tcPr>
            <w:tcW w:w="379" w:type="pct"/>
            <w:vMerge w:val="restart"/>
            <w:noWrap w:val="0"/>
            <w:vAlign w:val="center"/>
          </w:tcPr>
          <w:p w14:paraId="0670A459">
            <w:pPr>
              <w:spacing w:line="200" w:lineRule="exact"/>
              <w:jc w:val="center"/>
              <w:rPr>
                <w:rFonts w:hint="eastAsia" w:eastAsia="宋体"/>
                <w:color w:val="auto"/>
                <w:sz w:val="18"/>
                <w:szCs w:val="18"/>
                <w:lang w:eastAsia="zh-CN"/>
              </w:rPr>
            </w:pPr>
            <w:r>
              <w:rPr>
                <w:rFonts w:hint="eastAsia"/>
                <w:color w:val="auto"/>
                <w:sz w:val="18"/>
                <w:szCs w:val="18"/>
                <w:lang w:val="en-US" w:eastAsia="zh-CN"/>
              </w:rPr>
              <w:t>6</w:t>
            </w:r>
          </w:p>
        </w:tc>
        <w:tc>
          <w:tcPr>
            <w:tcW w:w="626" w:type="pct"/>
            <w:noWrap w:val="0"/>
            <w:vAlign w:val="center"/>
          </w:tcPr>
          <w:p w14:paraId="1D7FC0D5">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64496886">
            <w:pPr>
              <w:spacing w:line="200" w:lineRule="exact"/>
              <w:jc w:val="left"/>
              <w:rPr>
                <w:rFonts w:hint="eastAsia"/>
                <w:color w:val="auto"/>
                <w:sz w:val="15"/>
                <w:szCs w:val="15"/>
              </w:rPr>
            </w:pPr>
            <w:r>
              <w:rPr>
                <w:rFonts w:hint="eastAsia"/>
                <w:color w:val="auto"/>
                <w:sz w:val="15"/>
                <w:szCs w:val="15"/>
              </w:rPr>
              <w:t>通过学习三相电机旋转磁场产生原理、固有与人为机械特性的客观运行规律，体会电机运行严格遵循电磁学与动力学原理，引导学生树立尊重科学、求真务实、依规治学的严谨态度，摒弃主观经验主义，养成规范严谨的学习与工作习惯。</w:t>
            </w:r>
          </w:p>
        </w:tc>
        <w:tc>
          <w:tcPr>
            <w:tcW w:w="613" w:type="pct"/>
            <w:vMerge w:val="continue"/>
            <w:noWrap w:val="0"/>
            <w:vAlign w:val="center"/>
          </w:tcPr>
          <w:p w14:paraId="1F6B6371">
            <w:pPr>
              <w:spacing w:line="200" w:lineRule="exact"/>
              <w:jc w:val="center"/>
              <w:rPr>
                <w:rFonts w:hint="eastAsia"/>
                <w:bCs/>
                <w:color w:val="auto"/>
                <w:sz w:val="18"/>
                <w:szCs w:val="18"/>
              </w:rPr>
            </w:pPr>
          </w:p>
        </w:tc>
      </w:tr>
      <w:tr w14:paraId="4EEF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B2E5411">
            <w:pPr>
              <w:spacing w:line="200" w:lineRule="exact"/>
              <w:jc w:val="center"/>
              <w:rPr>
                <w:rFonts w:hint="eastAsia"/>
                <w:bCs/>
                <w:color w:val="auto"/>
                <w:sz w:val="18"/>
                <w:szCs w:val="18"/>
              </w:rPr>
            </w:pPr>
          </w:p>
        </w:tc>
        <w:tc>
          <w:tcPr>
            <w:tcW w:w="785" w:type="pct"/>
            <w:vMerge w:val="continue"/>
            <w:noWrap w:val="0"/>
            <w:vAlign w:val="center"/>
          </w:tcPr>
          <w:p w14:paraId="5FD9B13A">
            <w:pPr>
              <w:spacing w:line="200" w:lineRule="exact"/>
              <w:jc w:val="center"/>
              <w:rPr>
                <w:rFonts w:hint="eastAsia"/>
                <w:bCs/>
                <w:color w:val="auto"/>
                <w:sz w:val="18"/>
                <w:szCs w:val="18"/>
              </w:rPr>
            </w:pPr>
          </w:p>
        </w:tc>
        <w:tc>
          <w:tcPr>
            <w:tcW w:w="379" w:type="pct"/>
            <w:vMerge w:val="continue"/>
            <w:noWrap w:val="0"/>
            <w:vAlign w:val="center"/>
          </w:tcPr>
          <w:p w14:paraId="1680A0F8">
            <w:pPr>
              <w:spacing w:line="200" w:lineRule="exact"/>
              <w:jc w:val="center"/>
              <w:rPr>
                <w:rFonts w:hint="eastAsia"/>
                <w:color w:val="auto"/>
                <w:sz w:val="18"/>
                <w:szCs w:val="18"/>
              </w:rPr>
            </w:pPr>
          </w:p>
        </w:tc>
        <w:tc>
          <w:tcPr>
            <w:tcW w:w="626" w:type="pct"/>
            <w:noWrap w:val="0"/>
            <w:vAlign w:val="center"/>
          </w:tcPr>
          <w:p w14:paraId="1495DE24">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2669FF84">
            <w:pPr>
              <w:spacing w:line="200" w:lineRule="exact"/>
              <w:rPr>
                <w:rFonts w:hint="eastAsia"/>
                <w:color w:val="auto"/>
                <w:sz w:val="15"/>
                <w:szCs w:val="15"/>
              </w:rPr>
            </w:pPr>
            <w:r>
              <w:rPr>
                <w:rFonts w:hint="eastAsia"/>
                <w:b/>
                <w:bCs/>
                <w:color w:val="auto"/>
                <w:sz w:val="15"/>
                <w:szCs w:val="15"/>
              </w:rPr>
              <w:t>知识层面：</w:t>
            </w:r>
            <w:r>
              <w:rPr>
                <w:rFonts w:hint="eastAsia"/>
                <w:color w:val="auto"/>
                <w:sz w:val="15"/>
                <w:szCs w:val="15"/>
              </w:rPr>
              <w:t>学生掌握三相交流电动机基本结构、各部件功能及旋转磁场工作原理，熟知固有、人为机械特性的变化规律、影响因素及各类工况应用特点。</w:t>
            </w:r>
          </w:p>
          <w:p w14:paraId="16F2B332">
            <w:pPr>
              <w:spacing w:line="200" w:lineRule="exact"/>
              <w:rPr>
                <w:color w:val="auto"/>
                <w:sz w:val="15"/>
                <w:szCs w:val="15"/>
              </w:rPr>
            </w:pPr>
            <w:r>
              <w:rPr>
                <w:rFonts w:hint="eastAsia"/>
                <w:b/>
                <w:bCs/>
                <w:color w:val="auto"/>
                <w:sz w:val="15"/>
                <w:szCs w:val="15"/>
              </w:rPr>
              <w:t>能力层面：</w:t>
            </w:r>
            <w:r>
              <w:rPr>
                <w:rFonts w:hint="eastAsia"/>
                <w:color w:val="auto"/>
                <w:sz w:val="15"/>
                <w:szCs w:val="15"/>
              </w:rPr>
              <w:t>具备三相电机结构辨识、机械特性分析与工况判断能力，能够结合参数变化分析电机运行状态，可初步排查电机过载、堵转等常见设备故障。</w:t>
            </w:r>
          </w:p>
          <w:p w14:paraId="437F90AF">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养成严谨求实的科学态度与精益求精的工匠精神，树立工程安全责任意识、绿色节能理念，厚植科技报国情怀，培养团结协作的系统工程思维。</w:t>
            </w:r>
          </w:p>
        </w:tc>
        <w:tc>
          <w:tcPr>
            <w:tcW w:w="613" w:type="pct"/>
            <w:vMerge w:val="continue"/>
            <w:noWrap w:val="0"/>
            <w:vAlign w:val="center"/>
          </w:tcPr>
          <w:p w14:paraId="590F836E">
            <w:pPr>
              <w:spacing w:line="200" w:lineRule="exact"/>
              <w:jc w:val="center"/>
              <w:rPr>
                <w:rFonts w:hint="eastAsia"/>
                <w:bCs/>
                <w:color w:val="auto"/>
                <w:sz w:val="18"/>
                <w:szCs w:val="18"/>
              </w:rPr>
            </w:pPr>
          </w:p>
        </w:tc>
      </w:tr>
      <w:tr w14:paraId="39E4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F2CFBB7">
            <w:pPr>
              <w:spacing w:line="200" w:lineRule="exact"/>
              <w:jc w:val="center"/>
              <w:rPr>
                <w:rFonts w:hint="eastAsia"/>
                <w:bCs/>
                <w:color w:val="auto"/>
                <w:sz w:val="18"/>
                <w:szCs w:val="18"/>
              </w:rPr>
            </w:pPr>
          </w:p>
        </w:tc>
        <w:tc>
          <w:tcPr>
            <w:tcW w:w="785" w:type="pct"/>
            <w:vMerge w:val="continue"/>
            <w:noWrap w:val="0"/>
            <w:vAlign w:val="center"/>
          </w:tcPr>
          <w:p w14:paraId="2733DEA4">
            <w:pPr>
              <w:spacing w:line="200" w:lineRule="exact"/>
              <w:jc w:val="center"/>
              <w:rPr>
                <w:rFonts w:hint="eastAsia"/>
                <w:bCs/>
                <w:color w:val="auto"/>
                <w:sz w:val="18"/>
                <w:szCs w:val="18"/>
              </w:rPr>
            </w:pPr>
          </w:p>
        </w:tc>
        <w:tc>
          <w:tcPr>
            <w:tcW w:w="379" w:type="pct"/>
            <w:vMerge w:val="continue"/>
            <w:noWrap w:val="0"/>
            <w:vAlign w:val="center"/>
          </w:tcPr>
          <w:p w14:paraId="25297500">
            <w:pPr>
              <w:spacing w:line="200" w:lineRule="exact"/>
              <w:jc w:val="center"/>
              <w:rPr>
                <w:rFonts w:hint="eastAsia"/>
                <w:color w:val="auto"/>
                <w:sz w:val="18"/>
                <w:szCs w:val="18"/>
              </w:rPr>
            </w:pPr>
          </w:p>
        </w:tc>
        <w:tc>
          <w:tcPr>
            <w:tcW w:w="626" w:type="pct"/>
            <w:noWrap w:val="0"/>
            <w:vAlign w:val="center"/>
          </w:tcPr>
          <w:p w14:paraId="77A4D8DF">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3AF6FFC">
            <w:pPr>
              <w:spacing w:line="200" w:lineRule="exact"/>
              <w:jc w:val="center"/>
              <w:rPr>
                <w:rFonts w:hint="eastAsia"/>
                <w:color w:val="auto"/>
                <w:sz w:val="15"/>
                <w:szCs w:val="15"/>
              </w:rPr>
            </w:pPr>
            <w:r>
              <w:rPr>
                <w:rFonts w:hint="eastAsia"/>
                <w:color w:val="auto"/>
                <w:sz w:val="15"/>
                <w:szCs w:val="15"/>
              </w:rPr>
              <w:t>讲授、案例、练习、研讨、互动</w:t>
            </w:r>
          </w:p>
        </w:tc>
        <w:tc>
          <w:tcPr>
            <w:tcW w:w="613" w:type="pct"/>
            <w:vMerge w:val="continue"/>
            <w:noWrap w:val="0"/>
            <w:vAlign w:val="center"/>
          </w:tcPr>
          <w:p w14:paraId="5AB39324">
            <w:pPr>
              <w:spacing w:line="200" w:lineRule="exact"/>
              <w:jc w:val="center"/>
              <w:rPr>
                <w:rFonts w:hint="eastAsia"/>
                <w:bCs/>
                <w:color w:val="auto"/>
                <w:sz w:val="18"/>
                <w:szCs w:val="18"/>
              </w:rPr>
            </w:pPr>
          </w:p>
        </w:tc>
      </w:tr>
      <w:tr w14:paraId="1A89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5BE928F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第三单元</w:t>
            </w:r>
          </w:p>
          <w:p w14:paraId="2A195E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bCs/>
                <w:color w:val="auto"/>
                <w:sz w:val="18"/>
                <w:szCs w:val="18"/>
                <w:lang w:val="en-US" w:eastAsia="zh-CN"/>
              </w:rPr>
            </w:pPr>
            <w:r>
              <w:rPr>
                <w:rFonts w:hint="eastAsia"/>
                <w:bCs/>
                <w:color w:val="auto"/>
                <w:sz w:val="18"/>
                <w:szCs w:val="18"/>
                <w:lang w:val="en-US" w:eastAsia="zh-CN"/>
              </w:rPr>
              <w:t>控制</w:t>
            </w:r>
            <w:r>
              <w:rPr>
                <w:rFonts w:hint="eastAsia"/>
                <w:bCs/>
                <w:color w:val="auto"/>
                <w:sz w:val="18"/>
                <w:szCs w:val="18"/>
                <w:lang w:val="en-US" w:eastAsia="zh-CN"/>
              </w:rPr>
              <w:t>电动机</w:t>
            </w:r>
          </w:p>
        </w:tc>
        <w:tc>
          <w:tcPr>
            <w:tcW w:w="785" w:type="pct"/>
            <w:vMerge w:val="restart"/>
            <w:noWrap w:val="0"/>
            <w:vAlign w:val="center"/>
          </w:tcPr>
          <w:p w14:paraId="6C237977">
            <w:pPr>
              <w:spacing w:line="200" w:lineRule="exact"/>
              <w:rPr>
                <w:rFonts w:hint="default" w:eastAsia="宋体"/>
                <w:bCs/>
                <w:color w:val="auto"/>
                <w:sz w:val="18"/>
                <w:szCs w:val="18"/>
                <w:lang w:val="en-US" w:eastAsia="zh-CN"/>
              </w:rPr>
            </w:pPr>
            <w:r>
              <w:rPr>
                <w:rFonts w:hint="eastAsia"/>
                <w:bCs/>
                <w:color w:val="auto"/>
                <w:sz w:val="18"/>
                <w:szCs w:val="18"/>
                <w:lang w:val="en-US" w:eastAsia="zh-CN"/>
              </w:rPr>
              <w:t>3</w:t>
            </w:r>
            <w:r>
              <w:rPr>
                <w:rFonts w:hint="eastAsia"/>
                <w:bCs/>
                <w:color w:val="auto"/>
                <w:sz w:val="18"/>
                <w:szCs w:val="18"/>
              </w:rPr>
              <w:t>.1</w:t>
            </w:r>
            <w:r>
              <w:rPr>
                <w:rFonts w:hint="eastAsia"/>
                <w:bCs/>
                <w:color w:val="auto"/>
                <w:sz w:val="18"/>
                <w:szCs w:val="18"/>
                <w:lang w:val="en-US" w:eastAsia="zh-CN"/>
              </w:rPr>
              <w:t>步进电动机的结构与工作原理，通电方式，主要特性</w:t>
            </w:r>
          </w:p>
        </w:tc>
        <w:tc>
          <w:tcPr>
            <w:tcW w:w="379" w:type="pct"/>
            <w:vMerge w:val="restart"/>
            <w:noWrap w:val="0"/>
            <w:vAlign w:val="center"/>
          </w:tcPr>
          <w:p w14:paraId="51FAD96F">
            <w:pPr>
              <w:spacing w:line="200" w:lineRule="exact"/>
              <w:jc w:val="center"/>
              <w:rPr>
                <w:rFonts w:hint="eastAsia"/>
                <w:color w:val="auto"/>
                <w:sz w:val="18"/>
                <w:szCs w:val="18"/>
              </w:rPr>
            </w:pPr>
            <w:r>
              <w:rPr>
                <w:rFonts w:hint="eastAsia"/>
                <w:color w:val="auto"/>
                <w:sz w:val="18"/>
                <w:szCs w:val="18"/>
              </w:rPr>
              <w:t>2</w:t>
            </w:r>
          </w:p>
        </w:tc>
        <w:tc>
          <w:tcPr>
            <w:tcW w:w="626" w:type="pct"/>
            <w:noWrap w:val="0"/>
            <w:vAlign w:val="center"/>
          </w:tcPr>
          <w:p w14:paraId="71795643">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699D9944">
            <w:pPr>
              <w:spacing w:line="200" w:lineRule="exact"/>
              <w:rPr>
                <w:rFonts w:hint="eastAsia"/>
                <w:color w:val="auto"/>
                <w:sz w:val="15"/>
                <w:szCs w:val="15"/>
              </w:rPr>
            </w:pPr>
            <w:r>
              <w:rPr>
                <w:rFonts w:hint="eastAsia"/>
                <w:color w:val="auto"/>
                <w:sz w:val="15"/>
                <w:szCs w:val="15"/>
              </w:rPr>
              <w:t>通过对比步距角、静态转矩、动态响应等核心特性参数，了解微小参数偏差会直接造成定位失准、丢步失控等问题，引导学生树立 “精密控制无小事” 的工程责任意识，恪守工程伦理，严守设备精度与安全生产底线。</w:t>
            </w:r>
          </w:p>
        </w:tc>
        <w:tc>
          <w:tcPr>
            <w:tcW w:w="613" w:type="pct"/>
            <w:vMerge w:val="restart"/>
            <w:noWrap w:val="0"/>
            <w:vAlign w:val="center"/>
          </w:tcPr>
          <w:p w14:paraId="6CB769D5">
            <w:pPr>
              <w:spacing w:line="200" w:lineRule="exact"/>
              <w:jc w:val="center"/>
              <w:rPr>
                <w:rFonts w:hint="eastAsia" w:eastAsia="宋体"/>
                <w:bCs/>
                <w:color w:val="auto"/>
                <w:sz w:val="18"/>
                <w:szCs w:val="18"/>
                <w:lang w:eastAsia="zh-CN"/>
              </w:rPr>
            </w:pPr>
            <w:r>
              <w:rPr>
                <w:rFonts w:hint="eastAsia"/>
                <w:bCs/>
                <w:color w:val="auto"/>
                <w:sz w:val="18"/>
                <w:szCs w:val="18"/>
              </w:rPr>
              <w:t>目标1.</w:t>
            </w:r>
            <w:r>
              <w:rPr>
                <w:rFonts w:hint="eastAsia"/>
                <w:bCs/>
                <w:color w:val="auto"/>
                <w:sz w:val="18"/>
                <w:szCs w:val="18"/>
                <w:lang w:val="en-US" w:eastAsia="zh-CN"/>
              </w:rPr>
              <w:t>5</w:t>
            </w:r>
            <w:r>
              <w:rPr>
                <w:rFonts w:hint="eastAsia"/>
                <w:bCs/>
                <w:color w:val="auto"/>
                <w:sz w:val="18"/>
                <w:szCs w:val="18"/>
              </w:rPr>
              <w:t>，2.</w:t>
            </w:r>
            <w:r>
              <w:rPr>
                <w:rFonts w:hint="eastAsia"/>
                <w:bCs/>
                <w:color w:val="auto"/>
                <w:sz w:val="18"/>
                <w:szCs w:val="18"/>
                <w:lang w:val="en-US" w:eastAsia="zh-CN"/>
              </w:rPr>
              <w:t>5</w:t>
            </w:r>
            <w:r>
              <w:rPr>
                <w:rFonts w:hint="eastAsia"/>
                <w:bCs/>
                <w:color w:val="auto"/>
                <w:sz w:val="18"/>
                <w:szCs w:val="18"/>
              </w:rPr>
              <w:t>，3.</w:t>
            </w:r>
            <w:r>
              <w:rPr>
                <w:rFonts w:hint="eastAsia"/>
                <w:bCs/>
                <w:color w:val="auto"/>
                <w:sz w:val="18"/>
                <w:szCs w:val="18"/>
                <w:lang w:val="en-US" w:eastAsia="zh-CN"/>
              </w:rPr>
              <w:t>5</w:t>
            </w:r>
          </w:p>
        </w:tc>
      </w:tr>
      <w:tr w14:paraId="2DF4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4F5376D">
            <w:pPr>
              <w:spacing w:line="200" w:lineRule="exact"/>
              <w:jc w:val="center"/>
              <w:rPr>
                <w:rFonts w:hint="eastAsia"/>
                <w:bCs/>
                <w:color w:val="auto"/>
                <w:sz w:val="18"/>
                <w:szCs w:val="18"/>
              </w:rPr>
            </w:pPr>
          </w:p>
        </w:tc>
        <w:tc>
          <w:tcPr>
            <w:tcW w:w="785" w:type="pct"/>
            <w:vMerge w:val="continue"/>
            <w:noWrap w:val="0"/>
            <w:vAlign w:val="center"/>
          </w:tcPr>
          <w:p w14:paraId="5097294A">
            <w:pPr>
              <w:spacing w:line="200" w:lineRule="exact"/>
              <w:jc w:val="center"/>
              <w:rPr>
                <w:rFonts w:hint="eastAsia"/>
                <w:bCs/>
                <w:color w:val="auto"/>
                <w:sz w:val="18"/>
                <w:szCs w:val="18"/>
              </w:rPr>
            </w:pPr>
          </w:p>
        </w:tc>
        <w:tc>
          <w:tcPr>
            <w:tcW w:w="379" w:type="pct"/>
            <w:vMerge w:val="continue"/>
            <w:noWrap w:val="0"/>
            <w:vAlign w:val="center"/>
          </w:tcPr>
          <w:p w14:paraId="217713BE">
            <w:pPr>
              <w:spacing w:line="200" w:lineRule="exact"/>
              <w:jc w:val="center"/>
              <w:rPr>
                <w:rFonts w:hint="eastAsia"/>
                <w:color w:val="auto"/>
                <w:sz w:val="18"/>
                <w:szCs w:val="18"/>
              </w:rPr>
            </w:pPr>
          </w:p>
        </w:tc>
        <w:tc>
          <w:tcPr>
            <w:tcW w:w="626" w:type="pct"/>
            <w:noWrap w:val="0"/>
            <w:vAlign w:val="center"/>
          </w:tcPr>
          <w:p w14:paraId="19F1A756">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38F79152">
            <w:pPr>
              <w:spacing w:line="200" w:lineRule="exact"/>
              <w:rPr>
                <w:color w:val="auto"/>
                <w:sz w:val="15"/>
                <w:szCs w:val="15"/>
              </w:rPr>
            </w:pPr>
            <w:r>
              <w:rPr>
                <w:rFonts w:hint="eastAsia"/>
                <w:b/>
                <w:bCs/>
                <w:color w:val="auto"/>
                <w:sz w:val="15"/>
                <w:szCs w:val="15"/>
              </w:rPr>
              <w:t>知识层面：</w:t>
            </w:r>
            <w:r>
              <w:rPr>
                <w:rFonts w:hint="eastAsia"/>
                <w:color w:val="auto"/>
                <w:sz w:val="15"/>
                <w:szCs w:val="15"/>
              </w:rPr>
              <w:t>学生掌握步进电动机基本结构与步进运转工作原理，熟悉各类通电方式的特点，掌握步距角、转矩、启停特性等关键性能参数及变化规律。</w:t>
            </w:r>
          </w:p>
          <w:p w14:paraId="6A34BE40">
            <w:pPr>
              <w:spacing w:line="200" w:lineRule="exact"/>
              <w:rPr>
                <w:color w:val="auto"/>
                <w:sz w:val="15"/>
                <w:szCs w:val="15"/>
              </w:rPr>
            </w:pPr>
            <w:r>
              <w:rPr>
                <w:rFonts w:hint="eastAsia"/>
                <w:b/>
                <w:bCs/>
                <w:color w:val="auto"/>
                <w:sz w:val="15"/>
                <w:szCs w:val="15"/>
              </w:rPr>
              <w:t>能力层面：</w:t>
            </w:r>
            <w:r>
              <w:rPr>
                <w:rFonts w:hint="eastAsia"/>
                <w:color w:val="auto"/>
                <w:sz w:val="15"/>
                <w:szCs w:val="15"/>
              </w:rPr>
              <w:t>能够根据通电方式分析电机运行状态，结合步进电机机械与电气特性判断设备工作工况，具备初步的参数匹配、运行分析和故障判别能力。</w:t>
            </w:r>
          </w:p>
          <w:p w14:paraId="56CC94C6">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培养严谨求实、精益求精的工匠精神，树立精密控制无小事的安全责任意识，立足国产精密电机技术发展，树立科技自立自强与绿色节能的工程素养。</w:t>
            </w:r>
          </w:p>
        </w:tc>
        <w:tc>
          <w:tcPr>
            <w:tcW w:w="613" w:type="pct"/>
            <w:vMerge w:val="continue"/>
            <w:noWrap w:val="0"/>
            <w:vAlign w:val="center"/>
          </w:tcPr>
          <w:p w14:paraId="315EC0D9">
            <w:pPr>
              <w:spacing w:line="200" w:lineRule="exact"/>
              <w:jc w:val="center"/>
              <w:rPr>
                <w:rFonts w:hint="eastAsia"/>
                <w:bCs/>
                <w:color w:val="auto"/>
                <w:sz w:val="18"/>
                <w:szCs w:val="18"/>
              </w:rPr>
            </w:pPr>
          </w:p>
        </w:tc>
      </w:tr>
      <w:tr w14:paraId="5C52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A74F9DF">
            <w:pPr>
              <w:spacing w:line="200" w:lineRule="exact"/>
              <w:jc w:val="center"/>
              <w:rPr>
                <w:rFonts w:hint="eastAsia"/>
                <w:bCs/>
                <w:color w:val="auto"/>
                <w:sz w:val="18"/>
                <w:szCs w:val="18"/>
              </w:rPr>
            </w:pPr>
          </w:p>
        </w:tc>
        <w:tc>
          <w:tcPr>
            <w:tcW w:w="785" w:type="pct"/>
            <w:vMerge w:val="continue"/>
            <w:noWrap w:val="0"/>
            <w:vAlign w:val="center"/>
          </w:tcPr>
          <w:p w14:paraId="6A2D2DCB">
            <w:pPr>
              <w:spacing w:line="200" w:lineRule="exact"/>
              <w:jc w:val="center"/>
              <w:rPr>
                <w:rFonts w:hint="eastAsia"/>
                <w:bCs/>
                <w:color w:val="auto"/>
                <w:sz w:val="18"/>
                <w:szCs w:val="18"/>
              </w:rPr>
            </w:pPr>
          </w:p>
        </w:tc>
        <w:tc>
          <w:tcPr>
            <w:tcW w:w="379" w:type="pct"/>
            <w:vMerge w:val="continue"/>
            <w:noWrap w:val="0"/>
            <w:vAlign w:val="center"/>
          </w:tcPr>
          <w:p w14:paraId="17006B0B">
            <w:pPr>
              <w:spacing w:line="200" w:lineRule="exact"/>
              <w:jc w:val="center"/>
              <w:rPr>
                <w:rFonts w:hint="eastAsia"/>
                <w:color w:val="auto"/>
                <w:sz w:val="18"/>
                <w:szCs w:val="18"/>
              </w:rPr>
            </w:pPr>
          </w:p>
        </w:tc>
        <w:tc>
          <w:tcPr>
            <w:tcW w:w="626" w:type="pct"/>
            <w:noWrap w:val="0"/>
            <w:vAlign w:val="center"/>
          </w:tcPr>
          <w:p w14:paraId="41E386C5">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4B6CE920">
            <w:pPr>
              <w:spacing w:line="200" w:lineRule="exact"/>
              <w:jc w:val="center"/>
              <w:rPr>
                <w:rFonts w:hint="eastAsia"/>
                <w:color w:val="auto"/>
                <w:sz w:val="15"/>
                <w:szCs w:val="15"/>
              </w:rPr>
            </w:pPr>
            <w:r>
              <w:rPr>
                <w:rFonts w:hint="eastAsia"/>
                <w:color w:val="auto"/>
                <w:sz w:val="15"/>
                <w:szCs w:val="15"/>
              </w:rPr>
              <w:t>讲授、案例、互动</w:t>
            </w:r>
          </w:p>
        </w:tc>
        <w:tc>
          <w:tcPr>
            <w:tcW w:w="613" w:type="pct"/>
            <w:vMerge w:val="continue"/>
            <w:noWrap w:val="0"/>
            <w:vAlign w:val="center"/>
          </w:tcPr>
          <w:p w14:paraId="7D68119A">
            <w:pPr>
              <w:spacing w:line="200" w:lineRule="exact"/>
              <w:jc w:val="center"/>
              <w:rPr>
                <w:rFonts w:hint="eastAsia"/>
                <w:bCs/>
                <w:color w:val="auto"/>
                <w:sz w:val="18"/>
                <w:szCs w:val="18"/>
              </w:rPr>
            </w:pPr>
          </w:p>
        </w:tc>
      </w:tr>
      <w:tr w14:paraId="0B63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126F20C">
            <w:pPr>
              <w:spacing w:line="200" w:lineRule="exact"/>
              <w:jc w:val="center"/>
              <w:rPr>
                <w:rFonts w:hint="eastAsia"/>
                <w:bCs/>
                <w:color w:val="auto"/>
                <w:sz w:val="18"/>
                <w:szCs w:val="18"/>
              </w:rPr>
            </w:pPr>
          </w:p>
        </w:tc>
        <w:tc>
          <w:tcPr>
            <w:tcW w:w="785" w:type="pct"/>
            <w:vMerge w:val="restart"/>
            <w:noWrap w:val="0"/>
            <w:vAlign w:val="center"/>
          </w:tcPr>
          <w:p w14:paraId="6C6C06A6">
            <w:pPr>
              <w:spacing w:line="200" w:lineRule="exact"/>
              <w:rPr>
                <w:rFonts w:hint="default" w:eastAsia="宋体"/>
                <w:bCs/>
                <w:color w:val="auto"/>
                <w:sz w:val="18"/>
                <w:szCs w:val="18"/>
                <w:lang w:val="en-US" w:eastAsia="zh-CN"/>
              </w:rPr>
            </w:pPr>
            <w:r>
              <w:rPr>
                <w:rFonts w:hint="eastAsia"/>
                <w:bCs/>
                <w:color w:val="auto"/>
                <w:sz w:val="18"/>
                <w:szCs w:val="18"/>
                <w:lang w:val="en-US" w:eastAsia="zh-CN"/>
              </w:rPr>
              <w:t>3</w:t>
            </w:r>
            <w:r>
              <w:rPr>
                <w:rFonts w:hint="eastAsia"/>
                <w:bCs/>
                <w:color w:val="auto"/>
                <w:sz w:val="18"/>
                <w:szCs w:val="18"/>
              </w:rPr>
              <w:t>.2</w:t>
            </w:r>
            <w:r>
              <w:rPr>
                <w:rFonts w:hint="eastAsia"/>
                <w:bCs/>
                <w:color w:val="auto"/>
                <w:sz w:val="18"/>
                <w:szCs w:val="18"/>
                <w:lang w:val="en-US" w:eastAsia="zh-CN"/>
              </w:rPr>
              <w:t>直流、</w:t>
            </w:r>
            <w:r>
              <w:rPr>
                <w:rFonts w:hint="eastAsia"/>
                <w:bCs/>
                <w:color w:val="auto"/>
                <w:sz w:val="18"/>
                <w:szCs w:val="18"/>
                <w:lang w:val="en-US" w:eastAsia="zh-CN"/>
              </w:rPr>
              <w:t>交流伺服电动机，力矩电机</w:t>
            </w:r>
          </w:p>
        </w:tc>
        <w:tc>
          <w:tcPr>
            <w:tcW w:w="379" w:type="pct"/>
            <w:vMerge w:val="restart"/>
            <w:noWrap w:val="0"/>
            <w:vAlign w:val="center"/>
          </w:tcPr>
          <w:p w14:paraId="2407A8CB">
            <w:pPr>
              <w:spacing w:line="200" w:lineRule="exact"/>
              <w:jc w:val="center"/>
              <w:rPr>
                <w:rFonts w:hint="eastAsia" w:eastAsia="宋体"/>
                <w:color w:val="auto"/>
                <w:sz w:val="18"/>
                <w:szCs w:val="18"/>
                <w:lang w:eastAsia="zh-CN"/>
              </w:rPr>
            </w:pPr>
            <w:r>
              <w:rPr>
                <w:rFonts w:hint="eastAsia"/>
                <w:color w:val="auto"/>
                <w:sz w:val="18"/>
                <w:szCs w:val="18"/>
                <w:lang w:val="en-US" w:eastAsia="zh-CN"/>
              </w:rPr>
              <w:t>4</w:t>
            </w:r>
          </w:p>
        </w:tc>
        <w:tc>
          <w:tcPr>
            <w:tcW w:w="626" w:type="pct"/>
            <w:noWrap w:val="0"/>
            <w:vAlign w:val="center"/>
          </w:tcPr>
          <w:p w14:paraId="4AE87F9A">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037C8044">
            <w:pPr>
              <w:spacing w:line="200" w:lineRule="exact"/>
              <w:jc w:val="left"/>
              <w:rPr>
                <w:rFonts w:hint="eastAsia" w:eastAsia="宋体"/>
                <w:color w:val="auto"/>
                <w:sz w:val="15"/>
                <w:szCs w:val="15"/>
                <w:lang w:eastAsia="zh-CN"/>
              </w:rPr>
            </w:pPr>
            <w:r>
              <w:rPr>
                <w:rFonts w:hint="eastAsia"/>
                <w:color w:val="auto"/>
                <w:sz w:val="15"/>
                <w:szCs w:val="15"/>
              </w:rPr>
              <w:t>通过认识伺服电机、力矩电机广泛应用于工业机器人、高端数控机床、航空航天、精密智能制造等国家核心领域的重要价值，引导学生认清专业技术的战略意义，树立扎根专业、服务制造强国建设的家国情怀与时代责任</w:t>
            </w:r>
            <w:r>
              <w:rPr>
                <w:rFonts w:hint="eastAsia"/>
                <w:color w:val="auto"/>
                <w:sz w:val="15"/>
                <w:szCs w:val="15"/>
                <w:lang w:eastAsia="zh-CN"/>
              </w:rPr>
              <w:t>。</w:t>
            </w:r>
          </w:p>
        </w:tc>
        <w:tc>
          <w:tcPr>
            <w:tcW w:w="613" w:type="pct"/>
            <w:vMerge w:val="continue"/>
            <w:noWrap w:val="0"/>
            <w:vAlign w:val="center"/>
          </w:tcPr>
          <w:p w14:paraId="423CE275">
            <w:pPr>
              <w:spacing w:line="200" w:lineRule="exact"/>
              <w:jc w:val="center"/>
              <w:rPr>
                <w:rFonts w:hint="eastAsia"/>
                <w:bCs/>
                <w:color w:val="auto"/>
                <w:sz w:val="18"/>
                <w:szCs w:val="18"/>
              </w:rPr>
            </w:pPr>
          </w:p>
        </w:tc>
      </w:tr>
      <w:tr w14:paraId="20C8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2D34556">
            <w:pPr>
              <w:spacing w:line="200" w:lineRule="exact"/>
              <w:jc w:val="center"/>
              <w:rPr>
                <w:rFonts w:hint="eastAsia"/>
                <w:bCs/>
                <w:color w:val="auto"/>
                <w:sz w:val="18"/>
                <w:szCs w:val="18"/>
              </w:rPr>
            </w:pPr>
          </w:p>
        </w:tc>
        <w:tc>
          <w:tcPr>
            <w:tcW w:w="785" w:type="pct"/>
            <w:vMerge w:val="continue"/>
            <w:noWrap w:val="0"/>
            <w:vAlign w:val="center"/>
          </w:tcPr>
          <w:p w14:paraId="68947B5B">
            <w:pPr>
              <w:spacing w:line="200" w:lineRule="exact"/>
              <w:jc w:val="center"/>
              <w:rPr>
                <w:rFonts w:hint="eastAsia"/>
                <w:bCs/>
                <w:color w:val="auto"/>
                <w:sz w:val="18"/>
                <w:szCs w:val="18"/>
              </w:rPr>
            </w:pPr>
          </w:p>
        </w:tc>
        <w:tc>
          <w:tcPr>
            <w:tcW w:w="379" w:type="pct"/>
            <w:vMerge w:val="continue"/>
            <w:noWrap w:val="0"/>
            <w:vAlign w:val="center"/>
          </w:tcPr>
          <w:p w14:paraId="5323F63C">
            <w:pPr>
              <w:spacing w:line="200" w:lineRule="exact"/>
              <w:jc w:val="center"/>
              <w:rPr>
                <w:rFonts w:hint="eastAsia"/>
                <w:color w:val="auto"/>
                <w:sz w:val="18"/>
                <w:szCs w:val="18"/>
              </w:rPr>
            </w:pPr>
          </w:p>
        </w:tc>
        <w:tc>
          <w:tcPr>
            <w:tcW w:w="626" w:type="pct"/>
            <w:noWrap w:val="0"/>
            <w:vAlign w:val="center"/>
          </w:tcPr>
          <w:p w14:paraId="07FBDDA2">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268EFBAB">
            <w:pPr>
              <w:spacing w:line="200" w:lineRule="exact"/>
              <w:rPr>
                <w:color w:val="auto"/>
                <w:sz w:val="15"/>
                <w:szCs w:val="15"/>
              </w:rPr>
            </w:pPr>
            <w:r>
              <w:rPr>
                <w:rFonts w:hint="eastAsia"/>
                <w:b/>
                <w:bCs/>
                <w:color w:val="auto"/>
                <w:sz w:val="15"/>
                <w:szCs w:val="15"/>
              </w:rPr>
              <w:t>知识层面：</w:t>
            </w:r>
            <w:r>
              <w:rPr>
                <w:rFonts w:hint="eastAsia"/>
                <w:color w:val="auto"/>
                <w:sz w:val="15"/>
                <w:szCs w:val="15"/>
              </w:rPr>
              <w:t>学生掌握交直流伺服电机、力矩电机的基本工作原理与结构特点，熟知其高精度、快响应、恒力矩等核心特性及不同工况的应用规律。</w:t>
            </w:r>
          </w:p>
          <w:p w14:paraId="1F41306C">
            <w:pPr>
              <w:spacing w:line="200" w:lineRule="exact"/>
              <w:rPr>
                <w:color w:val="auto"/>
                <w:sz w:val="15"/>
                <w:szCs w:val="15"/>
              </w:rPr>
            </w:pPr>
            <w:r>
              <w:rPr>
                <w:rFonts w:hint="eastAsia"/>
                <w:b/>
                <w:bCs/>
                <w:color w:val="auto"/>
                <w:sz w:val="15"/>
                <w:szCs w:val="15"/>
              </w:rPr>
              <w:t>能力层面：</w:t>
            </w:r>
            <w:r>
              <w:rPr>
                <w:rFonts w:hint="eastAsia"/>
                <w:color w:val="auto"/>
                <w:sz w:val="15"/>
                <w:szCs w:val="15"/>
              </w:rPr>
              <w:t>能够区分伺服电机与力矩电机的性能差异，可结合工况合理选型匹配参数，具备分析设备运行状态、排查精密传动常见故障的基础能力。</w:t>
            </w:r>
          </w:p>
          <w:p w14:paraId="752B9FE3">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养成严谨求实、精益求精的工匠精神，树立精密控制安全责任意识与绿色节能理念，立足国产伺服技术突破，厚植科技自立自强的报国情怀。</w:t>
            </w:r>
          </w:p>
        </w:tc>
        <w:tc>
          <w:tcPr>
            <w:tcW w:w="613" w:type="pct"/>
            <w:vMerge w:val="continue"/>
            <w:noWrap w:val="0"/>
            <w:vAlign w:val="center"/>
          </w:tcPr>
          <w:p w14:paraId="474D1666">
            <w:pPr>
              <w:spacing w:line="200" w:lineRule="exact"/>
              <w:jc w:val="center"/>
              <w:rPr>
                <w:rFonts w:hint="eastAsia"/>
                <w:bCs/>
                <w:color w:val="auto"/>
                <w:sz w:val="18"/>
                <w:szCs w:val="18"/>
              </w:rPr>
            </w:pPr>
          </w:p>
        </w:tc>
      </w:tr>
      <w:tr w14:paraId="5E3F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E9BD8CB">
            <w:pPr>
              <w:spacing w:line="200" w:lineRule="exact"/>
              <w:jc w:val="center"/>
              <w:rPr>
                <w:rFonts w:hint="eastAsia"/>
                <w:bCs/>
                <w:color w:val="auto"/>
                <w:sz w:val="18"/>
                <w:szCs w:val="18"/>
              </w:rPr>
            </w:pPr>
          </w:p>
        </w:tc>
        <w:tc>
          <w:tcPr>
            <w:tcW w:w="785" w:type="pct"/>
            <w:vMerge w:val="continue"/>
            <w:noWrap w:val="0"/>
            <w:vAlign w:val="center"/>
          </w:tcPr>
          <w:p w14:paraId="4CEFA76E">
            <w:pPr>
              <w:spacing w:line="200" w:lineRule="exact"/>
              <w:jc w:val="center"/>
              <w:rPr>
                <w:rFonts w:hint="eastAsia"/>
                <w:bCs/>
                <w:color w:val="auto"/>
                <w:sz w:val="18"/>
                <w:szCs w:val="18"/>
              </w:rPr>
            </w:pPr>
          </w:p>
        </w:tc>
        <w:tc>
          <w:tcPr>
            <w:tcW w:w="379" w:type="pct"/>
            <w:vMerge w:val="continue"/>
            <w:noWrap w:val="0"/>
            <w:vAlign w:val="center"/>
          </w:tcPr>
          <w:p w14:paraId="43BAB75C">
            <w:pPr>
              <w:spacing w:line="200" w:lineRule="exact"/>
              <w:jc w:val="center"/>
              <w:rPr>
                <w:rFonts w:hint="eastAsia"/>
                <w:color w:val="auto"/>
                <w:sz w:val="18"/>
                <w:szCs w:val="18"/>
              </w:rPr>
            </w:pPr>
          </w:p>
        </w:tc>
        <w:tc>
          <w:tcPr>
            <w:tcW w:w="626" w:type="pct"/>
            <w:noWrap w:val="0"/>
            <w:vAlign w:val="center"/>
          </w:tcPr>
          <w:p w14:paraId="1CC6E68F">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69DA0065">
            <w:pPr>
              <w:spacing w:line="200" w:lineRule="exact"/>
              <w:jc w:val="center"/>
              <w:rPr>
                <w:rFonts w:hint="eastAsia"/>
                <w:color w:val="auto"/>
                <w:sz w:val="15"/>
                <w:szCs w:val="15"/>
              </w:rPr>
            </w:pPr>
            <w:r>
              <w:rPr>
                <w:rFonts w:hint="eastAsia"/>
                <w:color w:val="auto"/>
                <w:sz w:val="15"/>
                <w:szCs w:val="15"/>
              </w:rPr>
              <w:t>讲授、练习、研讨、互动</w:t>
            </w:r>
          </w:p>
        </w:tc>
        <w:tc>
          <w:tcPr>
            <w:tcW w:w="613" w:type="pct"/>
            <w:vMerge w:val="continue"/>
            <w:noWrap w:val="0"/>
            <w:vAlign w:val="center"/>
          </w:tcPr>
          <w:p w14:paraId="56C5C7D1">
            <w:pPr>
              <w:spacing w:line="200" w:lineRule="exact"/>
              <w:jc w:val="center"/>
              <w:rPr>
                <w:rFonts w:hint="eastAsia"/>
                <w:bCs/>
                <w:color w:val="auto"/>
                <w:sz w:val="18"/>
                <w:szCs w:val="18"/>
              </w:rPr>
            </w:pPr>
          </w:p>
        </w:tc>
      </w:tr>
      <w:tr w14:paraId="2F05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259F3F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第四单元</w:t>
            </w:r>
          </w:p>
          <w:p w14:paraId="4425D2D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bCs/>
                <w:color w:val="auto"/>
                <w:sz w:val="18"/>
                <w:szCs w:val="18"/>
                <w:lang w:val="en-US" w:eastAsia="zh-CN"/>
              </w:rPr>
            </w:pPr>
            <w:r>
              <w:rPr>
                <w:rFonts w:hint="eastAsia"/>
                <w:bCs/>
                <w:color w:val="auto"/>
                <w:sz w:val="18"/>
                <w:szCs w:val="18"/>
                <w:lang w:val="en-US" w:eastAsia="zh-CN"/>
              </w:rPr>
              <w:t>继电器</w:t>
            </w:r>
            <w:r>
              <w:rPr>
                <w:rFonts w:hint="eastAsia"/>
                <w:bCs/>
                <w:color w:val="auto"/>
                <w:sz w:val="18"/>
                <w:szCs w:val="18"/>
                <w:lang w:val="en-US" w:eastAsia="zh-CN"/>
              </w:rPr>
              <w:t>-接触器控制</w:t>
            </w:r>
          </w:p>
        </w:tc>
        <w:tc>
          <w:tcPr>
            <w:tcW w:w="785" w:type="pct"/>
            <w:vMerge w:val="restart"/>
            <w:noWrap w:val="0"/>
            <w:vAlign w:val="center"/>
          </w:tcPr>
          <w:p w14:paraId="247BA58E">
            <w:pPr>
              <w:spacing w:line="200" w:lineRule="exact"/>
              <w:rPr>
                <w:rFonts w:hint="default" w:eastAsia="宋体"/>
                <w:bCs/>
                <w:color w:val="auto"/>
                <w:sz w:val="18"/>
                <w:szCs w:val="18"/>
                <w:lang w:val="en-US" w:eastAsia="zh-CN"/>
              </w:rPr>
            </w:pPr>
            <w:r>
              <w:rPr>
                <w:rFonts w:hint="eastAsia"/>
                <w:color w:val="auto"/>
                <w:sz w:val="18"/>
                <w:szCs w:val="18"/>
                <w:lang w:val="en-US" w:eastAsia="zh-CN"/>
              </w:rPr>
              <w:t>4</w:t>
            </w:r>
            <w:r>
              <w:rPr>
                <w:rFonts w:hint="eastAsia"/>
                <w:color w:val="auto"/>
                <w:sz w:val="18"/>
                <w:szCs w:val="18"/>
              </w:rPr>
              <w:t>.1</w:t>
            </w:r>
            <w:r>
              <w:rPr>
                <w:rFonts w:hint="eastAsia"/>
                <w:color w:val="auto"/>
                <w:sz w:val="18"/>
                <w:szCs w:val="18"/>
                <w:lang w:val="en-US" w:eastAsia="zh-CN"/>
              </w:rPr>
              <w:t>常用控制电器</w:t>
            </w:r>
          </w:p>
        </w:tc>
        <w:tc>
          <w:tcPr>
            <w:tcW w:w="379" w:type="pct"/>
            <w:vMerge w:val="restart"/>
            <w:noWrap w:val="0"/>
            <w:vAlign w:val="center"/>
          </w:tcPr>
          <w:p w14:paraId="141384D4">
            <w:pPr>
              <w:spacing w:line="200" w:lineRule="exact"/>
              <w:jc w:val="center"/>
              <w:rPr>
                <w:rFonts w:hint="eastAsia"/>
                <w:color w:val="auto"/>
                <w:sz w:val="18"/>
                <w:szCs w:val="18"/>
              </w:rPr>
            </w:pPr>
            <w:r>
              <w:rPr>
                <w:rFonts w:hint="eastAsia"/>
                <w:color w:val="auto"/>
                <w:sz w:val="18"/>
                <w:szCs w:val="18"/>
              </w:rPr>
              <w:t>2</w:t>
            </w:r>
          </w:p>
        </w:tc>
        <w:tc>
          <w:tcPr>
            <w:tcW w:w="626" w:type="pct"/>
            <w:noWrap w:val="0"/>
            <w:vAlign w:val="center"/>
          </w:tcPr>
          <w:p w14:paraId="50203F2F">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D8A103D">
            <w:pPr>
              <w:spacing w:line="200" w:lineRule="exact"/>
              <w:rPr>
                <w:rFonts w:hint="eastAsia"/>
                <w:color w:val="auto"/>
                <w:sz w:val="15"/>
                <w:szCs w:val="15"/>
              </w:rPr>
            </w:pPr>
            <w:r>
              <w:rPr>
                <w:rFonts w:hint="eastAsia"/>
                <w:color w:val="auto"/>
                <w:sz w:val="15"/>
                <w:szCs w:val="15"/>
              </w:rPr>
              <w:t>通过了解每一个低压电器元件虽小巧但承担电路控制、保护、通断核心作用，任一元件失效都会导致整套设备瘫痪，引导学生树立细节决定成败的职业认知，培养精益求精、严谨细致的工匠精神。</w:t>
            </w:r>
          </w:p>
        </w:tc>
        <w:tc>
          <w:tcPr>
            <w:tcW w:w="613" w:type="pct"/>
            <w:vMerge w:val="restart"/>
            <w:noWrap w:val="0"/>
            <w:vAlign w:val="center"/>
          </w:tcPr>
          <w:p w14:paraId="5352EE43">
            <w:pPr>
              <w:spacing w:line="200" w:lineRule="exact"/>
              <w:jc w:val="center"/>
              <w:rPr>
                <w:rFonts w:hint="eastAsia" w:eastAsia="宋体"/>
                <w:bCs/>
                <w:color w:val="auto"/>
                <w:sz w:val="18"/>
                <w:szCs w:val="18"/>
                <w:lang w:eastAsia="zh-CN"/>
              </w:rPr>
            </w:pPr>
            <w:r>
              <w:rPr>
                <w:rFonts w:hint="eastAsia"/>
                <w:bCs/>
                <w:color w:val="auto"/>
                <w:sz w:val="18"/>
                <w:szCs w:val="18"/>
              </w:rPr>
              <w:t>目标1.</w:t>
            </w:r>
            <w:r>
              <w:rPr>
                <w:rFonts w:hint="eastAsia"/>
                <w:bCs/>
                <w:color w:val="auto"/>
                <w:sz w:val="18"/>
                <w:szCs w:val="18"/>
                <w:lang w:val="en-US" w:eastAsia="zh-CN"/>
              </w:rPr>
              <w:t>6</w:t>
            </w:r>
            <w:r>
              <w:rPr>
                <w:rFonts w:hint="eastAsia"/>
                <w:bCs/>
                <w:color w:val="auto"/>
                <w:sz w:val="18"/>
                <w:szCs w:val="18"/>
              </w:rPr>
              <w:t>，2.</w:t>
            </w:r>
            <w:r>
              <w:rPr>
                <w:rFonts w:hint="eastAsia"/>
                <w:bCs/>
                <w:color w:val="auto"/>
                <w:sz w:val="18"/>
                <w:szCs w:val="18"/>
                <w:lang w:val="en-US" w:eastAsia="zh-CN"/>
              </w:rPr>
              <w:t>6</w:t>
            </w:r>
            <w:r>
              <w:rPr>
                <w:rFonts w:hint="eastAsia"/>
                <w:bCs/>
                <w:color w:val="auto"/>
                <w:sz w:val="18"/>
                <w:szCs w:val="18"/>
              </w:rPr>
              <w:t>，3.</w:t>
            </w:r>
            <w:r>
              <w:rPr>
                <w:rFonts w:hint="eastAsia"/>
                <w:bCs/>
                <w:color w:val="auto"/>
                <w:sz w:val="18"/>
                <w:szCs w:val="18"/>
                <w:lang w:val="en-US" w:eastAsia="zh-CN"/>
              </w:rPr>
              <w:t>6</w:t>
            </w:r>
          </w:p>
        </w:tc>
      </w:tr>
      <w:tr w14:paraId="7DCE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724FF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59849EC9">
            <w:pPr>
              <w:spacing w:line="200" w:lineRule="exact"/>
              <w:rPr>
                <w:rFonts w:hint="eastAsia"/>
                <w:bCs/>
                <w:color w:val="auto"/>
                <w:sz w:val="18"/>
                <w:szCs w:val="18"/>
              </w:rPr>
            </w:pPr>
          </w:p>
        </w:tc>
        <w:tc>
          <w:tcPr>
            <w:tcW w:w="379" w:type="pct"/>
            <w:vMerge w:val="continue"/>
            <w:noWrap w:val="0"/>
            <w:vAlign w:val="center"/>
          </w:tcPr>
          <w:p w14:paraId="752C7CB3">
            <w:pPr>
              <w:spacing w:line="200" w:lineRule="exact"/>
              <w:jc w:val="center"/>
              <w:rPr>
                <w:rFonts w:hint="eastAsia"/>
                <w:color w:val="auto"/>
                <w:sz w:val="18"/>
                <w:szCs w:val="18"/>
              </w:rPr>
            </w:pPr>
          </w:p>
        </w:tc>
        <w:tc>
          <w:tcPr>
            <w:tcW w:w="626" w:type="pct"/>
            <w:noWrap w:val="0"/>
            <w:vAlign w:val="center"/>
          </w:tcPr>
          <w:p w14:paraId="2FAD9CB1">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273221D4">
            <w:pPr>
              <w:spacing w:line="200" w:lineRule="exact"/>
              <w:rPr>
                <w:rFonts w:hint="eastAsia"/>
                <w:color w:val="auto"/>
                <w:sz w:val="15"/>
                <w:szCs w:val="15"/>
              </w:rPr>
            </w:pPr>
            <w:r>
              <w:rPr>
                <w:rFonts w:hint="eastAsia"/>
                <w:b/>
                <w:bCs/>
                <w:color w:val="auto"/>
                <w:sz w:val="15"/>
                <w:szCs w:val="15"/>
              </w:rPr>
              <w:t>知识层面：</w:t>
            </w:r>
            <w:r>
              <w:rPr>
                <w:rFonts w:hint="eastAsia"/>
                <w:color w:val="auto"/>
                <w:sz w:val="15"/>
                <w:szCs w:val="15"/>
              </w:rPr>
              <w:t>学生掌握接触器、继电器、熔断器等常用控制电器的结构、工作原理与功能特性，熟知电器选型规范、保护原理及电路适配基础知识。</w:t>
            </w:r>
          </w:p>
          <w:p w14:paraId="5BCB9F97">
            <w:pPr>
              <w:spacing w:line="200" w:lineRule="exact"/>
              <w:rPr>
                <w:rFonts w:hint="eastAsia"/>
                <w:color w:val="auto"/>
                <w:sz w:val="15"/>
                <w:szCs w:val="15"/>
              </w:rPr>
            </w:pPr>
            <w:r>
              <w:rPr>
                <w:rFonts w:hint="eastAsia"/>
                <w:b/>
                <w:bCs/>
                <w:color w:val="auto"/>
                <w:sz w:val="15"/>
                <w:szCs w:val="15"/>
              </w:rPr>
              <w:t>能力层面：</w:t>
            </w:r>
            <w:r>
              <w:rPr>
                <w:rFonts w:hint="eastAsia"/>
                <w:color w:val="auto"/>
                <w:sz w:val="15"/>
                <w:szCs w:val="15"/>
              </w:rPr>
              <w:t>能够准确识别各类控制电器，合理完成电器选型与接线应用，可初步排查因电器故障、选型失误引发的电路异常与设备故障。</w:t>
            </w:r>
          </w:p>
          <w:p w14:paraId="2EF425C9">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养成严谨规范的治学态度与精益求精的工匠精神，严守电气安全底线，树立绿色节能理念，依托国产电器发展厚植科技报国的责任担当。</w:t>
            </w:r>
          </w:p>
        </w:tc>
        <w:tc>
          <w:tcPr>
            <w:tcW w:w="613" w:type="pct"/>
            <w:vMerge w:val="continue"/>
            <w:noWrap w:val="0"/>
            <w:vAlign w:val="center"/>
          </w:tcPr>
          <w:p w14:paraId="2008073C">
            <w:pPr>
              <w:spacing w:line="200" w:lineRule="exact"/>
              <w:jc w:val="center"/>
              <w:rPr>
                <w:rFonts w:hint="eastAsia"/>
                <w:bCs/>
                <w:color w:val="auto"/>
                <w:sz w:val="18"/>
                <w:szCs w:val="18"/>
              </w:rPr>
            </w:pPr>
          </w:p>
        </w:tc>
      </w:tr>
      <w:tr w14:paraId="05A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D0921D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56962220">
            <w:pPr>
              <w:spacing w:line="200" w:lineRule="exact"/>
              <w:rPr>
                <w:rFonts w:hint="eastAsia"/>
                <w:bCs/>
                <w:color w:val="auto"/>
                <w:sz w:val="18"/>
                <w:szCs w:val="18"/>
              </w:rPr>
            </w:pPr>
          </w:p>
        </w:tc>
        <w:tc>
          <w:tcPr>
            <w:tcW w:w="379" w:type="pct"/>
            <w:vMerge w:val="continue"/>
            <w:noWrap w:val="0"/>
            <w:vAlign w:val="center"/>
          </w:tcPr>
          <w:p w14:paraId="172DB4CB">
            <w:pPr>
              <w:spacing w:line="200" w:lineRule="exact"/>
              <w:jc w:val="center"/>
              <w:rPr>
                <w:rFonts w:hint="eastAsia"/>
                <w:color w:val="auto"/>
                <w:sz w:val="18"/>
                <w:szCs w:val="18"/>
              </w:rPr>
            </w:pPr>
          </w:p>
        </w:tc>
        <w:tc>
          <w:tcPr>
            <w:tcW w:w="626" w:type="pct"/>
            <w:noWrap w:val="0"/>
            <w:vAlign w:val="center"/>
          </w:tcPr>
          <w:p w14:paraId="4062B0AA">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2C2012A6">
            <w:pPr>
              <w:spacing w:line="200" w:lineRule="exact"/>
              <w:jc w:val="center"/>
              <w:rPr>
                <w:rFonts w:hint="eastAsia"/>
                <w:color w:val="auto"/>
                <w:sz w:val="15"/>
                <w:szCs w:val="15"/>
              </w:rPr>
            </w:pPr>
            <w:r>
              <w:rPr>
                <w:rFonts w:hint="eastAsia"/>
                <w:color w:val="auto"/>
                <w:sz w:val="15"/>
                <w:szCs w:val="15"/>
              </w:rPr>
              <w:t>讲授、案例、练习、研讨、互动</w:t>
            </w:r>
          </w:p>
        </w:tc>
        <w:tc>
          <w:tcPr>
            <w:tcW w:w="613" w:type="pct"/>
            <w:vMerge w:val="continue"/>
            <w:noWrap w:val="0"/>
            <w:vAlign w:val="center"/>
          </w:tcPr>
          <w:p w14:paraId="4C27B6DC">
            <w:pPr>
              <w:spacing w:line="200" w:lineRule="exact"/>
              <w:jc w:val="center"/>
              <w:rPr>
                <w:rFonts w:hint="eastAsia"/>
                <w:bCs/>
                <w:color w:val="auto"/>
                <w:sz w:val="18"/>
                <w:szCs w:val="18"/>
              </w:rPr>
            </w:pPr>
          </w:p>
        </w:tc>
      </w:tr>
      <w:tr w14:paraId="0D89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1FAB5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231B67C0">
            <w:pPr>
              <w:spacing w:line="200" w:lineRule="exact"/>
              <w:rPr>
                <w:rFonts w:hint="default" w:eastAsia="宋体"/>
                <w:bCs/>
                <w:color w:val="auto"/>
                <w:sz w:val="18"/>
                <w:szCs w:val="18"/>
                <w:lang w:val="en-US" w:eastAsia="zh-CN"/>
              </w:rPr>
            </w:pPr>
            <w:r>
              <w:rPr>
                <w:rFonts w:hint="eastAsia"/>
                <w:color w:val="auto"/>
                <w:sz w:val="18"/>
                <w:szCs w:val="18"/>
                <w:lang w:val="en-US" w:eastAsia="zh-CN"/>
              </w:rPr>
              <w:t>4</w:t>
            </w:r>
            <w:r>
              <w:rPr>
                <w:rFonts w:hint="eastAsia"/>
                <w:color w:val="auto"/>
                <w:sz w:val="18"/>
                <w:szCs w:val="18"/>
              </w:rPr>
              <w:t>.2</w:t>
            </w:r>
            <w:r>
              <w:rPr>
                <w:rFonts w:hint="eastAsia"/>
                <w:color w:val="auto"/>
                <w:sz w:val="18"/>
                <w:szCs w:val="18"/>
                <w:lang w:val="en-US" w:eastAsia="zh-CN"/>
              </w:rPr>
              <w:t>继电器-接触器控制的组成与基本电路</w:t>
            </w:r>
          </w:p>
        </w:tc>
        <w:tc>
          <w:tcPr>
            <w:tcW w:w="379" w:type="pct"/>
            <w:vMerge w:val="restart"/>
            <w:noWrap w:val="0"/>
            <w:vAlign w:val="center"/>
          </w:tcPr>
          <w:p w14:paraId="63A0DF62">
            <w:pPr>
              <w:spacing w:line="200" w:lineRule="exact"/>
              <w:jc w:val="center"/>
              <w:rPr>
                <w:rFonts w:hint="eastAsia"/>
                <w:color w:val="auto"/>
                <w:sz w:val="18"/>
                <w:szCs w:val="18"/>
              </w:rPr>
            </w:pPr>
            <w:r>
              <w:rPr>
                <w:rFonts w:hint="eastAsia"/>
                <w:color w:val="auto"/>
                <w:sz w:val="18"/>
                <w:szCs w:val="18"/>
              </w:rPr>
              <w:t>4</w:t>
            </w:r>
          </w:p>
        </w:tc>
        <w:tc>
          <w:tcPr>
            <w:tcW w:w="626" w:type="pct"/>
            <w:noWrap w:val="0"/>
            <w:vAlign w:val="center"/>
          </w:tcPr>
          <w:p w14:paraId="7A0FCE23">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26AC013D">
            <w:pPr>
              <w:spacing w:line="200" w:lineRule="exact"/>
              <w:jc w:val="left"/>
              <w:rPr>
                <w:rFonts w:hint="eastAsia" w:eastAsia="宋体"/>
                <w:color w:val="auto"/>
                <w:sz w:val="15"/>
                <w:szCs w:val="15"/>
                <w:lang w:eastAsia="zh-CN"/>
              </w:rPr>
            </w:pPr>
            <w:r>
              <w:rPr>
                <w:rFonts w:hint="eastAsia"/>
                <w:color w:val="auto"/>
                <w:sz w:val="15"/>
                <w:szCs w:val="15"/>
              </w:rPr>
              <w:t>通过学习继电器、接触器、保护元件有序搭配、逻辑配合构成完整控制电路，实现设备启停、保护、联锁控制的工作机制，引导学生树立各司其职、联动协同、整体统筹的系统工程思维，培养团队协作、有序配合的职业素养</w:t>
            </w:r>
            <w:r>
              <w:rPr>
                <w:rFonts w:hint="eastAsia"/>
                <w:color w:val="auto"/>
                <w:sz w:val="15"/>
                <w:szCs w:val="15"/>
                <w:lang w:eastAsia="zh-CN"/>
              </w:rPr>
              <w:t>。</w:t>
            </w:r>
          </w:p>
        </w:tc>
        <w:tc>
          <w:tcPr>
            <w:tcW w:w="613" w:type="pct"/>
            <w:vMerge w:val="continue"/>
            <w:noWrap w:val="0"/>
            <w:vAlign w:val="center"/>
          </w:tcPr>
          <w:p w14:paraId="66143F5A">
            <w:pPr>
              <w:spacing w:line="200" w:lineRule="exact"/>
              <w:jc w:val="center"/>
              <w:rPr>
                <w:rFonts w:hint="eastAsia"/>
                <w:bCs/>
                <w:color w:val="auto"/>
                <w:sz w:val="18"/>
                <w:szCs w:val="18"/>
              </w:rPr>
            </w:pPr>
          </w:p>
        </w:tc>
      </w:tr>
      <w:tr w14:paraId="1118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48D4B7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1C47E590">
            <w:pPr>
              <w:spacing w:line="200" w:lineRule="exact"/>
              <w:rPr>
                <w:rFonts w:hint="eastAsia"/>
                <w:bCs/>
                <w:color w:val="auto"/>
                <w:sz w:val="18"/>
                <w:szCs w:val="18"/>
              </w:rPr>
            </w:pPr>
          </w:p>
        </w:tc>
        <w:tc>
          <w:tcPr>
            <w:tcW w:w="379" w:type="pct"/>
            <w:vMerge w:val="continue"/>
            <w:noWrap w:val="0"/>
            <w:vAlign w:val="center"/>
          </w:tcPr>
          <w:p w14:paraId="23BAA1BE">
            <w:pPr>
              <w:spacing w:line="200" w:lineRule="exact"/>
              <w:jc w:val="center"/>
              <w:rPr>
                <w:rFonts w:hint="eastAsia"/>
                <w:color w:val="auto"/>
                <w:sz w:val="18"/>
                <w:szCs w:val="18"/>
              </w:rPr>
            </w:pPr>
          </w:p>
        </w:tc>
        <w:tc>
          <w:tcPr>
            <w:tcW w:w="626" w:type="pct"/>
            <w:noWrap w:val="0"/>
            <w:vAlign w:val="center"/>
          </w:tcPr>
          <w:p w14:paraId="0F07E3BB">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747B0553">
            <w:pPr>
              <w:spacing w:line="200" w:lineRule="exact"/>
              <w:rPr>
                <w:rFonts w:hint="eastAsia"/>
                <w:color w:val="auto"/>
                <w:sz w:val="15"/>
                <w:szCs w:val="15"/>
              </w:rPr>
            </w:pPr>
            <w:r>
              <w:rPr>
                <w:rFonts w:hint="eastAsia"/>
                <w:b/>
                <w:bCs/>
                <w:color w:val="auto"/>
                <w:sz w:val="15"/>
                <w:szCs w:val="15"/>
              </w:rPr>
              <w:t>知识层面：</w:t>
            </w:r>
            <w:r>
              <w:rPr>
                <w:rFonts w:hint="eastAsia"/>
                <w:color w:val="auto"/>
                <w:sz w:val="15"/>
                <w:szCs w:val="15"/>
              </w:rPr>
              <w:t>学生掌握继电器 - 接触器控制系统的基本组成与电路结构，理解自锁、互锁、顺序控制等基本电路原理，熟知电气保护与接线规范基础知识。</w:t>
            </w:r>
          </w:p>
          <w:p w14:paraId="6ED6F9C1">
            <w:pPr>
              <w:spacing w:line="200" w:lineRule="exact"/>
              <w:rPr>
                <w:rFonts w:hint="eastAsia"/>
                <w:color w:val="auto"/>
                <w:sz w:val="15"/>
                <w:szCs w:val="15"/>
              </w:rPr>
            </w:pPr>
            <w:r>
              <w:rPr>
                <w:rFonts w:hint="eastAsia"/>
                <w:b/>
                <w:bCs/>
                <w:color w:val="auto"/>
                <w:sz w:val="15"/>
                <w:szCs w:val="15"/>
              </w:rPr>
              <w:t>能力层面：</w:t>
            </w:r>
            <w:r>
              <w:rPr>
                <w:rFonts w:hint="eastAsia"/>
                <w:color w:val="auto"/>
                <w:sz w:val="15"/>
                <w:szCs w:val="15"/>
              </w:rPr>
              <w:t>能够识读基础电气控制电路图，具备简单控制电路的接线、调试能力，可初步排查接线错误、逻辑故障等常见电气控制问题。</w:t>
            </w:r>
          </w:p>
          <w:p w14:paraId="2C4FD264">
            <w:pPr>
              <w:spacing w:line="200" w:lineRule="exact"/>
              <w:rPr>
                <w:rFonts w:hint="eastAsia"/>
                <w:color w:val="auto"/>
                <w:sz w:val="15"/>
                <w:szCs w:val="15"/>
              </w:rPr>
            </w:pPr>
            <w:r>
              <w:rPr>
                <w:rFonts w:hint="eastAsia"/>
                <w:b/>
                <w:bCs/>
                <w:color w:val="auto"/>
                <w:sz w:val="15"/>
                <w:szCs w:val="15"/>
              </w:rPr>
              <w:t>素养层面：</w:t>
            </w:r>
            <w:r>
              <w:rPr>
                <w:rFonts w:hint="eastAsia"/>
                <w:color w:val="auto"/>
                <w:sz w:val="15"/>
                <w:szCs w:val="15"/>
              </w:rPr>
              <w:t>养成严谨规范、精益求精的工匠精神与安全底线思维，树立系统协同的工程理念，依托国产电控技术发展，筑牢科技报国与绿色节能的职业素养。</w:t>
            </w:r>
          </w:p>
        </w:tc>
        <w:tc>
          <w:tcPr>
            <w:tcW w:w="613" w:type="pct"/>
            <w:vMerge w:val="continue"/>
            <w:noWrap w:val="0"/>
            <w:vAlign w:val="center"/>
          </w:tcPr>
          <w:p w14:paraId="64A83E8A">
            <w:pPr>
              <w:spacing w:line="200" w:lineRule="exact"/>
              <w:jc w:val="center"/>
              <w:rPr>
                <w:rFonts w:hint="eastAsia"/>
                <w:bCs/>
                <w:color w:val="auto"/>
                <w:sz w:val="18"/>
                <w:szCs w:val="18"/>
              </w:rPr>
            </w:pPr>
          </w:p>
        </w:tc>
      </w:tr>
      <w:tr w14:paraId="39E6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32769E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2853C8AF">
            <w:pPr>
              <w:spacing w:line="200" w:lineRule="exact"/>
              <w:rPr>
                <w:rFonts w:hint="eastAsia"/>
                <w:bCs/>
                <w:color w:val="auto"/>
                <w:sz w:val="18"/>
                <w:szCs w:val="18"/>
              </w:rPr>
            </w:pPr>
          </w:p>
        </w:tc>
        <w:tc>
          <w:tcPr>
            <w:tcW w:w="379" w:type="pct"/>
            <w:vMerge w:val="continue"/>
            <w:noWrap w:val="0"/>
            <w:vAlign w:val="center"/>
          </w:tcPr>
          <w:p w14:paraId="7C10C8B4">
            <w:pPr>
              <w:spacing w:line="200" w:lineRule="exact"/>
              <w:jc w:val="center"/>
              <w:rPr>
                <w:rFonts w:hint="eastAsia"/>
                <w:color w:val="auto"/>
                <w:sz w:val="18"/>
                <w:szCs w:val="18"/>
              </w:rPr>
            </w:pPr>
          </w:p>
        </w:tc>
        <w:tc>
          <w:tcPr>
            <w:tcW w:w="626" w:type="pct"/>
            <w:noWrap w:val="0"/>
            <w:vAlign w:val="center"/>
          </w:tcPr>
          <w:p w14:paraId="3CC0E238">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4FBBBE65">
            <w:pPr>
              <w:spacing w:line="200" w:lineRule="exact"/>
              <w:jc w:val="center"/>
              <w:rPr>
                <w:rFonts w:hint="eastAsia"/>
                <w:color w:val="auto"/>
                <w:sz w:val="15"/>
                <w:szCs w:val="15"/>
              </w:rPr>
            </w:pPr>
            <w:r>
              <w:rPr>
                <w:rFonts w:hint="eastAsia"/>
                <w:color w:val="auto"/>
                <w:sz w:val="15"/>
                <w:szCs w:val="15"/>
              </w:rPr>
              <w:t>讲授、案例、练习、研讨、互动</w:t>
            </w:r>
          </w:p>
        </w:tc>
        <w:tc>
          <w:tcPr>
            <w:tcW w:w="613" w:type="pct"/>
            <w:vMerge w:val="continue"/>
            <w:noWrap w:val="0"/>
            <w:vAlign w:val="center"/>
          </w:tcPr>
          <w:p w14:paraId="56C3C286">
            <w:pPr>
              <w:spacing w:line="200" w:lineRule="exact"/>
              <w:jc w:val="center"/>
              <w:rPr>
                <w:rFonts w:hint="eastAsia"/>
                <w:bCs/>
                <w:color w:val="auto"/>
                <w:sz w:val="18"/>
                <w:szCs w:val="18"/>
              </w:rPr>
            </w:pPr>
          </w:p>
        </w:tc>
      </w:tr>
      <w:tr w14:paraId="4014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75" w:type="pct"/>
            <w:gridSpan w:val="2"/>
            <w:noWrap w:val="0"/>
            <w:vAlign w:val="center"/>
          </w:tcPr>
          <w:p w14:paraId="3DC7EDF6">
            <w:pPr>
              <w:spacing w:line="200" w:lineRule="exact"/>
              <w:jc w:val="center"/>
              <w:rPr>
                <w:bCs/>
                <w:color w:val="auto"/>
                <w:sz w:val="18"/>
                <w:szCs w:val="18"/>
              </w:rPr>
            </w:pPr>
            <w:r>
              <w:rPr>
                <w:rFonts w:hint="eastAsia"/>
                <w:b/>
                <w:color w:val="auto"/>
                <w:sz w:val="18"/>
                <w:szCs w:val="18"/>
              </w:rPr>
              <w:t>理论总学时</w:t>
            </w:r>
          </w:p>
        </w:tc>
        <w:tc>
          <w:tcPr>
            <w:tcW w:w="3624" w:type="pct"/>
            <w:gridSpan w:val="4"/>
            <w:noWrap w:val="0"/>
            <w:vAlign w:val="center"/>
          </w:tcPr>
          <w:p w14:paraId="25E91EC9">
            <w:pPr>
              <w:spacing w:line="200" w:lineRule="exact"/>
              <w:jc w:val="center"/>
              <w:rPr>
                <w:rFonts w:hint="default" w:eastAsia="宋体"/>
                <w:bCs/>
                <w:color w:val="auto"/>
                <w:lang w:val="en-US" w:eastAsia="zh-CN"/>
              </w:rPr>
            </w:pPr>
            <w:r>
              <w:rPr>
                <w:rFonts w:hint="eastAsia"/>
                <w:bCs/>
                <w:color w:val="auto"/>
                <w:lang w:val="en-US" w:eastAsia="zh-CN"/>
              </w:rPr>
              <w:t>3</w:t>
            </w:r>
            <w:r>
              <w:rPr>
                <w:rFonts w:hint="eastAsia"/>
                <w:bCs/>
                <w:color w:val="auto"/>
                <w:lang w:val="en-US" w:eastAsia="zh-CN"/>
              </w:rPr>
              <w:t>2</w:t>
            </w:r>
          </w:p>
        </w:tc>
      </w:tr>
    </w:tbl>
    <w:p w14:paraId="789742D5">
      <w:pPr>
        <w:rPr>
          <w:rFonts w:hint="eastAsia"/>
          <w:color w:val="auto"/>
        </w:rPr>
      </w:pPr>
    </w:p>
    <w:p w14:paraId="6574496C">
      <w:pPr>
        <w:pStyle w:val="14"/>
        <w:spacing w:after="240" w:line="300" w:lineRule="auto"/>
        <w:jc w:val="left"/>
        <w:rPr>
          <w:rFonts w:hint="eastAsia" w:ascii="黑体" w:hAnsi="黑体" w:eastAsia="黑体"/>
          <w:color w:val="auto"/>
          <w:sz w:val="28"/>
          <w:szCs w:val="28"/>
          <w:lang w:val="en-US" w:eastAsia="zh-CN"/>
        </w:rPr>
      </w:pPr>
    </w:p>
    <w:p w14:paraId="2390CF2B">
      <w:pPr>
        <w:pStyle w:val="14"/>
        <w:spacing w:after="240" w:line="300" w:lineRule="auto"/>
        <w:jc w:val="left"/>
        <w:rPr>
          <w:color w:val="auto"/>
        </w:rPr>
      </w:pPr>
      <w:r>
        <w:rPr>
          <w:rFonts w:hint="eastAsia" w:ascii="黑体" w:hAnsi="黑体" w:eastAsia="黑体"/>
          <w:color w:val="auto"/>
          <w:sz w:val="28"/>
          <w:szCs w:val="28"/>
          <w:lang w:val="en-US" w:eastAsia="zh-CN"/>
        </w:rPr>
        <w:t>四</w:t>
      </w:r>
      <w:r>
        <w:rPr>
          <w:rFonts w:hint="eastAsia" w:ascii="黑体" w:hAnsi="黑体" w:eastAsia="黑体"/>
          <w:color w:val="auto"/>
          <w:sz w:val="28"/>
          <w:szCs w:val="28"/>
        </w:rPr>
        <w:t>、课程评价</w:t>
      </w:r>
    </w:p>
    <w:p w14:paraId="0CA7D4B7">
      <w:pPr>
        <w:spacing w:line="480" w:lineRule="auto"/>
        <w:rPr>
          <w:b/>
          <w:color w:val="auto"/>
          <w:sz w:val="24"/>
          <w:szCs w:val="24"/>
        </w:rPr>
      </w:pPr>
      <w:r>
        <w:rPr>
          <w:rFonts w:hint="eastAsia"/>
          <w:b/>
          <w:color w:val="auto"/>
          <w:sz w:val="24"/>
          <w:szCs w:val="24"/>
        </w:rPr>
        <w:t>（一）考核内容、考核</w:t>
      </w:r>
      <w:r>
        <w:rPr>
          <w:rFonts w:hint="eastAsia"/>
          <w:b/>
          <w:color w:val="auto"/>
          <w:sz w:val="24"/>
          <w:szCs w:val="24"/>
          <w:lang w:val="en-US" w:eastAsia="zh-CN"/>
        </w:rPr>
        <w:t>方式</w:t>
      </w:r>
      <w:r>
        <w:rPr>
          <w:rFonts w:hint="eastAsia"/>
          <w:b/>
          <w:color w:val="auto"/>
          <w:sz w:val="24"/>
          <w:szCs w:val="24"/>
        </w:rPr>
        <w:t>与课程目标对应关系</w:t>
      </w:r>
    </w:p>
    <w:tbl>
      <w:tblPr>
        <w:tblStyle w:val="1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860"/>
        <w:gridCol w:w="691"/>
        <w:gridCol w:w="646"/>
        <w:gridCol w:w="1236"/>
        <w:gridCol w:w="2237"/>
        <w:gridCol w:w="1320"/>
        <w:gridCol w:w="1205"/>
      </w:tblGrid>
      <w:tr w14:paraId="1E6B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restart"/>
            <w:tcBorders>
              <w:top w:val="single" w:color="auto" w:sz="4" w:space="0"/>
              <w:left w:val="single" w:color="auto" w:sz="4" w:space="0"/>
              <w:right w:val="single" w:color="auto" w:sz="4" w:space="0"/>
            </w:tcBorders>
            <w:noWrap w:val="0"/>
            <w:vAlign w:val="center"/>
          </w:tcPr>
          <w:p w14:paraId="0E230E20">
            <w:pPr>
              <w:spacing w:line="240" w:lineRule="exact"/>
              <w:jc w:val="center"/>
              <w:rPr>
                <w:b/>
                <w:bCs/>
                <w:color w:val="auto"/>
              </w:rPr>
            </w:pPr>
            <w:r>
              <w:rPr>
                <w:b/>
                <w:bCs/>
                <w:color w:val="auto"/>
              </w:rPr>
              <w:t>考核内容</w:t>
            </w:r>
          </w:p>
        </w:tc>
        <w:tc>
          <w:tcPr>
            <w:tcW w:w="463" w:type="pct"/>
            <w:vMerge w:val="restart"/>
            <w:tcBorders>
              <w:top w:val="single" w:color="auto" w:sz="4" w:space="0"/>
              <w:left w:val="single" w:color="auto" w:sz="4" w:space="0"/>
              <w:right w:val="single" w:color="auto" w:sz="4" w:space="0"/>
            </w:tcBorders>
            <w:noWrap w:val="0"/>
            <w:vAlign w:val="center"/>
          </w:tcPr>
          <w:p w14:paraId="5D107E7A">
            <w:pPr>
              <w:spacing w:line="240" w:lineRule="exact"/>
              <w:jc w:val="center"/>
              <w:rPr>
                <w:b/>
                <w:bCs/>
                <w:color w:val="auto"/>
              </w:rPr>
            </w:pPr>
            <w:r>
              <w:rPr>
                <w:rFonts w:hint="eastAsia"/>
                <w:b/>
                <w:bCs/>
                <w:color w:val="auto"/>
                <w:lang w:val="en-US" w:eastAsia="zh-CN"/>
              </w:rPr>
              <w:t>总</w:t>
            </w:r>
            <w:r>
              <w:rPr>
                <w:b/>
                <w:bCs/>
                <w:color w:val="auto"/>
              </w:rPr>
              <w:t>学时</w:t>
            </w:r>
          </w:p>
        </w:tc>
        <w:tc>
          <w:tcPr>
            <w:tcW w:w="372" w:type="pct"/>
            <w:vMerge w:val="restart"/>
            <w:tcBorders>
              <w:top w:val="single" w:color="auto" w:sz="4" w:space="0"/>
              <w:left w:val="single" w:color="auto" w:sz="4" w:space="0"/>
              <w:right w:val="single" w:color="auto" w:sz="4" w:space="0"/>
            </w:tcBorders>
            <w:noWrap w:val="0"/>
            <w:vAlign w:val="center"/>
          </w:tcPr>
          <w:p w14:paraId="3451526D">
            <w:pPr>
              <w:spacing w:line="240" w:lineRule="exact"/>
              <w:jc w:val="center"/>
              <w:rPr>
                <w:rFonts w:hint="eastAsia" w:eastAsia="宋体"/>
                <w:b/>
                <w:bCs/>
                <w:color w:val="auto"/>
                <w:lang w:val="en-US" w:eastAsia="zh-CN"/>
              </w:rPr>
            </w:pPr>
            <w:r>
              <w:rPr>
                <w:rFonts w:hint="eastAsia"/>
                <w:b/>
                <w:bCs/>
                <w:color w:val="auto"/>
                <w:lang w:val="en-US" w:eastAsia="zh-CN"/>
              </w:rPr>
              <w:t>理论学时</w:t>
            </w:r>
          </w:p>
        </w:tc>
        <w:tc>
          <w:tcPr>
            <w:tcW w:w="348" w:type="pct"/>
            <w:vMerge w:val="restart"/>
            <w:tcBorders>
              <w:top w:val="single" w:color="auto" w:sz="4" w:space="0"/>
              <w:left w:val="single" w:color="auto" w:sz="4" w:space="0"/>
              <w:right w:val="single" w:color="auto" w:sz="4" w:space="0"/>
            </w:tcBorders>
            <w:noWrap w:val="0"/>
            <w:vAlign w:val="center"/>
          </w:tcPr>
          <w:p w14:paraId="7382B59A">
            <w:pPr>
              <w:spacing w:line="240" w:lineRule="exact"/>
              <w:jc w:val="center"/>
              <w:rPr>
                <w:rFonts w:hint="default" w:eastAsia="宋体"/>
                <w:b/>
                <w:bCs/>
                <w:color w:val="auto"/>
                <w:lang w:val="en-US" w:eastAsia="zh-CN"/>
              </w:rPr>
            </w:pPr>
            <w:r>
              <w:rPr>
                <w:rFonts w:hint="eastAsia"/>
                <w:b/>
                <w:bCs/>
                <w:color w:val="auto"/>
                <w:lang w:val="en-US" w:eastAsia="zh-CN"/>
              </w:rPr>
              <w:t>实验学时</w:t>
            </w:r>
          </w:p>
        </w:tc>
        <w:tc>
          <w:tcPr>
            <w:tcW w:w="2582" w:type="pct"/>
            <w:gridSpan w:val="3"/>
            <w:tcBorders>
              <w:top w:val="single" w:color="auto" w:sz="4" w:space="0"/>
              <w:left w:val="single" w:color="auto" w:sz="4" w:space="0"/>
              <w:right w:val="single" w:color="auto" w:sz="4" w:space="0"/>
            </w:tcBorders>
            <w:noWrap w:val="0"/>
            <w:vAlign w:val="center"/>
          </w:tcPr>
          <w:p w14:paraId="75AD758F">
            <w:pPr>
              <w:spacing w:line="240" w:lineRule="exact"/>
              <w:jc w:val="center"/>
              <w:rPr>
                <w:b/>
                <w:bCs/>
                <w:color w:val="auto"/>
              </w:rPr>
            </w:pPr>
            <w:r>
              <w:rPr>
                <w:b/>
                <w:bCs/>
                <w:color w:val="auto"/>
              </w:rPr>
              <w:t>考核</w:t>
            </w:r>
            <w:r>
              <w:rPr>
                <w:rFonts w:hint="eastAsia"/>
                <w:b/>
                <w:bCs/>
                <w:color w:val="auto"/>
                <w:lang w:val="en-US" w:eastAsia="zh-CN"/>
              </w:rPr>
              <w:t>方式</w:t>
            </w:r>
            <w:r>
              <w:rPr>
                <w:b/>
                <w:bCs/>
                <w:color w:val="auto"/>
              </w:rPr>
              <w:t>及占比（100%）</w:t>
            </w:r>
          </w:p>
        </w:tc>
        <w:tc>
          <w:tcPr>
            <w:tcW w:w="649" w:type="pct"/>
            <w:vMerge w:val="restart"/>
            <w:tcBorders>
              <w:top w:val="single" w:color="auto" w:sz="4" w:space="0"/>
              <w:left w:val="single" w:color="auto" w:sz="4" w:space="0"/>
              <w:right w:val="single" w:color="auto" w:sz="4" w:space="0"/>
            </w:tcBorders>
            <w:noWrap w:val="0"/>
            <w:vAlign w:val="center"/>
          </w:tcPr>
          <w:p w14:paraId="640E5351">
            <w:pPr>
              <w:spacing w:line="240" w:lineRule="exact"/>
              <w:jc w:val="center"/>
              <w:rPr>
                <w:b/>
                <w:bCs/>
                <w:color w:val="auto"/>
              </w:rPr>
            </w:pPr>
            <w:r>
              <w:rPr>
                <w:b/>
                <w:bCs/>
                <w:color w:val="auto"/>
              </w:rPr>
              <w:t>课程</w:t>
            </w:r>
          </w:p>
          <w:p w14:paraId="171F0208">
            <w:pPr>
              <w:spacing w:line="240" w:lineRule="exact"/>
              <w:jc w:val="center"/>
              <w:rPr>
                <w:b/>
                <w:bCs/>
                <w:color w:val="auto"/>
              </w:rPr>
            </w:pPr>
            <w:r>
              <w:rPr>
                <w:b/>
                <w:bCs/>
                <w:color w:val="auto"/>
              </w:rPr>
              <w:t>目标</w:t>
            </w:r>
          </w:p>
        </w:tc>
      </w:tr>
      <w:tr w14:paraId="7906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continue"/>
            <w:tcBorders>
              <w:left w:val="single" w:color="auto" w:sz="4" w:space="0"/>
              <w:right w:val="single" w:color="auto" w:sz="4" w:space="0"/>
            </w:tcBorders>
            <w:noWrap w:val="0"/>
            <w:vAlign w:val="center"/>
          </w:tcPr>
          <w:p w14:paraId="65E3BF60">
            <w:pPr>
              <w:spacing w:line="240" w:lineRule="exact"/>
              <w:rPr>
                <w:b/>
                <w:bCs/>
                <w:color w:val="auto"/>
              </w:rPr>
            </w:pPr>
          </w:p>
        </w:tc>
        <w:tc>
          <w:tcPr>
            <w:tcW w:w="463" w:type="pct"/>
            <w:vMerge w:val="continue"/>
            <w:tcBorders>
              <w:left w:val="single" w:color="auto" w:sz="4" w:space="0"/>
              <w:right w:val="single" w:color="auto" w:sz="4" w:space="0"/>
            </w:tcBorders>
            <w:noWrap w:val="0"/>
            <w:vAlign w:val="center"/>
          </w:tcPr>
          <w:p w14:paraId="0857A15C">
            <w:pPr>
              <w:spacing w:line="240" w:lineRule="exact"/>
              <w:jc w:val="center"/>
              <w:rPr>
                <w:b/>
                <w:bCs/>
                <w:color w:val="auto"/>
              </w:rPr>
            </w:pPr>
          </w:p>
        </w:tc>
        <w:tc>
          <w:tcPr>
            <w:tcW w:w="372" w:type="pct"/>
            <w:vMerge w:val="continue"/>
            <w:tcBorders>
              <w:left w:val="single" w:color="auto" w:sz="4" w:space="0"/>
              <w:right w:val="single" w:color="auto" w:sz="4" w:space="0"/>
            </w:tcBorders>
            <w:noWrap w:val="0"/>
            <w:vAlign w:val="center"/>
          </w:tcPr>
          <w:p w14:paraId="56BA8708">
            <w:pPr>
              <w:spacing w:line="240" w:lineRule="exact"/>
              <w:jc w:val="center"/>
              <w:rPr>
                <w:b/>
                <w:bCs/>
                <w:color w:val="auto"/>
              </w:rPr>
            </w:pPr>
          </w:p>
        </w:tc>
        <w:tc>
          <w:tcPr>
            <w:tcW w:w="348" w:type="pct"/>
            <w:vMerge w:val="continue"/>
            <w:tcBorders>
              <w:left w:val="single" w:color="auto" w:sz="4" w:space="0"/>
              <w:right w:val="single" w:color="auto" w:sz="4" w:space="0"/>
            </w:tcBorders>
            <w:noWrap w:val="0"/>
            <w:vAlign w:val="center"/>
          </w:tcPr>
          <w:p w14:paraId="730169DB">
            <w:pPr>
              <w:spacing w:line="240" w:lineRule="exact"/>
              <w:jc w:val="center"/>
              <w:rPr>
                <w:b/>
                <w:bCs/>
                <w:color w:val="auto"/>
              </w:rPr>
            </w:pPr>
          </w:p>
        </w:tc>
        <w:tc>
          <w:tcPr>
            <w:tcW w:w="666" w:type="pct"/>
            <w:tcBorders>
              <w:top w:val="single" w:color="auto" w:sz="4" w:space="0"/>
              <w:left w:val="single" w:color="auto" w:sz="4" w:space="0"/>
              <w:right w:val="single" w:color="auto" w:sz="4" w:space="0"/>
            </w:tcBorders>
            <w:noWrap w:val="0"/>
            <w:vAlign w:val="center"/>
          </w:tcPr>
          <w:p w14:paraId="61CDDCE0">
            <w:pPr>
              <w:spacing w:line="240" w:lineRule="exact"/>
              <w:jc w:val="center"/>
              <w:rPr>
                <w:b/>
                <w:bCs/>
                <w:color w:val="auto"/>
                <w:sz w:val="18"/>
                <w:szCs w:val="18"/>
              </w:rPr>
            </w:pPr>
            <w:commentRangeStart w:id="6"/>
            <w:r>
              <w:rPr>
                <w:b/>
                <w:bCs/>
                <w:color w:val="auto"/>
                <w:sz w:val="18"/>
                <w:szCs w:val="18"/>
              </w:rPr>
              <w:t>平时表现</w:t>
            </w:r>
          </w:p>
          <w:p w14:paraId="1E8B9B15">
            <w:pPr>
              <w:spacing w:line="240" w:lineRule="exact"/>
              <w:jc w:val="center"/>
              <w:rPr>
                <w:rFonts w:hint="eastAsia"/>
                <w:b/>
                <w:bCs/>
                <w:color w:val="auto"/>
                <w:sz w:val="18"/>
                <w:szCs w:val="18"/>
              </w:rPr>
            </w:pPr>
            <w:r>
              <w:rPr>
                <w:b/>
                <w:bCs/>
                <w:color w:val="auto"/>
                <w:sz w:val="18"/>
                <w:szCs w:val="18"/>
              </w:rPr>
              <w:t>（</w:t>
            </w:r>
            <w:r>
              <w:rPr>
                <w:rFonts w:hint="eastAsia"/>
                <w:b/>
                <w:bCs/>
                <w:color w:val="auto"/>
                <w:sz w:val="18"/>
                <w:szCs w:val="18"/>
              </w:rPr>
              <w:t>2</w:t>
            </w:r>
            <w:r>
              <w:rPr>
                <w:b/>
                <w:bCs/>
                <w:color w:val="auto"/>
                <w:sz w:val="18"/>
                <w:szCs w:val="18"/>
              </w:rPr>
              <w:t>0%）</w:t>
            </w:r>
          </w:p>
        </w:tc>
        <w:tc>
          <w:tcPr>
            <w:tcW w:w="1205" w:type="pct"/>
            <w:tcBorders>
              <w:top w:val="single" w:color="auto" w:sz="4" w:space="0"/>
              <w:left w:val="single" w:color="auto" w:sz="4" w:space="0"/>
              <w:right w:val="single" w:color="auto" w:sz="4" w:space="0"/>
            </w:tcBorders>
            <w:noWrap w:val="0"/>
            <w:vAlign w:val="center"/>
          </w:tcPr>
          <w:p w14:paraId="448A3055">
            <w:pPr>
              <w:spacing w:line="240" w:lineRule="exact"/>
              <w:jc w:val="center"/>
              <w:rPr>
                <w:b/>
                <w:bCs/>
                <w:color w:val="auto"/>
                <w:sz w:val="18"/>
                <w:szCs w:val="18"/>
              </w:rPr>
            </w:pPr>
            <w:r>
              <w:rPr>
                <w:b/>
                <w:bCs/>
                <w:color w:val="auto"/>
                <w:sz w:val="18"/>
                <w:szCs w:val="18"/>
              </w:rPr>
              <w:t>课程作业</w:t>
            </w:r>
          </w:p>
          <w:p w14:paraId="2DC4252F">
            <w:pPr>
              <w:spacing w:line="240" w:lineRule="exact"/>
              <w:jc w:val="center"/>
              <w:rPr>
                <w:b/>
                <w:bCs/>
                <w:color w:val="auto"/>
                <w:sz w:val="18"/>
                <w:szCs w:val="18"/>
              </w:rPr>
            </w:pPr>
            <w:r>
              <w:rPr>
                <w:b/>
                <w:bCs/>
                <w:color w:val="auto"/>
                <w:sz w:val="18"/>
                <w:szCs w:val="18"/>
              </w:rPr>
              <w:t>（</w:t>
            </w:r>
            <w:r>
              <w:rPr>
                <w:rFonts w:hint="eastAsia"/>
                <w:b/>
                <w:bCs/>
                <w:color w:val="auto"/>
                <w:sz w:val="18"/>
                <w:szCs w:val="18"/>
                <w:lang w:val="en-US" w:eastAsia="zh-CN"/>
              </w:rPr>
              <w:t>1</w:t>
            </w:r>
            <w:r>
              <w:rPr>
                <w:b/>
                <w:bCs/>
                <w:color w:val="auto"/>
                <w:sz w:val="18"/>
                <w:szCs w:val="18"/>
              </w:rPr>
              <w:t>0%）</w:t>
            </w:r>
            <w:commentRangeEnd w:id="6"/>
            <w:r>
              <w:commentReference w:id="6"/>
            </w:r>
          </w:p>
        </w:tc>
        <w:tc>
          <w:tcPr>
            <w:tcW w:w="711" w:type="pct"/>
            <w:tcBorders>
              <w:top w:val="single" w:color="auto" w:sz="4" w:space="0"/>
              <w:left w:val="single" w:color="auto" w:sz="4" w:space="0"/>
              <w:right w:val="single" w:color="auto" w:sz="4" w:space="0"/>
            </w:tcBorders>
            <w:noWrap w:val="0"/>
            <w:vAlign w:val="center"/>
          </w:tcPr>
          <w:p w14:paraId="1E043EE7">
            <w:pPr>
              <w:spacing w:line="240" w:lineRule="exact"/>
              <w:jc w:val="center"/>
              <w:rPr>
                <w:rFonts w:hint="default" w:eastAsia="宋体"/>
                <w:b/>
                <w:bCs/>
                <w:color w:val="auto"/>
                <w:sz w:val="18"/>
                <w:szCs w:val="18"/>
                <w:lang w:val="en-US" w:eastAsia="zh-CN"/>
              </w:rPr>
            </w:pPr>
            <w:r>
              <w:rPr>
                <w:rFonts w:hint="eastAsia"/>
                <w:b/>
                <w:bCs/>
                <w:color w:val="auto"/>
                <w:sz w:val="18"/>
                <w:szCs w:val="18"/>
              </w:rPr>
              <w:t>期末</w:t>
            </w:r>
            <w:r>
              <w:rPr>
                <w:rFonts w:hint="eastAsia"/>
                <w:b/>
                <w:bCs/>
                <w:color w:val="auto"/>
                <w:sz w:val="18"/>
                <w:szCs w:val="18"/>
                <w:lang w:val="en-US" w:eastAsia="zh-CN"/>
              </w:rPr>
              <w:t>考</w:t>
            </w:r>
            <w:r>
              <w:rPr>
                <w:rFonts w:hint="eastAsia"/>
                <w:b/>
                <w:bCs/>
                <w:color w:val="auto"/>
                <w:sz w:val="18"/>
                <w:szCs w:val="18"/>
                <w:lang w:val="en-US" w:eastAsia="zh-CN"/>
              </w:rPr>
              <w:t>查</w:t>
            </w:r>
          </w:p>
          <w:p w14:paraId="46452FAF">
            <w:pPr>
              <w:spacing w:line="240" w:lineRule="exact"/>
              <w:jc w:val="center"/>
              <w:rPr>
                <w:b/>
                <w:bCs/>
                <w:color w:val="auto"/>
                <w:sz w:val="18"/>
                <w:szCs w:val="18"/>
              </w:rPr>
            </w:pPr>
            <w:r>
              <w:rPr>
                <w:b/>
                <w:bCs/>
                <w:color w:val="auto"/>
                <w:sz w:val="18"/>
                <w:szCs w:val="18"/>
              </w:rPr>
              <w:t>（</w:t>
            </w:r>
            <w:r>
              <w:rPr>
                <w:rFonts w:hint="eastAsia"/>
                <w:b/>
                <w:bCs/>
                <w:color w:val="auto"/>
                <w:sz w:val="18"/>
                <w:szCs w:val="18"/>
                <w:lang w:val="en-US" w:eastAsia="zh-CN"/>
              </w:rPr>
              <w:t>7</w:t>
            </w:r>
            <w:r>
              <w:rPr>
                <w:b/>
                <w:bCs/>
                <w:color w:val="auto"/>
                <w:sz w:val="18"/>
                <w:szCs w:val="18"/>
              </w:rPr>
              <w:t>0%）</w:t>
            </w:r>
          </w:p>
        </w:tc>
        <w:tc>
          <w:tcPr>
            <w:tcW w:w="649" w:type="pct"/>
            <w:vMerge w:val="continue"/>
            <w:tcBorders>
              <w:left w:val="single" w:color="auto" w:sz="4" w:space="0"/>
              <w:right w:val="single" w:color="auto" w:sz="4" w:space="0"/>
            </w:tcBorders>
            <w:noWrap w:val="0"/>
            <w:vAlign w:val="center"/>
          </w:tcPr>
          <w:p w14:paraId="3A1F97AA">
            <w:pPr>
              <w:spacing w:line="240" w:lineRule="exact"/>
              <w:jc w:val="center"/>
              <w:rPr>
                <w:b/>
                <w:bCs/>
                <w:color w:val="auto"/>
              </w:rPr>
            </w:pPr>
          </w:p>
        </w:tc>
      </w:tr>
      <w:tr w14:paraId="3F34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tcBorders>
              <w:top w:val="single" w:color="auto" w:sz="4" w:space="0"/>
              <w:left w:val="single" w:color="auto" w:sz="4" w:space="0"/>
              <w:right w:val="single" w:color="auto" w:sz="4" w:space="0"/>
            </w:tcBorders>
            <w:noWrap w:val="0"/>
            <w:vAlign w:val="center"/>
          </w:tcPr>
          <w:p w14:paraId="07710DBB">
            <w:pPr>
              <w:spacing w:line="240" w:lineRule="exact"/>
              <w:jc w:val="center"/>
              <w:rPr>
                <w:color w:val="auto"/>
                <w:sz w:val="18"/>
                <w:szCs w:val="18"/>
              </w:rPr>
            </w:pPr>
            <w:r>
              <w:rPr>
                <w:b/>
                <w:bCs/>
                <w:color w:val="auto"/>
                <w:sz w:val="18"/>
                <w:szCs w:val="18"/>
              </w:rPr>
              <w:t>绪论</w:t>
            </w:r>
          </w:p>
        </w:tc>
        <w:tc>
          <w:tcPr>
            <w:tcW w:w="463" w:type="pct"/>
            <w:tcBorders>
              <w:top w:val="single" w:color="auto" w:sz="4" w:space="0"/>
              <w:left w:val="single" w:color="auto" w:sz="4" w:space="0"/>
              <w:right w:val="single" w:color="auto" w:sz="4" w:space="0"/>
            </w:tcBorders>
            <w:noWrap w:val="0"/>
            <w:vAlign w:val="center"/>
          </w:tcPr>
          <w:p w14:paraId="4412A44D">
            <w:pPr>
              <w:spacing w:line="240" w:lineRule="exact"/>
              <w:jc w:val="center"/>
              <w:rPr>
                <w:color w:val="auto"/>
              </w:rPr>
            </w:pPr>
            <w:r>
              <w:rPr>
                <w:color w:val="auto"/>
              </w:rPr>
              <w:t>2</w:t>
            </w:r>
          </w:p>
        </w:tc>
        <w:tc>
          <w:tcPr>
            <w:tcW w:w="372" w:type="pct"/>
            <w:tcBorders>
              <w:top w:val="single" w:color="auto" w:sz="4" w:space="0"/>
              <w:left w:val="single" w:color="auto" w:sz="4" w:space="0"/>
              <w:right w:val="single" w:color="auto" w:sz="4" w:space="0"/>
            </w:tcBorders>
            <w:noWrap w:val="0"/>
            <w:vAlign w:val="center"/>
          </w:tcPr>
          <w:p w14:paraId="5C9F49B2">
            <w:pPr>
              <w:spacing w:line="240" w:lineRule="exact"/>
              <w:jc w:val="center"/>
              <w:rPr>
                <w:color w:val="auto"/>
              </w:rPr>
            </w:pPr>
            <w:r>
              <w:rPr>
                <w:color w:val="auto"/>
              </w:rPr>
              <w:t>2</w:t>
            </w:r>
          </w:p>
        </w:tc>
        <w:tc>
          <w:tcPr>
            <w:tcW w:w="348" w:type="pct"/>
            <w:tcBorders>
              <w:top w:val="single" w:color="auto" w:sz="4" w:space="0"/>
              <w:left w:val="single" w:color="auto" w:sz="4" w:space="0"/>
              <w:right w:val="single" w:color="auto" w:sz="4" w:space="0"/>
            </w:tcBorders>
            <w:noWrap w:val="0"/>
            <w:vAlign w:val="center"/>
          </w:tcPr>
          <w:p w14:paraId="267A5D98">
            <w:pPr>
              <w:spacing w:line="240" w:lineRule="exact"/>
              <w:jc w:val="center"/>
              <w:rPr>
                <w:color w:val="auto"/>
              </w:rPr>
            </w:pPr>
          </w:p>
        </w:tc>
        <w:tc>
          <w:tcPr>
            <w:tcW w:w="666" w:type="pct"/>
            <w:vMerge w:val="restart"/>
            <w:tcBorders>
              <w:top w:val="single" w:color="auto" w:sz="4" w:space="0"/>
              <w:left w:val="single" w:color="auto" w:sz="4" w:space="0"/>
              <w:right w:val="single" w:color="auto" w:sz="4" w:space="0"/>
            </w:tcBorders>
            <w:noWrap w:val="0"/>
            <w:vAlign w:val="center"/>
          </w:tcPr>
          <w:p w14:paraId="27772621">
            <w:pPr>
              <w:spacing w:line="240" w:lineRule="exact"/>
              <w:jc w:val="center"/>
              <w:rPr>
                <w:rFonts w:hint="eastAsia"/>
                <w:color w:val="auto"/>
                <w:sz w:val="18"/>
                <w:szCs w:val="18"/>
              </w:rPr>
            </w:pPr>
            <w:r>
              <w:rPr>
                <w:rFonts w:hint="eastAsia"/>
                <w:color w:val="auto"/>
                <w:sz w:val="18"/>
                <w:szCs w:val="18"/>
              </w:rPr>
              <w:t>平时表现不按考核内容区分占比，按照考勤、课堂表现记录，详见“平时表现评分标准”。</w:t>
            </w:r>
          </w:p>
        </w:tc>
        <w:tc>
          <w:tcPr>
            <w:tcW w:w="1205" w:type="pct"/>
            <w:tcBorders>
              <w:top w:val="single" w:color="auto" w:sz="4" w:space="0"/>
              <w:left w:val="single" w:color="auto" w:sz="4" w:space="0"/>
              <w:right w:val="single" w:color="auto" w:sz="4" w:space="0"/>
            </w:tcBorders>
            <w:noWrap w:val="0"/>
            <w:vAlign w:val="center"/>
          </w:tcPr>
          <w:p w14:paraId="5BF930C0">
            <w:pPr>
              <w:spacing w:line="240" w:lineRule="exact"/>
              <w:jc w:val="center"/>
              <w:rPr>
                <w:rFonts w:hint="eastAsia"/>
                <w:color w:val="auto"/>
                <w:sz w:val="18"/>
                <w:szCs w:val="18"/>
              </w:rPr>
            </w:pPr>
            <w:r>
              <w:rPr>
                <w:rFonts w:hint="eastAsia"/>
                <w:color w:val="auto"/>
                <w:sz w:val="18"/>
                <w:szCs w:val="18"/>
                <w:lang w:val="en-US" w:eastAsia="zh-CN"/>
              </w:rPr>
              <w:t>10</w:t>
            </w:r>
            <w:r>
              <w:rPr>
                <w:rFonts w:hint="eastAsia"/>
                <w:color w:val="auto"/>
                <w:sz w:val="18"/>
                <w:szCs w:val="18"/>
              </w:rPr>
              <w:t>%</w:t>
            </w:r>
          </w:p>
        </w:tc>
        <w:tc>
          <w:tcPr>
            <w:tcW w:w="711" w:type="pct"/>
            <w:tcBorders>
              <w:top w:val="single" w:color="auto" w:sz="4" w:space="0"/>
              <w:left w:val="single" w:color="auto" w:sz="4" w:space="0"/>
              <w:right w:val="single" w:color="auto" w:sz="4" w:space="0"/>
            </w:tcBorders>
            <w:noWrap w:val="0"/>
            <w:vAlign w:val="center"/>
          </w:tcPr>
          <w:p w14:paraId="3B60D1D2">
            <w:pPr>
              <w:spacing w:line="240" w:lineRule="exact"/>
              <w:jc w:val="center"/>
              <w:rPr>
                <w:color w:val="auto"/>
                <w:sz w:val="18"/>
                <w:szCs w:val="18"/>
              </w:rPr>
            </w:pPr>
            <w:r>
              <w:rPr>
                <w:rFonts w:hint="eastAsia"/>
                <w:color w:val="auto"/>
                <w:sz w:val="18"/>
                <w:szCs w:val="18"/>
              </w:rPr>
              <w:t>0%</w:t>
            </w:r>
          </w:p>
        </w:tc>
        <w:tc>
          <w:tcPr>
            <w:tcW w:w="649" w:type="pct"/>
            <w:tcBorders>
              <w:top w:val="single" w:color="auto" w:sz="4" w:space="0"/>
              <w:left w:val="single" w:color="auto" w:sz="4" w:space="0"/>
              <w:right w:val="single" w:color="auto" w:sz="4" w:space="0"/>
            </w:tcBorders>
            <w:noWrap w:val="0"/>
            <w:vAlign w:val="center"/>
          </w:tcPr>
          <w:p w14:paraId="08ED725A">
            <w:pPr>
              <w:spacing w:line="240" w:lineRule="exact"/>
              <w:jc w:val="center"/>
              <w:rPr>
                <w:color w:val="auto"/>
              </w:rPr>
            </w:pPr>
            <w:r>
              <w:rPr>
                <w:rFonts w:hint="eastAsia"/>
                <w:bCs/>
                <w:color w:val="auto"/>
                <w:sz w:val="18"/>
                <w:szCs w:val="18"/>
              </w:rPr>
              <w:t>目标1.1，2.1，3.1</w:t>
            </w:r>
          </w:p>
        </w:tc>
      </w:tr>
      <w:tr w14:paraId="6DB1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240CB7C2">
            <w:pPr>
              <w:spacing w:line="240" w:lineRule="exact"/>
              <w:jc w:val="center"/>
              <w:rPr>
                <w:rFonts w:hint="eastAsia"/>
                <w:b/>
                <w:bCs w:val="0"/>
                <w:color w:val="auto"/>
                <w:sz w:val="18"/>
                <w:szCs w:val="18"/>
                <w:lang w:val="en-US" w:eastAsia="zh-CN"/>
              </w:rPr>
            </w:pPr>
            <w:r>
              <w:rPr>
                <w:rFonts w:hint="eastAsia"/>
                <w:b/>
                <w:bCs w:val="0"/>
                <w:color w:val="auto"/>
                <w:sz w:val="18"/>
                <w:szCs w:val="18"/>
                <w:lang w:val="en-US" w:eastAsia="zh-CN"/>
              </w:rPr>
              <w:t>第一单元</w:t>
            </w:r>
          </w:p>
          <w:p w14:paraId="6F82EF1A">
            <w:pPr>
              <w:spacing w:line="240" w:lineRule="exact"/>
              <w:jc w:val="center"/>
              <w:rPr>
                <w:color w:val="auto"/>
              </w:rPr>
            </w:pPr>
            <w:r>
              <w:rPr>
                <w:rFonts w:hint="eastAsia"/>
                <w:bCs/>
                <w:color w:val="auto"/>
                <w:sz w:val="18"/>
                <w:szCs w:val="18"/>
              </w:rPr>
              <w:t>动力学基础</w:t>
            </w:r>
          </w:p>
        </w:tc>
        <w:tc>
          <w:tcPr>
            <w:tcW w:w="463" w:type="pct"/>
            <w:tcBorders>
              <w:left w:val="single" w:color="auto" w:sz="4" w:space="0"/>
              <w:bottom w:val="single" w:color="auto" w:sz="4" w:space="0"/>
              <w:right w:val="single" w:color="auto" w:sz="4" w:space="0"/>
            </w:tcBorders>
            <w:noWrap w:val="0"/>
            <w:vAlign w:val="center"/>
          </w:tcPr>
          <w:p w14:paraId="602375E5">
            <w:pPr>
              <w:spacing w:line="240" w:lineRule="exact"/>
              <w:jc w:val="center"/>
              <w:rPr>
                <w:color w:val="auto"/>
              </w:rPr>
            </w:pPr>
            <w:r>
              <w:rPr>
                <w:rFonts w:hint="eastAsia"/>
                <w:color w:val="auto"/>
              </w:rPr>
              <w:t>4</w:t>
            </w:r>
          </w:p>
        </w:tc>
        <w:tc>
          <w:tcPr>
            <w:tcW w:w="372" w:type="pct"/>
            <w:tcBorders>
              <w:left w:val="single" w:color="auto" w:sz="4" w:space="0"/>
              <w:right w:val="single" w:color="auto" w:sz="4" w:space="0"/>
            </w:tcBorders>
            <w:noWrap w:val="0"/>
            <w:vAlign w:val="center"/>
          </w:tcPr>
          <w:p w14:paraId="65D4E69E">
            <w:pPr>
              <w:spacing w:line="240" w:lineRule="exact"/>
              <w:jc w:val="center"/>
              <w:rPr>
                <w:rFonts w:hint="eastAsia"/>
                <w:color w:val="auto"/>
              </w:rPr>
            </w:pPr>
            <w:r>
              <w:rPr>
                <w:rFonts w:hint="eastAsia"/>
                <w:color w:val="auto"/>
              </w:rPr>
              <w:t>4</w:t>
            </w:r>
          </w:p>
        </w:tc>
        <w:tc>
          <w:tcPr>
            <w:tcW w:w="348" w:type="pct"/>
            <w:tcBorders>
              <w:left w:val="single" w:color="auto" w:sz="4" w:space="0"/>
              <w:right w:val="single" w:color="auto" w:sz="4" w:space="0"/>
            </w:tcBorders>
            <w:noWrap w:val="0"/>
            <w:vAlign w:val="center"/>
          </w:tcPr>
          <w:p w14:paraId="5213088F">
            <w:pPr>
              <w:spacing w:line="240" w:lineRule="exact"/>
              <w:jc w:val="center"/>
              <w:rPr>
                <w:rFonts w:hint="eastAsia"/>
                <w:color w:val="auto"/>
              </w:rPr>
            </w:pPr>
          </w:p>
        </w:tc>
        <w:tc>
          <w:tcPr>
            <w:tcW w:w="666" w:type="pct"/>
            <w:vMerge w:val="continue"/>
            <w:tcBorders>
              <w:left w:val="single" w:color="auto" w:sz="4" w:space="0"/>
              <w:right w:val="single" w:color="auto" w:sz="4" w:space="0"/>
            </w:tcBorders>
            <w:noWrap w:val="0"/>
            <w:vAlign w:val="center"/>
          </w:tcPr>
          <w:p w14:paraId="44DCECDA">
            <w:pPr>
              <w:spacing w:line="240" w:lineRule="exact"/>
              <w:jc w:val="center"/>
              <w:rPr>
                <w:rFonts w:hint="eastAsia"/>
                <w:color w:val="auto"/>
                <w:sz w:val="18"/>
                <w:szCs w:val="18"/>
              </w:rPr>
            </w:pPr>
          </w:p>
        </w:tc>
        <w:tc>
          <w:tcPr>
            <w:tcW w:w="1205" w:type="pct"/>
            <w:tcBorders>
              <w:left w:val="single" w:color="auto" w:sz="4" w:space="0"/>
              <w:bottom w:val="single" w:color="auto" w:sz="4" w:space="0"/>
              <w:right w:val="single" w:color="auto" w:sz="4" w:space="0"/>
            </w:tcBorders>
            <w:noWrap w:val="0"/>
            <w:vAlign w:val="center"/>
          </w:tcPr>
          <w:p w14:paraId="6B12450E">
            <w:pPr>
              <w:spacing w:line="240" w:lineRule="exact"/>
              <w:jc w:val="center"/>
              <w:rPr>
                <w:color w:val="auto"/>
                <w:sz w:val="18"/>
                <w:szCs w:val="18"/>
              </w:rPr>
            </w:pPr>
            <w:r>
              <w:rPr>
                <w:rFonts w:hint="eastAsia"/>
                <w:color w:val="auto"/>
                <w:sz w:val="18"/>
                <w:szCs w:val="18"/>
                <w:lang w:val="en-US" w:eastAsia="zh-CN"/>
              </w:rPr>
              <w:t>20</w:t>
            </w:r>
            <w:r>
              <w:rPr>
                <w:rFonts w:hint="eastAsia"/>
                <w:color w:val="auto"/>
                <w:sz w:val="18"/>
                <w:szCs w:val="18"/>
              </w:rPr>
              <w:t>%</w:t>
            </w:r>
          </w:p>
        </w:tc>
        <w:tc>
          <w:tcPr>
            <w:tcW w:w="711" w:type="pct"/>
            <w:tcBorders>
              <w:left w:val="single" w:color="auto" w:sz="4" w:space="0"/>
              <w:bottom w:val="single" w:color="auto" w:sz="4" w:space="0"/>
              <w:right w:val="single" w:color="auto" w:sz="4" w:space="0"/>
            </w:tcBorders>
            <w:noWrap w:val="0"/>
            <w:vAlign w:val="center"/>
          </w:tcPr>
          <w:p w14:paraId="3677BDC4">
            <w:pPr>
              <w:spacing w:line="240" w:lineRule="exact"/>
              <w:jc w:val="center"/>
              <w:rPr>
                <w:rFonts w:hint="eastAsia"/>
                <w:color w:val="auto"/>
                <w:sz w:val="18"/>
                <w:szCs w:val="18"/>
              </w:rPr>
            </w:pPr>
            <w:r>
              <w:rPr>
                <w:rFonts w:hint="eastAsia"/>
                <w:color w:val="auto"/>
                <w:sz w:val="18"/>
                <w:szCs w:val="18"/>
                <w:lang w:val="en-US" w:eastAsia="zh-CN"/>
              </w:rPr>
              <w:t>2</w:t>
            </w:r>
            <w:r>
              <w:rPr>
                <w:rFonts w:hint="eastAsia"/>
                <w:color w:val="auto"/>
                <w:sz w:val="18"/>
                <w:szCs w:val="18"/>
              </w:rPr>
              <w:t>0%</w:t>
            </w:r>
          </w:p>
        </w:tc>
        <w:tc>
          <w:tcPr>
            <w:tcW w:w="649" w:type="pct"/>
            <w:tcBorders>
              <w:left w:val="single" w:color="auto" w:sz="4" w:space="0"/>
              <w:bottom w:val="single" w:color="auto" w:sz="4" w:space="0"/>
              <w:right w:val="single" w:color="auto" w:sz="4" w:space="0"/>
            </w:tcBorders>
            <w:noWrap w:val="0"/>
            <w:vAlign w:val="center"/>
          </w:tcPr>
          <w:p w14:paraId="44A1BB45">
            <w:pPr>
              <w:spacing w:line="240" w:lineRule="exact"/>
              <w:jc w:val="center"/>
              <w:rPr>
                <w:color w:val="auto"/>
              </w:rPr>
            </w:pPr>
            <w:r>
              <w:rPr>
                <w:rFonts w:hint="eastAsia"/>
                <w:bCs/>
                <w:color w:val="auto"/>
                <w:sz w:val="18"/>
                <w:szCs w:val="18"/>
              </w:rPr>
              <w:t>目标1.2，2.2，3.2</w:t>
            </w:r>
          </w:p>
        </w:tc>
      </w:tr>
      <w:tr w14:paraId="1B21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60D7E681">
            <w:pPr>
              <w:spacing w:line="240" w:lineRule="exact"/>
              <w:jc w:val="center"/>
              <w:rPr>
                <w:rFonts w:hint="eastAsia"/>
                <w:b/>
                <w:bCs w:val="0"/>
                <w:color w:val="auto"/>
                <w:sz w:val="18"/>
                <w:szCs w:val="18"/>
                <w:lang w:val="en-US" w:eastAsia="zh-CN"/>
              </w:rPr>
            </w:pPr>
            <w:bookmarkStart w:id="0" w:name="_Hlk206931528"/>
            <w:r>
              <w:rPr>
                <w:rFonts w:hint="eastAsia"/>
                <w:b/>
                <w:bCs w:val="0"/>
                <w:color w:val="auto"/>
                <w:sz w:val="18"/>
                <w:szCs w:val="18"/>
                <w:lang w:val="en-US" w:eastAsia="zh-CN"/>
              </w:rPr>
              <w:t>第二单元</w:t>
            </w:r>
          </w:p>
          <w:bookmarkEnd w:id="0"/>
          <w:p w14:paraId="0077BA6E">
            <w:pPr>
              <w:spacing w:line="240" w:lineRule="exact"/>
              <w:jc w:val="center"/>
              <w:rPr>
                <w:color w:val="auto"/>
              </w:rPr>
            </w:pPr>
            <w:r>
              <w:rPr>
                <w:rFonts w:hint="eastAsia"/>
                <w:bCs/>
                <w:color w:val="auto"/>
                <w:sz w:val="18"/>
                <w:szCs w:val="18"/>
              </w:rPr>
              <w:t>直流与交流电动机的工作原理及特性</w:t>
            </w:r>
          </w:p>
        </w:tc>
        <w:tc>
          <w:tcPr>
            <w:tcW w:w="463" w:type="pct"/>
            <w:tcBorders>
              <w:left w:val="single" w:color="auto" w:sz="4" w:space="0"/>
              <w:right w:val="single" w:color="auto" w:sz="4" w:space="0"/>
            </w:tcBorders>
            <w:noWrap w:val="0"/>
            <w:vAlign w:val="center"/>
          </w:tcPr>
          <w:p w14:paraId="7C304BB8">
            <w:pPr>
              <w:spacing w:line="240" w:lineRule="exact"/>
              <w:jc w:val="center"/>
              <w:rPr>
                <w:rFonts w:hint="default" w:eastAsia="宋体"/>
                <w:color w:val="auto"/>
                <w:lang w:val="en-US" w:eastAsia="zh-CN"/>
              </w:rPr>
            </w:pPr>
            <w:r>
              <w:rPr>
                <w:rFonts w:hint="eastAsia"/>
                <w:color w:val="auto"/>
                <w:lang w:val="en-US" w:eastAsia="zh-CN"/>
              </w:rPr>
              <w:t>14</w:t>
            </w:r>
          </w:p>
        </w:tc>
        <w:tc>
          <w:tcPr>
            <w:tcW w:w="372" w:type="pct"/>
            <w:tcBorders>
              <w:left w:val="single" w:color="auto" w:sz="4" w:space="0"/>
              <w:right w:val="single" w:color="auto" w:sz="4" w:space="0"/>
            </w:tcBorders>
            <w:noWrap w:val="0"/>
            <w:vAlign w:val="center"/>
          </w:tcPr>
          <w:p w14:paraId="4A1E2C53">
            <w:pPr>
              <w:spacing w:line="240" w:lineRule="exact"/>
              <w:jc w:val="center"/>
              <w:rPr>
                <w:rFonts w:hint="default" w:eastAsia="宋体"/>
                <w:color w:val="auto"/>
                <w:lang w:val="en-US" w:eastAsia="zh-CN"/>
              </w:rPr>
            </w:pPr>
            <w:r>
              <w:rPr>
                <w:rFonts w:hint="eastAsia"/>
                <w:color w:val="auto"/>
                <w:lang w:val="en-US" w:eastAsia="zh-CN"/>
              </w:rPr>
              <w:t>14</w:t>
            </w:r>
          </w:p>
        </w:tc>
        <w:tc>
          <w:tcPr>
            <w:tcW w:w="348" w:type="pct"/>
            <w:tcBorders>
              <w:left w:val="single" w:color="auto" w:sz="4" w:space="0"/>
              <w:right w:val="single" w:color="auto" w:sz="4" w:space="0"/>
            </w:tcBorders>
            <w:noWrap w:val="0"/>
            <w:vAlign w:val="center"/>
          </w:tcPr>
          <w:p w14:paraId="4F4331A1">
            <w:pPr>
              <w:spacing w:line="240" w:lineRule="exact"/>
              <w:jc w:val="center"/>
              <w:rPr>
                <w:rFonts w:hint="eastAsia"/>
                <w:color w:val="auto"/>
              </w:rPr>
            </w:pPr>
          </w:p>
        </w:tc>
        <w:tc>
          <w:tcPr>
            <w:tcW w:w="666" w:type="pct"/>
            <w:vMerge w:val="continue"/>
            <w:tcBorders>
              <w:left w:val="single" w:color="auto" w:sz="4" w:space="0"/>
              <w:right w:val="single" w:color="auto" w:sz="4" w:space="0"/>
            </w:tcBorders>
            <w:noWrap w:val="0"/>
            <w:vAlign w:val="center"/>
          </w:tcPr>
          <w:p w14:paraId="58B1176B">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3F4B6E79">
            <w:pPr>
              <w:spacing w:line="240" w:lineRule="exact"/>
              <w:jc w:val="center"/>
              <w:rPr>
                <w:color w:val="auto"/>
                <w:sz w:val="18"/>
                <w:szCs w:val="18"/>
              </w:rPr>
            </w:pPr>
            <w:r>
              <w:rPr>
                <w:rFonts w:hint="eastAsia"/>
                <w:color w:val="auto"/>
                <w:sz w:val="18"/>
                <w:szCs w:val="18"/>
                <w:lang w:val="en-US" w:eastAsia="zh-CN"/>
              </w:rPr>
              <w:t>25</w:t>
            </w:r>
            <w:r>
              <w:rPr>
                <w:rFonts w:hint="eastAsia"/>
                <w:color w:val="auto"/>
                <w:sz w:val="18"/>
                <w:szCs w:val="18"/>
              </w:rPr>
              <w:t>%</w:t>
            </w:r>
          </w:p>
        </w:tc>
        <w:tc>
          <w:tcPr>
            <w:tcW w:w="711" w:type="pct"/>
            <w:tcBorders>
              <w:left w:val="single" w:color="auto" w:sz="4" w:space="0"/>
              <w:right w:val="single" w:color="auto" w:sz="4" w:space="0"/>
            </w:tcBorders>
            <w:noWrap w:val="0"/>
            <w:vAlign w:val="center"/>
          </w:tcPr>
          <w:p w14:paraId="7D05E0CF">
            <w:pPr>
              <w:spacing w:line="240" w:lineRule="exact"/>
              <w:jc w:val="center"/>
              <w:rPr>
                <w:rFonts w:hint="eastAsia"/>
                <w:color w:val="auto"/>
                <w:sz w:val="18"/>
                <w:szCs w:val="18"/>
              </w:rPr>
            </w:pPr>
            <w:r>
              <w:rPr>
                <w:rFonts w:hint="eastAsia"/>
                <w:color w:val="auto"/>
                <w:sz w:val="18"/>
                <w:szCs w:val="18"/>
                <w:lang w:val="en-US" w:eastAsia="zh-CN"/>
              </w:rPr>
              <w:t>30</w:t>
            </w:r>
            <w:r>
              <w:rPr>
                <w:rFonts w:hint="eastAsia"/>
                <w:color w:val="auto"/>
                <w:sz w:val="18"/>
                <w:szCs w:val="18"/>
              </w:rPr>
              <w:t>%</w:t>
            </w:r>
          </w:p>
        </w:tc>
        <w:tc>
          <w:tcPr>
            <w:tcW w:w="649" w:type="pct"/>
            <w:tcBorders>
              <w:left w:val="single" w:color="auto" w:sz="4" w:space="0"/>
              <w:right w:val="single" w:color="auto" w:sz="4" w:space="0"/>
            </w:tcBorders>
            <w:noWrap w:val="0"/>
            <w:vAlign w:val="center"/>
          </w:tcPr>
          <w:p w14:paraId="7FD56B3A">
            <w:pPr>
              <w:spacing w:line="240" w:lineRule="exact"/>
              <w:jc w:val="center"/>
              <w:rPr>
                <w:rFonts w:hint="default" w:eastAsia="宋体"/>
                <w:color w:val="auto"/>
                <w:lang w:val="en-US" w:eastAsia="zh-CN"/>
              </w:rPr>
            </w:pPr>
            <w:r>
              <w:rPr>
                <w:rFonts w:hint="eastAsia"/>
                <w:bCs/>
                <w:color w:val="auto"/>
                <w:sz w:val="18"/>
                <w:szCs w:val="18"/>
              </w:rPr>
              <w:t>目标1.3，</w:t>
            </w:r>
            <w:r>
              <w:rPr>
                <w:rFonts w:hint="eastAsia"/>
                <w:bCs/>
                <w:color w:val="auto"/>
                <w:sz w:val="18"/>
                <w:szCs w:val="18"/>
                <w:lang w:val="en-US" w:eastAsia="zh-CN"/>
              </w:rPr>
              <w:t>1.4，</w:t>
            </w:r>
            <w:r>
              <w:rPr>
                <w:rFonts w:hint="eastAsia"/>
                <w:bCs/>
                <w:color w:val="auto"/>
                <w:sz w:val="18"/>
                <w:szCs w:val="18"/>
              </w:rPr>
              <w:t>2.3</w:t>
            </w:r>
            <w:r>
              <w:rPr>
                <w:rFonts w:hint="eastAsia"/>
                <w:bCs/>
                <w:color w:val="auto"/>
                <w:sz w:val="18"/>
                <w:szCs w:val="18"/>
                <w:lang w:val="en-US" w:eastAsia="zh-CN"/>
              </w:rPr>
              <w:t>，2.4，</w:t>
            </w:r>
            <w:r>
              <w:rPr>
                <w:rFonts w:hint="eastAsia"/>
                <w:bCs/>
                <w:color w:val="auto"/>
                <w:sz w:val="18"/>
                <w:szCs w:val="18"/>
              </w:rPr>
              <w:t>3.3</w:t>
            </w:r>
            <w:r>
              <w:rPr>
                <w:rFonts w:hint="eastAsia"/>
                <w:bCs/>
                <w:color w:val="auto"/>
                <w:sz w:val="18"/>
                <w:szCs w:val="18"/>
                <w:lang w:eastAsia="zh-CN"/>
              </w:rPr>
              <w:t>，</w:t>
            </w:r>
            <w:r>
              <w:rPr>
                <w:rFonts w:hint="eastAsia"/>
                <w:bCs/>
                <w:color w:val="auto"/>
                <w:sz w:val="18"/>
                <w:szCs w:val="18"/>
                <w:lang w:val="en-US" w:eastAsia="zh-CN"/>
              </w:rPr>
              <w:t>3.4</w:t>
            </w:r>
          </w:p>
        </w:tc>
      </w:tr>
      <w:tr w14:paraId="03DA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41606675">
            <w:pPr>
              <w:spacing w:line="240" w:lineRule="exact"/>
              <w:jc w:val="center"/>
              <w:rPr>
                <w:rFonts w:hint="eastAsia"/>
                <w:b/>
                <w:bCs w:val="0"/>
                <w:color w:val="auto"/>
                <w:sz w:val="18"/>
                <w:szCs w:val="18"/>
                <w:lang w:val="en-US" w:eastAsia="zh-CN"/>
              </w:rPr>
            </w:pPr>
            <w:bookmarkStart w:id="1" w:name="_Hlk206931551"/>
            <w:r>
              <w:rPr>
                <w:rFonts w:hint="eastAsia"/>
                <w:b/>
                <w:bCs w:val="0"/>
                <w:color w:val="auto"/>
                <w:sz w:val="18"/>
                <w:szCs w:val="18"/>
                <w:lang w:val="en-US" w:eastAsia="zh-CN"/>
              </w:rPr>
              <w:t>第三单元</w:t>
            </w:r>
          </w:p>
          <w:bookmarkEnd w:id="1"/>
          <w:p w14:paraId="694290C9">
            <w:pPr>
              <w:spacing w:line="240" w:lineRule="exact"/>
              <w:jc w:val="center"/>
              <w:rPr>
                <w:rFonts w:hint="eastAsia"/>
                <w:bCs/>
                <w:color w:val="auto"/>
                <w:sz w:val="18"/>
                <w:szCs w:val="18"/>
              </w:rPr>
            </w:pPr>
            <w:r>
              <w:rPr>
                <w:rFonts w:hint="eastAsia"/>
                <w:bCs/>
                <w:color w:val="auto"/>
                <w:sz w:val="18"/>
                <w:szCs w:val="18"/>
              </w:rPr>
              <w:t>控制电动机</w:t>
            </w:r>
          </w:p>
        </w:tc>
        <w:tc>
          <w:tcPr>
            <w:tcW w:w="463" w:type="pct"/>
            <w:tcBorders>
              <w:left w:val="single" w:color="auto" w:sz="4" w:space="0"/>
              <w:right w:val="single" w:color="auto" w:sz="4" w:space="0"/>
            </w:tcBorders>
            <w:noWrap w:val="0"/>
            <w:vAlign w:val="center"/>
          </w:tcPr>
          <w:p w14:paraId="4F6973DD">
            <w:pPr>
              <w:spacing w:line="240" w:lineRule="exact"/>
              <w:jc w:val="center"/>
              <w:rPr>
                <w:rFonts w:hint="eastAsia" w:eastAsia="宋体"/>
                <w:color w:val="auto"/>
                <w:lang w:eastAsia="zh-CN"/>
              </w:rPr>
            </w:pPr>
            <w:r>
              <w:rPr>
                <w:rFonts w:hint="eastAsia"/>
                <w:color w:val="auto"/>
                <w:lang w:val="en-US" w:eastAsia="zh-CN"/>
              </w:rPr>
              <w:t>6</w:t>
            </w:r>
          </w:p>
        </w:tc>
        <w:tc>
          <w:tcPr>
            <w:tcW w:w="372" w:type="pct"/>
            <w:tcBorders>
              <w:left w:val="single" w:color="auto" w:sz="4" w:space="0"/>
              <w:right w:val="single" w:color="auto" w:sz="4" w:space="0"/>
            </w:tcBorders>
            <w:noWrap w:val="0"/>
            <w:vAlign w:val="center"/>
          </w:tcPr>
          <w:p w14:paraId="7B839EAC">
            <w:pPr>
              <w:spacing w:line="240" w:lineRule="exact"/>
              <w:jc w:val="center"/>
              <w:rPr>
                <w:rFonts w:hint="eastAsia" w:eastAsia="宋体"/>
                <w:color w:val="auto"/>
                <w:lang w:eastAsia="zh-CN"/>
              </w:rPr>
            </w:pPr>
            <w:r>
              <w:rPr>
                <w:rFonts w:hint="eastAsia" w:eastAsia="宋体"/>
                <w:color w:val="auto"/>
                <w:lang w:val="en-US" w:eastAsia="zh-CN"/>
              </w:rPr>
              <w:t>6</w:t>
            </w:r>
          </w:p>
        </w:tc>
        <w:tc>
          <w:tcPr>
            <w:tcW w:w="348" w:type="pct"/>
            <w:tcBorders>
              <w:left w:val="single" w:color="auto" w:sz="4" w:space="0"/>
              <w:right w:val="single" w:color="auto" w:sz="4" w:space="0"/>
            </w:tcBorders>
            <w:noWrap w:val="0"/>
            <w:vAlign w:val="center"/>
          </w:tcPr>
          <w:p w14:paraId="251F5159">
            <w:pPr>
              <w:spacing w:line="240" w:lineRule="exact"/>
              <w:jc w:val="center"/>
              <w:rPr>
                <w:rFonts w:hint="eastAsia" w:eastAsia="宋体"/>
                <w:color w:val="auto"/>
                <w:lang w:val="en-US" w:eastAsia="zh-CN"/>
              </w:rPr>
            </w:pPr>
          </w:p>
        </w:tc>
        <w:tc>
          <w:tcPr>
            <w:tcW w:w="666" w:type="pct"/>
            <w:vMerge w:val="continue"/>
            <w:tcBorders>
              <w:left w:val="single" w:color="auto" w:sz="4" w:space="0"/>
              <w:right w:val="single" w:color="auto" w:sz="4" w:space="0"/>
            </w:tcBorders>
            <w:noWrap w:val="0"/>
            <w:vAlign w:val="center"/>
          </w:tcPr>
          <w:p w14:paraId="060E25AB">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29D70B95">
            <w:pPr>
              <w:spacing w:line="240" w:lineRule="exact"/>
              <w:jc w:val="center"/>
              <w:rPr>
                <w:rFonts w:hint="eastAsia"/>
                <w:color w:val="auto"/>
                <w:sz w:val="18"/>
                <w:szCs w:val="18"/>
              </w:rPr>
            </w:pPr>
            <w:r>
              <w:rPr>
                <w:rFonts w:hint="eastAsia"/>
                <w:color w:val="auto"/>
                <w:sz w:val="18"/>
                <w:szCs w:val="18"/>
                <w:lang w:val="en-US" w:eastAsia="zh-CN"/>
              </w:rPr>
              <w:t>25</w:t>
            </w:r>
            <w:r>
              <w:rPr>
                <w:rFonts w:hint="eastAsia"/>
                <w:color w:val="auto"/>
                <w:sz w:val="18"/>
                <w:szCs w:val="18"/>
              </w:rPr>
              <w:t>%</w:t>
            </w:r>
          </w:p>
        </w:tc>
        <w:tc>
          <w:tcPr>
            <w:tcW w:w="711" w:type="pct"/>
            <w:tcBorders>
              <w:left w:val="single" w:color="auto" w:sz="4" w:space="0"/>
              <w:right w:val="single" w:color="auto" w:sz="4" w:space="0"/>
            </w:tcBorders>
            <w:noWrap w:val="0"/>
            <w:vAlign w:val="center"/>
          </w:tcPr>
          <w:p w14:paraId="5CD93FB0">
            <w:pPr>
              <w:spacing w:line="240" w:lineRule="exact"/>
              <w:jc w:val="center"/>
              <w:rPr>
                <w:rFonts w:hint="eastAsia"/>
                <w:color w:val="auto"/>
                <w:sz w:val="18"/>
                <w:szCs w:val="18"/>
              </w:rPr>
            </w:pPr>
            <w:r>
              <w:rPr>
                <w:rFonts w:hint="eastAsia"/>
                <w:color w:val="auto"/>
                <w:sz w:val="18"/>
                <w:szCs w:val="18"/>
                <w:lang w:val="en-US" w:eastAsia="zh-CN"/>
              </w:rPr>
              <w:t>30</w:t>
            </w:r>
            <w:r>
              <w:rPr>
                <w:rFonts w:hint="eastAsia"/>
                <w:color w:val="auto"/>
                <w:sz w:val="18"/>
                <w:szCs w:val="18"/>
              </w:rPr>
              <w:t>%</w:t>
            </w:r>
          </w:p>
        </w:tc>
        <w:tc>
          <w:tcPr>
            <w:tcW w:w="649" w:type="pct"/>
            <w:tcBorders>
              <w:left w:val="single" w:color="auto" w:sz="4" w:space="0"/>
              <w:right w:val="single" w:color="auto" w:sz="4" w:space="0"/>
            </w:tcBorders>
            <w:noWrap w:val="0"/>
            <w:vAlign w:val="center"/>
          </w:tcPr>
          <w:p w14:paraId="41B8CBC9">
            <w:pPr>
              <w:spacing w:line="240" w:lineRule="exact"/>
              <w:jc w:val="center"/>
              <w:rPr>
                <w:rFonts w:hint="eastAsia" w:eastAsia="宋体"/>
                <w:color w:val="auto"/>
                <w:lang w:eastAsia="zh-CN"/>
              </w:rPr>
            </w:pPr>
            <w:r>
              <w:rPr>
                <w:rFonts w:hint="eastAsia"/>
                <w:bCs/>
                <w:color w:val="auto"/>
                <w:sz w:val="18"/>
                <w:szCs w:val="18"/>
              </w:rPr>
              <w:t>目标1.</w:t>
            </w:r>
            <w:r>
              <w:rPr>
                <w:rFonts w:hint="eastAsia"/>
                <w:bCs/>
                <w:color w:val="auto"/>
                <w:sz w:val="18"/>
                <w:szCs w:val="18"/>
                <w:lang w:val="en-US" w:eastAsia="zh-CN"/>
              </w:rPr>
              <w:t>5</w:t>
            </w:r>
            <w:r>
              <w:rPr>
                <w:rFonts w:hint="eastAsia"/>
                <w:bCs/>
                <w:color w:val="auto"/>
                <w:sz w:val="18"/>
                <w:szCs w:val="18"/>
              </w:rPr>
              <w:t>，2.</w:t>
            </w:r>
            <w:r>
              <w:rPr>
                <w:rFonts w:hint="eastAsia"/>
                <w:bCs/>
                <w:color w:val="auto"/>
                <w:sz w:val="18"/>
                <w:szCs w:val="18"/>
                <w:lang w:val="en-US" w:eastAsia="zh-CN"/>
              </w:rPr>
              <w:t>5</w:t>
            </w:r>
            <w:r>
              <w:rPr>
                <w:rFonts w:hint="eastAsia"/>
                <w:bCs/>
                <w:color w:val="auto"/>
                <w:sz w:val="18"/>
                <w:szCs w:val="18"/>
              </w:rPr>
              <w:t>，3.</w:t>
            </w:r>
            <w:r>
              <w:rPr>
                <w:rFonts w:hint="eastAsia"/>
                <w:bCs/>
                <w:color w:val="auto"/>
                <w:sz w:val="18"/>
                <w:szCs w:val="18"/>
                <w:lang w:val="en-US" w:eastAsia="zh-CN"/>
              </w:rPr>
              <w:t>5</w:t>
            </w:r>
          </w:p>
        </w:tc>
      </w:tr>
      <w:tr w14:paraId="6EA6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5B4FE00D">
            <w:pPr>
              <w:spacing w:line="240" w:lineRule="exact"/>
              <w:jc w:val="center"/>
              <w:rPr>
                <w:rFonts w:hint="eastAsia"/>
                <w:b/>
                <w:bCs w:val="0"/>
                <w:color w:val="auto"/>
                <w:sz w:val="18"/>
                <w:szCs w:val="18"/>
                <w:lang w:val="en-US" w:eastAsia="zh-CN"/>
              </w:rPr>
            </w:pPr>
            <w:r>
              <w:rPr>
                <w:rFonts w:hint="eastAsia"/>
                <w:b/>
                <w:bCs w:val="0"/>
                <w:color w:val="auto"/>
                <w:sz w:val="18"/>
                <w:szCs w:val="18"/>
                <w:lang w:val="en-US" w:eastAsia="zh-CN"/>
              </w:rPr>
              <w:t>第四单元</w:t>
            </w:r>
          </w:p>
          <w:p w14:paraId="7C56F72A">
            <w:pPr>
              <w:spacing w:line="240" w:lineRule="exact"/>
              <w:jc w:val="center"/>
              <w:rPr>
                <w:rFonts w:hint="eastAsia"/>
                <w:bCs/>
                <w:color w:val="auto"/>
                <w:sz w:val="18"/>
                <w:szCs w:val="18"/>
              </w:rPr>
            </w:pPr>
            <w:r>
              <w:rPr>
                <w:rFonts w:hint="eastAsia"/>
                <w:bCs/>
                <w:color w:val="auto"/>
                <w:sz w:val="18"/>
                <w:szCs w:val="18"/>
              </w:rPr>
              <w:t>继电器-接触器控制</w:t>
            </w:r>
          </w:p>
        </w:tc>
        <w:tc>
          <w:tcPr>
            <w:tcW w:w="463" w:type="pct"/>
            <w:tcBorders>
              <w:left w:val="single" w:color="auto" w:sz="4" w:space="0"/>
              <w:right w:val="single" w:color="auto" w:sz="4" w:space="0"/>
            </w:tcBorders>
            <w:noWrap w:val="0"/>
            <w:vAlign w:val="center"/>
          </w:tcPr>
          <w:p w14:paraId="4E4958FE">
            <w:pPr>
              <w:spacing w:line="240" w:lineRule="exact"/>
              <w:jc w:val="center"/>
              <w:rPr>
                <w:rFonts w:hint="eastAsia" w:eastAsia="宋体"/>
                <w:color w:val="auto"/>
                <w:lang w:eastAsia="zh-CN"/>
              </w:rPr>
            </w:pPr>
            <w:r>
              <w:rPr>
                <w:rFonts w:hint="eastAsia"/>
                <w:color w:val="auto"/>
                <w:lang w:val="en-US" w:eastAsia="zh-CN"/>
              </w:rPr>
              <w:t>6</w:t>
            </w:r>
          </w:p>
        </w:tc>
        <w:tc>
          <w:tcPr>
            <w:tcW w:w="372" w:type="pct"/>
            <w:tcBorders>
              <w:left w:val="single" w:color="auto" w:sz="4" w:space="0"/>
              <w:right w:val="single" w:color="auto" w:sz="4" w:space="0"/>
            </w:tcBorders>
            <w:noWrap w:val="0"/>
            <w:vAlign w:val="center"/>
          </w:tcPr>
          <w:p w14:paraId="6F539AC3">
            <w:pPr>
              <w:spacing w:line="240" w:lineRule="exact"/>
              <w:jc w:val="center"/>
              <w:rPr>
                <w:rFonts w:hint="eastAsia" w:eastAsia="宋体"/>
                <w:color w:val="auto"/>
                <w:lang w:eastAsia="zh-CN"/>
              </w:rPr>
            </w:pPr>
            <w:r>
              <w:rPr>
                <w:rFonts w:hint="eastAsia"/>
                <w:color w:val="auto"/>
                <w:lang w:val="en-US" w:eastAsia="zh-CN"/>
              </w:rPr>
              <w:t>6</w:t>
            </w:r>
          </w:p>
        </w:tc>
        <w:tc>
          <w:tcPr>
            <w:tcW w:w="348" w:type="pct"/>
            <w:tcBorders>
              <w:left w:val="single" w:color="auto" w:sz="4" w:space="0"/>
              <w:right w:val="single" w:color="auto" w:sz="4" w:space="0"/>
            </w:tcBorders>
            <w:noWrap w:val="0"/>
            <w:vAlign w:val="center"/>
          </w:tcPr>
          <w:p w14:paraId="78543491">
            <w:pPr>
              <w:spacing w:line="240" w:lineRule="exact"/>
              <w:jc w:val="center"/>
              <w:rPr>
                <w:rFonts w:hint="default" w:eastAsia="宋体"/>
                <w:color w:val="auto"/>
                <w:lang w:val="en-US" w:eastAsia="zh-CN"/>
              </w:rPr>
            </w:pPr>
          </w:p>
        </w:tc>
        <w:tc>
          <w:tcPr>
            <w:tcW w:w="666" w:type="pct"/>
            <w:vMerge w:val="continue"/>
            <w:tcBorders>
              <w:left w:val="single" w:color="auto" w:sz="4" w:space="0"/>
              <w:right w:val="single" w:color="auto" w:sz="4" w:space="0"/>
            </w:tcBorders>
            <w:noWrap w:val="0"/>
            <w:vAlign w:val="center"/>
          </w:tcPr>
          <w:p w14:paraId="7977502F">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36907D5B">
            <w:pPr>
              <w:spacing w:line="240" w:lineRule="exact"/>
              <w:jc w:val="center"/>
              <w:rPr>
                <w:rFonts w:hint="eastAsia"/>
                <w:color w:val="auto"/>
                <w:sz w:val="18"/>
                <w:szCs w:val="18"/>
              </w:rPr>
            </w:pPr>
            <w:r>
              <w:rPr>
                <w:rFonts w:hint="eastAsia"/>
                <w:color w:val="auto"/>
                <w:sz w:val="18"/>
                <w:szCs w:val="18"/>
                <w:lang w:val="en-US" w:eastAsia="zh-CN"/>
              </w:rPr>
              <w:t>20</w:t>
            </w:r>
            <w:r>
              <w:rPr>
                <w:rFonts w:hint="eastAsia"/>
                <w:color w:val="auto"/>
                <w:sz w:val="18"/>
                <w:szCs w:val="18"/>
              </w:rPr>
              <w:t>%</w:t>
            </w:r>
          </w:p>
        </w:tc>
        <w:tc>
          <w:tcPr>
            <w:tcW w:w="711" w:type="pct"/>
            <w:tcBorders>
              <w:left w:val="single" w:color="auto" w:sz="4" w:space="0"/>
              <w:right w:val="single" w:color="auto" w:sz="4" w:space="0"/>
            </w:tcBorders>
            <w:noWrap w:val="0"/>
            <w:vAlign w:val="center"/>
          </w:tcPr>
          <w:p w14:paraId="7AD96C6D">
            <w:pPr>
              <w:spacing w:line="240" w:lineRule="exact"/>
              <w:jc w:val="center"/>
              <w:rPr>
                <w:rFonts w:hint="eastAsia"/>
                <w:color w:val="auto"/>
                <w:sz w:val="18"/>
                <w:szCs w:val="18"/>
              </w:rPr>
            </w:pPr>
            <w:r>
              <w:rPr>
                <w:rFonts w:hint="eastAsia"/>
                <w:color w:val="auto"/>
                <w:sz w:val="18"/>
                <w:szCs w:val="18"/>
              </w:rPr>
              <w:t>20%</w:t>
            </w:r>
          </w:p>
        </w:tc>
        <w:tc>
          <w:tcPr>
            <w:tcW w:w="649" w:type="pct"/>
            <w:tcBorders>
              <w:left w:val="single" w:color="auto" w:sz="4" w:space="0"/>
              <w:right w:val="single" w:color="auto" w:sz="4" w:space="0"/>
            </w:tcBorders>
            <w:noWrap w:val="0"/>
            <w:vAlign w:val="center"/>
          </w:tcPr>
          <w:p w14:paraId="7395007F">
            <w:pPr>
              <w:spacing w:line="240" w:lineRule="exact"/>
              <w:jc w:val="center"/>
              <w:rPr>
                <w:rFonts w:hint="eastAsia" w:eastAsia="宋体"/>
                <w:color w:val="auto"/>
                <w:lang w:eastAsia="zh-CN"/>
              </w:rPr>
            </w:pPr>
            <w:r>
              <w:rPr>
                <w:rFonts w:hint="eastAsia"/>
                <w:bCs/>
                <w:color w:val="auto"/>
                <w:sz w:val="18"/>
                <w:szCs w:val="18"/>
              </w:rPr>
              <w:t>目标1.</w:t>
            </w:r>
            <w:r>
              <w:rPr>
                <w:rFonts w:hint="eastAsia"/>
                <w:bCs/>
                <w:color w:val="auto"/>
                <w:sz w:val="18"/>
                <w:szCs w:val="18"/>
                <w:lang w:val="en-US" w:eastAsia="zh-CN"/>
              </w:rPr>
              <w:t>6</w:t>
            </w:r>
            <w:r>
              <w:rPr>
                <w:rFonts w:hint="eastAsia"/>
                <w:bCs/>
                <w:color w:val="auto"/>
                <w:sz w:val="18"/>
                <w:szCs w:val="18"/>
              </w:rPr>
              <w:t>，2.</w:t>
            </w:r>
            <w:r>
              <w:rPr>
                <w:rFonts w:hint="eastAsia"/>
                <w:bCs/>
                <w:color w:val="auto"/>
                <w:sz w:val="18"/>
                <w:szCs w:val="18"/>
                <w:lang w:val="en-US" w:eastAsia="zh-CN"/>
              </w:rPr>
              <w:t>6</w:t>
            </w:r>
            <w:r>
              <w:rPr>
                <w:rFonts w:hint="eastAsia"/>
                <w:bCs/>
                <w:color w:val="auto"/>
                <w:sz w:val="18"/>
                <w:szCs w:val="18"/>
              </w:rPr>
              <w:t>，3.</w:t>
            </w:r>
            <w:r>
              <w:rPr>
                <w:rFonts w:hint="eastAsia"/>
                <w:bCs/>
                <w:color w:val="auto"/>
                <w:sz w:val="18"/>
                <w:szCs w:val="18"/>
                <w:lang w:val="en-US" w:eastAsia="zh-CN"/>
              </w:rPr>
              <w:t>6</w:t>
            </w:r>
          </w:p>
        </w:tc>
      </w:tr>
      <w:tr w14:paraId="7F6A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584" w:type="pct"/>
            <w:tcBorders>
              <w:left w:val="single" w:color="auto" w:sz="4" w:space="0"/>
              <w:bottom w:val="single" w:color="auto" w:sz="4" w:space="0"/>
              <w:right w:val="single" w:color="auto" w:sz="4" w:space="0"/>
            </w:tcBorders>
            <w:noWrap w:val="0"/>
            <w:vAlign w:val="center"/>
          </w:tcPr>
          <w:p w14:paraId="3F7AF3DB">
            <w:pPr>
              <w:spacing w:line="240" w:lineRule="exact"/>
              <w:jc w:val="center"/>
              <w:rPr>
                <w:rFonts w:hint="eastAsia"/>
                <w:b/>
                <w:color w:val="auto"/>
              </w:rPr>
            </w:pPr>
            <w:r>
              <w:rPr>
                <w:rFonts w:hint="eastAsia"/>
                <w:b/>
                <w:color w:val="auto"/>
              </w:rPr>
              <w:t>合计</w:t>
            </w:r>
          </w:p>
        </w:tc>
        <w:tc>
          <w:tcPr>
            <w:tcW w:w="463" w:type="pct"/>
            <w:tcBorders>
              <w:left w:val="single" w:color="auto" w:sz="4" w:space="0"/>
              <w:bottom w:val="single" w:color="auto" w:sz="4" w:space="0"/>
              <w:right w:val="single" w:color="auto" w:sz="4" w:space="0"/>
            </w:tcBorders>
            <w:noWrap w:val="0"/>
            <w:vAlign w:val="center"/>
          </w:tcPr>
          <w:p w14:paraId="11B1C8D0">
            <w:pPr>
              <w:spacing w:line="240" w:lineRule="exact"/>
              <w:jc w:val="center"/>
              <w:rPr>
                <w:rFonts w:hint="default" w:eastAsia="宋体"/>
                <w:b/>
                <w:color w:val="auto"/>
                <w:lang w:val="en-US" w:eastAsia="zh-CN"/>
              </w:rPr>
            </w:pPr>
            <w:r>
              <w:rPr>
                <w:rFonts w:hint="eastAsia"/>
                <w:b/>
                <w:color w:val="auto"/>
                <w:lang w:val="en-US" w:eastAsia="zh-CN"/>
              </w:rPr>
              <w:t>3</w:t>
            </w:r>
            <w:r>
              <w:rPr>
                <w:rFonts w:hint="eastAsia"/>
                <w:b/>
                <w:color w:val="auto"/>
                <w:lang w:val="en-US" w:eastAsia="zh-CN"/>
              </w:rPr>
              <w:t>2</w:t>
            </w:r>
          </w:p>
        </w:tc>
        <w:tc>
          <w:tcPr>
            <w:tcW w:w="372" w:type="pct"/>
            <w:tcBorders>
              <w:left w:val="single" w:color="auto" w:sz="4" w:space="0"/>
              <w:bottom w:val="single" w:color="auto" w:sz="4" w:space="0"/>
              <w:right w:val="single" w:color="auto" w:sz="4" w:space="0"/>
            </w:tcBorders>
            <w:noWrap w:val="0"/>
            <w:vAlign w:val="center"/>
          </w:tcPr>
          <w:p w14:paraId="2C64648F">
            <w:pPr>
              <w:spacing w:line="240" w:lineRule="exact"/>
              <w:jc w:val="center"/>
              <w:rPr>
                <w:rFonts w:hint="default" w:eastAsia="宋体"/>
                <w:b/>
                <w:color w:val="auto"/>
                <w:lang w:val="en-US" w:eastAsia="zh-CN"/>
              </w:rPr>
            </w:pPr>
            <w:r>
              <w:rPr>
                <w:rFonts w:hint="eastAsia"/>
                <w:b/>
                <w:color w:val="auto"/>
                <w:lang w:val="en-US" w:eastAsia="zh-CN"/>
              </w:rPr>
              <w:t>32</w:t>
            </w:r>
          </w:p>
        </w:tc>
        <w:tc>
          <w:tcPr>
            <w:tcW w:w="348" w:type="pct"/>
            <w:tcBorders>
              <w:left w:val="single" w:color="auto" w:sz="4" w:space="0"/>
              <w:bottom w:val="single" w:color="auto" w:sz="4" w:space="0"/>
              <w:right w:val="single" w:color="auto" w:sz="4" w:space="0"/>
            </w:tcBorders>
            <w:noWrap w:val="0"/>
            <w:vAlign w:val="center"/>
          </w:tcPr>
          <w:p w14:paraId="44853507">
            <w:pPr>
              <w:spacing w:line="240" w:lineRule="exact"/>
              <w:jc w:val="center"/>
              <w:rPr>
                <w:rFonts w:hint="eastAsia" w:eastAsia="宋体"/>
                <w:b/>
                <w:color w:val="auto"/>
                <w:lang w:val="en-US" w:eastAsia="zh-CN"/>
              </w:rPr>
            </w:pPr>
            <w:r>
              <w:rPr>
                <w:rFonts w:hint="eastAsia"/>
                <w:b/>
                <w:color w:val="auto"/>
                <w:lang w:val="en-US" w:eastAsia="zh-CN"/>
              </w:rPr>
              <w:t>0</w:t>
            </w:r>
          </w:p>
        </w:tc>
        <w:tc>
          <w:tcPr>
            <w:tcW w:w="666" w:type="pct"/>
            <w:tcBorders>
              <w:left w:val="single" w:color="auto" w:sz="4" w:space="0"/>
              <w:bottom w:val="single" w:color="auto" w:sz="4" w:space="0"/>
              <w:right w:val="single" w:color="auto" w:sz="4" w:space="0"/>
            </w:tcBorders>
            <w:noWrap w:val="0"/>
            <w:vAlign w:val="center"/>
          </w:tcPr>
          <w:p w14:paraId="367C11EC">
            <w:pPr>
              <w:spacing w:line="240" w:lineRule="exact"/>
              <w:jc w:val="center"/>
              <w:rPr>
                <w:rFonts w:hint="eastAsia"/>
                <w:b/>
                <w:color w:val="auto"/>
              </w:rPr>
            </w:pPr>
            <w:r>
              <w:rPr>
                <w:rFonts w:hint="eastAsia"/>
                <w:b/>
                <w:color w:val="auto"/>
              </w:rPr>
              <w:t>——</w:t>
            </w:r>
          </w:p>
        </w:tc>
        <w:tc>
          <w:tcPr>
            <w:tcW w:w="1205" w:type="pct"/>
            <w:tcBorders>
              <w:left w:val="single" w:color="auto" w:sz="4" w:space="0"/>
              <w:bottom w:val="single" w:color="auto" w:sz="4" w:space="0"/>
              <w:right w:val="single" w:color="auto" w:sz="4" w:space="0"/>
            </w:tcBorders>
            <w:noWrap w:val="0"/>
            <w:vAlign w:val="center"/>
          </w:tcPr>
          <w:p w14:paraId="5F432DA9">
            <w:pPr>
              <w:spacing w:line="240" w:lineRule="exact"/>
              <w:jc w:val="center"/>
              <w:rPr>
                <w:rFonts w:hint="eastAsia"/>
                <w:b/>
                <w:color w:val="auto"/>
              </w:rPr>
            </w:pPr>
            <w:r>
              <w:rPr>
                <w:rFonts w:hint="eastAsia"/>
                <w:b/>
                <w:color w:val="auto"/>
              </w:rPr>
              <w:t>100%</w:t>
            </w:r>
          </w:p>
        </w:tc>
        <w:tc>
          <w:tcPr>
            <w:tcW w:w="711" w:type="pct"/>
            <w:tcBorders>
              <w:left w:val="single" w:color="auto" w:sz="4" w:space="0"/>
              <w:bottom w:val="single" w:color="auto" w:sz="4" w:space="0"/>
              <w:right w:val="single" w:color="auto" w:sz="4" w:space="0"/>
            </w:tcBorders>
            <w:noWrap w:val="0"/>
            <w:vAlign w:val="center"/>
          </w:tcPr>
          <w:p w14:paraId="6716F3A9">
            <w:pPr>
              <w:spacing w:line="240" w:lineRule="exact"/>
              <w:jc w:val="center"/>
              <w:rPr>
                <w:rFonts w:hint="eastAsia"/>
                <w:b/>
                <w:color w:val="auto"/>
              </w:rPr>
            </w:pPr>
            <w:r>
              <w:rPr>
                <w:rFonts w:hint="eastAsia"/>
                <w:b/>
                <w:color w:val="auto"/>
              </w:rPr>
              <w:t>100%</w:t>
            </w:r>
          </w:p>
        </w:tc>
        <w:tc>
          <w:tcPr>
            <w:tcW w:w="649" w:type="pct"/>
            <w:tcBorders>
              <w:left w:val="single" w:color="auto" w:sz="4" w:space="0"/>
              <w:bottom w:val="single" w:color="auto" w:sz="4" w:space="0"/>
              <w:right w:val="single" w:color="auto" w:sz="4" w:space="0"/>
            </w:tcBorders>
            <w:noWrap w:val="0"/>
            <w:vAlign w:val="center"/>
          </w:tcPr>
          <w:p w14:paraId="1F1CED4A">
            <w:pPr>
              <w:spacing w:line="240" w:lineRule="exact"/>
              <w:jc w:val="center"/>
              <w:rPr>
                <w:rFonts w:hint="eastAsia" w:eastAsia="宋体"/>
                <w:b/>
                <w:color w:val="auto"/>
                <w:lang w:eastAsia="zh-CN"/>
              </w:rPr>
            </w:pPr>
            <w:r>
              <w:rPr>
                <w:rFonts w:hint="eastAsia"/>
                <w:b/>
                <w:color w:val="auto"/>
                <w:lang w:eastAsia="zh-CN"/>
              </w:rPr>
              <w:t>——</w:t>
            </w:r>
          </w:p>
        </w:tc>
      </w:tr>
    </w:tbl>
    <w:p w14:paraId="48678CE7">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b/>
          <w:color w:val="auto"/>
          <w:sz w:val="24"/>
          <w:szCs w:val="24"/>
        </w:rPr>
      </w:pPr>
      <w:r>
        <w:rPr>
          <w:rFonts w:hint="eastAsia"/>
          <w:b/>
          <w:color w:val="auto"/>
          <w:sz w:val="24"/>
          <w:szCs w:val="24"/>
        </w:rPr>
        <w:t>（二）考核方式与评分标准</w:t>
      </w:r>
    </w:p>
    <w:p w14:paraId="53F5F1C0">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1.考核方式</w:t>
      </w:r>
    </w:p>
    <w:p w14:paraId="1DA359FB">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0" w:firstLineChars="200"/>
        <w:textAlignment w:val="auto"/>
        <w:rPr>
          <w:color w:val="auto"/>
        </w:rPr>
      </w:pPr>
      <w:r>
        <w:rPr>
          <w:rFonts w:hint="eastAsia"/>
          <w:color w:val="auto"/>
        </w:rPr>
        <w:t>考</w:t>
      </w:r>
      <w:r>
        <w:rPr>
          <w:rFonts w:hint="eastAsia"/>
          <w:color w:val="auto"/>
          <w:lang w:val="en-US" w:eastAsia="zh-CN"/>
        </w:rPr>
        <w:t>查</w:t>
      </w:r>
      <w:r>
        <w:rPr>
          <w:rFonts w:hint="eastAsia"/>
          <w:color w:val="auto"/>
        </w:rPr>
        <w:t>。</w:t>
      </w:r>
    </w:p>
    <w:p w14:paraId="393C6C9F">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2.评分说明</w:t>
      </w:r>
    </w:p>
    <w:p w14:paraId="26B8301F">
      <w:pPr>
        <w:keepNext w:val="0"/>
        <w:keepLines w:val="0"/>
        <w:pageBreakBefore w:val="0"/>
        <w:widowControl w:val="0"/>
        <w:tabs>
          <w:tab w:val="left" w:pos="1824"/>
        </w:tabs>
        <w:kinsoku/>
        <w:wordWrap/>
        <w:overflowPunct/>
        <w:topLinePunct w:val="0"/>
        <w:autoSpaceDE/>
        <w:autoSpaceDN/>
        <w:bidi w:val="0"/>
        <w:adjustRightInd/>
        <w:snapToGrid/>
        <w:spacing w:line="400" w:lineRule="exact"/>
        <w:ind w:firstLine="420" w:firstLineChars="200"/>
        <w:textAlignment w:val="auto"/>
        <w:rPr>
          <w:rFonts w:hint="eastAsia" w:eastAsia="宋体"/>
          <w:color w:val="auto"/>
          <w:lang w:eastAsia="zh-CN"/>
        </w:rPr>
      </w:pPr>
      <w:r>
        <w:rPr>
          <w:rFonts w:hint="eastAsia"/>
          <w:color w:val="auto"/>
        </w:rPr>
        <w:t>考核内容包含</w:t>
      </w:r>
      <w:r>
        <w:rPr>
          <w:rFonts w:hint="eastAsia"/>
          <w:color w:val="auto"/>
          <w:lang w:val="en-US" w:eastAsia="zh-CN"/>
        </w:rPr>
        <w:t>5</w:t>
      </w:r>
      <w:r>
        <w:rPr>
          <w:rFonts w:hint="eastAsia"/>
          <w:color w:val="auto"/>
        </w:rPr>
        <w:t>部分：绪论、动力学基础、直流与交流电动机的工作原理及特性、控制电动机、继电器-接触器控制。考核</w:t>
      </w:r>
      <w:r>
        <w:rPr>
          <w:rFonts w:hint="eastAsia"/>
          <w:color w:val="auto"/>
          <w:lang w:val="en-US" w:eastAsia="zh-CN"/>
        </w:rPr>
        <w:t>方式</w:t>
      </w:r>
      <w:r>
        <w:rPr>
          <w:rFonts w:hint="eastAsia"/>
          <w:color w:val="auto"/>
        </w:rPr>
        <w:t>包括</w:t>
      </w:r>
      <w:r>
        <w:rPr>
          <w:rFonts w:hint="eastAsia"/>
          <w:color w:val="auto"/>
          <w:lang w:val="en-US" w:eastAsia="zh-CN"/>
        </w:rPr>
        <w:t>3</w:t>
      </w:r>
      <w:r>
        <w:rPr>
          <w:rFonts w:hint="eastAsia"/>
          <w:color w:val="auto"/>
        </w:rPr>
        <w:t>种：平时表现、课程作业、期末考试，每一种都折合成百分制记录。最终成绩100%=平时表现20%＋课程作业</w:t>
      </w:r>
      <w:r>
        <w:rPr>
          <w:rFonts w:hint="eastAsia"/>
          <w:color w:val="auto"/>
          <w:lang w:val="en-US" w:eastAsia="zh-CN"/>
        </w:rPr>
        <w:t>1</w:t>
      </w:r>
      <w:r>
        <w:rPr>
          <w:rFonts w:hint="eastAsia"/>
          <w:color w:val="auto"/>
        </w:rPr>
        <w:t>0%+期末考</w:t>
      </w:r>
      <w:r>
        <w:rPr>
          <w:rFonts w:hint="eastAsia"/>
          <w:color w:val="auto"/>
          <w:lang w:val="en-US" w:eastAsia="zh-CN"/>
        </w:rPr>
        <w:t>查7</w:t>
      </w:r>
      <w:r>
        <w:rPr>
          <w:rFonts w:hint="eastAsia"/>
          <w:color w:val="auto"/>
        </w:rPr>
        <w:t>0%。</w:t>
      </w:r>
    </w:p>
    <w:p w14:paraId="2CF3375E">
      <w:pPr>
        <w:tabs>
          <w:tab w:val="left" w:pos="1824"/>
        </w:tabs>
        <w:spacing w:line="300" w:lineRule="auto"/>
        <w:ind w:firstLine="316" w:firstLineChars="150"/>
        <w:rPr>
          <w:rFonts w:hint="eastAsia"/>
          <w:b/>
          <w:color w:val="auto"/>
        </w:rPr>
      </w:pPr>
      <w:r>
        <w:rPr>
          <w:rFonts w:hint="eastAsia"/>
          <w:b/>
          <w:color w:val="auto"/>
        </w:rPr>
        <w:t>3.评分标准分项说明</w:t>
      </w:r>
    </w:p>
    <w:p w14:paraId="0040C0EC">
      <w:pPr>
        <w:tabs>
          <w:tab w:val="left" w:pos="1824"/>
        </w:tabs>
        <w:spacing w:line="300" w:lineRule="auto"/>
        <w:ind w:firstLine="316" w:firstLineChars="150"/>
        <w:rPr>
          <w:b/>
          <w:color w:val="auto"/>
        </w:rPr>
      </w:pPr>
      <w:r>
        <w:rPr>
          <w:rFonts w:hint="eastAsia"/>
          <w:b/>
          <w:color w:val="auto"/>
        </w:rPr>
        <w:t>（1）平时表现评分标准</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1163"/>
        <w:gridCol w:w="1102"/>
        <w:gridCol w:w="5859"/>
      </w:tblGrid>
      <w:tr w14:paraId="0FB5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0CAA27BA">
            <w:pPr>
              <w:jc w:val="center"/>
              <w:rPr>
                <w:rFonts w:hint="eastAsia" w:eastAsia="宋体"/>
                <w:b/>
                <w:color w:val="auto"/>
                <w:lang w:eastAsia="zh-CN"/>
              </w:rPr>
            </w:pPr>
            <w:commentRangeStart w:id="7"/>
            <w:r>
              <w:rPr>
                <w:b/>
                <w:color w:val="auto"/>
              </w:rPr>
              <w:t>考核</w:t>
            </w:r>
            <w:r>
              <w:rPr>
                <w:rFonts w:hint="eastAsia"/>
                <w:b/>
                <w:color w:val="auto"/>
                <w:lang w:val="en-US" w:eastAsia="zh-CN"/>
              </w:rPr>
              <w:t>内容</w:t>
            </w:r>
            <w:commentRangeEnd w:id="7"/>
            <w:r>
              <w:commentReference w:id="7"/>
            </w:r>
          </w:p>
        </w:tc>
        <w:tc>
          <w:tcPr>
            <w:tcW w:w="626" w:type="pct"/>
            <w:tcBorders>
              <w:top w:val="single" w:color="auto" w:sz="4" w:space="0"/>
            </w:tcBorders>
            <w:noWrap w:val="0"/>
            <w:vAlign w:val="center"/>
          </w:tcPr>
          <w:p w14:paraId="6B8A9755">
            <w:pPr>
              <w:jc w:val="center"/>
              <w:rPr>
                <w:b/>
                <w:color w:val="auto"/>
              </w:rPr>
            </w:pPr>
            <w:r>
              <w:rPr>
                <w:b/>
                <w:color w:val="auto"/>
              </w:rPr>
              <w:t>成绩占比</w:t>
            </w:r>
          </w:p>
        </w:tc>
        <w:tc>
          <w:tcPr>
            <w:tcW w:w="3747" w:type="pct"/>
            <w:gridSpan w:val="2"/>
            <w:tcBorders>
              <w:top w:val="single" w:color="auto" w:sz="4" w:space="0"/>
            </w:tcBorders>
            <w:noWrap w:val="0"/>
            <w:vAlign w:val="center"/>
          </w:tcPr>
          <w:p w14:paraId="20413713">
            <w:pPr>
              <w:jc w:val="center"/>
              <w:rPr>
                <w:color w:val="auto"/>
              </w:rPr>
            </w:pPr>
            <w:r>
              <w:rPr>
                <w:b/>
                <w:color w:val="auto"/>
              </w:rPr>
              <w:t>评分标准</w:t>
            </w:r>
          </w:p>
        </w:tc>
      </w:tr>
      <w:tr w14:paraId="4900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514F2684">
            <w:pPr>
              <w:spacing w:line="200" w:lineRule="exact"/>
              <w:jc w:val="center"/>
              <w:rPr>
                <w:bCs/>
                <w:color w:val="auto"/>
                <w:sz w:val="18"/>
                <w:szCs w:val="18"/>
              </w:rPr>
            </w:pPr>
            <w:r>
              <w:rPr>
                <w:bCs/>
                <w:color w:val="auto"/>
                <w:sz w:val="18"/>
                <w:szCs w:val="18"/>
              </w:rPr>
              <w:t>考勤</w:t>
            </w:r>
          </w:p>
        </w:tc>
        <w:tc>
          <w:tcPr>
            <w:tcW w:w="626" w:type="pct"/>
            <w:tcBorders>
              <w:top w:val="single" w:color="auto" w:sz="4" w:space="0"/>
            </w:tcBorders>
            <w:noWrap w:val="0"/>
            <w:vAlign w:val="center"/>
          </w:tcPr>
          <w:p w14:paraId="16D5D61E">
            <w:pPr>
              <w:spacing w:line="200" w:lineRule="exact"/>
              <w:jc w:val="center"/>
              <w:rPr>
                <w:bCs/>
                <w:color w:val="auto"/>
                <w:sz w:val="18"/>
                <w:szCs w:val="18"/>
              </w:rPr>
            </w:pPr>
            <w:r>
              <w:rPr>
                <w:rFonts w:hint="eastAsia"/>
                <w:bCs/>
                <w:color w:val="auto"/>
                <w:sz w:val="18"/>
                <w:szCs w:val="18"/>
                <w:lang w:val="en-US" w:eastAsia="zh-CN"/>
              </w:rPr>
              <w:t>5</w:t>
            </w:r>
            <w:r>
              <w:rPr>
                <w:bCs/>
                <w:color w:val="auto"/>
                <w:sz w:val="18"/>
                <w:szCs w:val="18"/>
              </w:rPr>
              <w:t>0%</w:t>
            </w:r>
          </w:p>
        </w:tc>
        <w:tc>
          <w:tcPr>
            <w:tcW w:w="3747" w:type="pct"/>
            <w:gridSpan w:val="2"/>
            <w:tcBorders>
              <w:top w:val="single" w:color="auto" w:sz="4" w:space="0"/>
            </w:tcBorders>
            <w:noWrap w:val="0"/>
            <w:vAlign w:val="center"/>
          </w:tcPr>
          <w:p w14:paraId="367E4811">
            <w:pPr>
              <w:spacing w:line="200" w:lineRule="exact"/>
              <w:rPr>
                <w:bCs/>
                <w:color w:val="auto"/>
                <w:sz w:val="18"/>
                <w:szCs w:val="18"/>
              </w:rPr>
            </w:pPr>
            <w:r>
              <w:rPr>
                <w:bCs/>
                <w:color w:val="auto"/>
                <w:sz w:val="18"/>
                <w:szCs w:val="18"/>
              </w:rPr>
              <w:t>百分制，起评分100分，旷课一次扣10分，迟到一次扣5分，早退一次扣5分。注：按照《沧州交通学院学生课堂管理规定》，旷课达</w:t>
            </w:r>
            <w:r>
              <w:rPr>
                <w:rFonts w:hint="eastAsia"/>
                <w:bCs/>
                <w:color w:val="auto"/>
                <w:sz w:val="18"/>
                <w:szCs w:val="18"/>
                <w:lang w:val="en-US" w:eastAsia="zh-CN"/>
              </w:rPr>
              <w:t>3</w:t>
            </w:r>
            <w:r>
              <w:rPr>
                <w:rFonts w:hint="eastAsia"/>
                <w:bCs/>
                <w:color w:val="auto"/>
                <w:sz w:val="18"/>
                <w:szCs w:val="18"/>
                <w:lang w:val="en-US" w:eastAsia="zh-CN"/>
              </w:rPr>
              <w:t>次者</w:t>
            </w:r>
            <w:r>
              <w:rPr>
                <w:bCs/>
                <w:color w:val="auto"/>
                <w:sz w:val="18"/>
                <w:szCs w:val="18"/>
              </w:rPr>
              <w:t>，取消考试资格。</w:t>
            </w:r>
          </w:p>
        </w:tc>
      </w:tr>
      <w:tr w14:paraId="2556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restart"/>
            <w:noWrap w:val="0"/>
            <w:vAlign w:val="center"/>
          </w:tcPr>
          <w:p w14:paraId="7F5F6B96">
            <w:pPr>
              <w:widowControl/>
              <w:snapToGrid w:val="0"/>
              <w:spacing w:line="200" w:lineRule="exact"/>
              <w:jc w:val="center"/>
              <w:rPr>
                <w:color w:val="auto"/>
                <w:sz w:val="18"/>
                <w:szCs w:val="18"/>
              </w:rPr>
            </w:pPr>
            <w:r>
              <w:rPr>
                <w:color w:val="auto"/>
                <w:sz w:val="18"/>
                <w:szCs w:val="18"/>
              </w:rPr>
              <w:t>课堂表现</w:t>
            </w:r>
          </w:p>
        </w:tc>
        <w:tc>
          <w:tcPr>
            <w:tcW w:w="626" w:type="pct"/>
            <w:vMerge w:val="restart"/>
            <w:noWrap w:val="0"/>
            <w:vAlign w:val="center"/>
          </w:tcPr>
          <w:p w14:paraId="2D2FF776">
            <w:pPr>
              <w:widowControl/>
              <w:snapToGrid w:val="0"/>
              <w:spacing w:line="200" w:lineRule="exact"/>
              <w:jc w:val="center"/>
              <w:rPr>
                <w:color w:val="auto"/>
                <w:sz w:val="18"/>
                <w:szCs w:val="18"/>
              </w:rPr>
            </w:pPr>
            <w:r>
              <w:rPr>
                <w:rFonts w:hint="eastAsia"/>
                <w:color w:val="auto"/>
                <w:sz w:val="18"/>
                <w:szCs w:val="18"/>
                <w:lang w:val="en-US" w:eastAsia="zh-CN"/>
              </w:rPr>
              <w:t>5</w:t>
            </w:r>
            <w:r>
              <w:rPr>
                <w:color w:val="auto"/>
                <w:sz w:val="18"/>
                <w:szCs w:val="18"/>
              </w:rPr>
              <w:t>0%</w:t>
            </w:r>
          </w:p>
        </w:tc>
        <w:tc>
          <w:tcPr>
            <w:tcW w:w="593" w:type="pct"/>
            <w:noWrap w:val="0"/>
            <w:vAlign w:val="center"/>
          </w:tcPr>
          <w:p w14:paraId="3F8CD099">
            <w:pPr>
              <w:spacing w:line="200" w:lineRule="exact"/>
              <w:jc w:val="center"/>
              <w:rPr>
                <w:color w:val="auto"/>
                <w:sz w:val="18"/>
                <w:szCs w:val="18"/>
              </w:rPr>
            </w:pPr>
            <w:r>
              <w:rPr>
                <w:color w:val="auto"/>
                <w:sz w:val="18"/>
                <w:szCs w:val="18"/>
              </w:rPr>
              <w:t>90-100</w:t>
            </w:r>
          </w:p>
          <w:p w14:paraId="1B1F1D10">
            <w:pPr>
              <w:spacing w:line="200" w:lineRule="exact"/>
              <w:jc w:val="center"/>
              <w:rPr>
                <w:color w:val="auto"/>
                <w:sz w:val="18"/>
                <w:szCs w:val="18"/>
              </w:rPr>
            </w:pPr>
            <w:r>
              <w:rPr>
                <w:color w:val="auto"/>
                <w:sz w:val="18"/>
                <w:szCs w:val="18"/>
              </w:rPr>
              <w:t>（优）</w:t>
            </w:r>
          </w:p>
        </w:tc>
        <w:tc>
          <w:tcPr>
            <w:tcW w:w="3153" w:type="pct"/>
            <w:noWrap w:val="0"/>
            <w:vAlign w:val="center"/>
          </w:tcPr>
          <w:p w14:paraId="68CC86B6">
            <w:pPr>
              <w:spacing w:line="200" w:lineRule="exact"/>
              <w:rPr>
                <w:color w:val="auto"/>
                <w:sz w:val="18"/>
                <w:szCs w:val="18"/>
              </w:rPr>
            </w:pPr>
            <w:r>
              <w:rPr>
                <w:color w:val="auto"/>
                <w:sz w:val="18"/>
                <w:szCs w:val="18"/>
              </w:rPr>
              <w:t>认真听课、积极回答问题、团队合作精神强、随堂习作高质量完成，能快速改进问题，展现超出预期的学习效果。</w:t>
            </w:r>
          </w:p>
        </w:tc>
      </w:tr>
      <w:tr w14:paraId="4626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59051CC9">
            <w:pPr>
              <w:widowControl/>
              <w:snapToGrid w:val="0"/>
              <w:spacing w:line="200" w:lineRule="exact"/>
              <w:jc w:val="center"/>
              <w:rPr>
                <w:color w:val="auto"/>
                <w:sz w:val="18"/>
                <w:szCs w:val="18"/>
              </w:rPr>
            </w:pPr>
          </w:p>
        </w:tc>
        <w:tc>
          <w:tcPr>
            <w:tcW w:w="626" w:type="pct"/>
            <w:vMerge w:val="continue"/>
            <w:noWrap w:val="0"/>
            <w:vAlign w:val="center"/>
          </w:tcPr>
          <w:p w14:paraId="069CB355">
            <w:pPr>
              <w:widowControl/>
              <w:snapToGrid w:val="0"/>
              <w:spacing w:line="200" w:lineRule="exact"/>
              <w:jc w:val="center"/>
              <w:rPr>
                <w:color w:val="auto"/>
                <w:sz w:val="18"/>
                <w:szCs w:val="18"/>
              </w:rPr>
            </w:pPr>
          </w:p>
        </w:tc>
        <w:tc>
          <w:tcPr>
            <w:tcW w:w="593" w:type="pct"/>
            <w:noWrap w:val="0"/>
            <w:vAlign w:val="center"/>
          </w:tcPr>
          <w:p w14:paraId="282BEF01">
            <w:pPr>
              <w:spacing w:line="200" w:lineRule="exact"/>
              <w:jc w:val="center"/>
              <w:rPr>
                <w:color w:val="auto"/>
                <w:sz w:val="18"/>
                <w:szCs w:val="18"/>
              </w:rPr>
            </w:pPr>
            <w:r>
              <w:rPr>
                <w:color w:val="auto"/>
                <w:sz w:val="18"/>
                <w:szCs w:val="18"/>
              </w:rPr>
              <w:t>80-89</w:t>
            </w:r>
          </w:p>
          <w:p w14:paraId="1045AB69">
            <w:pPr>
              <w:spacing w:line="200" w:lineRule="exact"/>
              <w:jc w:val="center"/>
              <w:rPr>
                <w:color w:val="auto"/>
                <w:sz w:val="18"/>
                <w:szCs w:val="18"/>
              </w:rPr>
            </w:pPr>
            <w:r>
              <w:rPr>
                <w:color w:val="auto"/>
                <w:sz w:val="18"/>
                <w:szCs w:val="18"/>
              </w:rPr>
              <w:t>（良）</w:t>
            </w:r>
          </w:p>
        </w:tc>
        <w:tc>
          <w:tcPr>
            <w:tcW w:w="3153" w:type="pct"/>
            <w:noWrap w:val="0"/>
            <w:vAlign w:val="center"/>
          </w:tcPr>
          <w:p w14:paraId="6C4C0FD7">
            <w:pPr>
              <w:spacing w:line="200" w:lineRule="exact"/>
              <w:rPr>
                <w:color w:val="auto"/>
                <w:sz w:val="18"/>
                <w:szCs w:val="18"/>
              </w:rPr>
            </w:pPr>
            <w:r>
              <w:rPr>
                <w:color w:val="auto"/>
                <w:sz w:val="18"/>
                <w:szCs w:val="18"/>
              </w:rPr>
              <w:t>较认真听课记笔记、较积极回答问题、团队合作精神较强、随堂习作按时完成，问题改进及时，达到预期学习效果。</w:t>
            </w:r>
          </w:p>
        </w:tc>
      </w:tr>
      <w:tr w14:paraId="2DB87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0290A67B">
            <w:pPr>
              <w:widowControl/>
              <w:snapToGrid w:val="0"/>
              <w:spacing w:line="200" w:lineRule="exact"/>
              <w:jc w:val="center"/>
              <w:rPr>
                <w:color w:val="auto"/>
                <w:sz w:val="18"/>
                <w:szCs w:val="18"/>
              </w:rPr>
            </w:pPr>
          </w:p>
        </w:tc>
        <w:tc>
          <w:tcPr>
            <w:tcW w:w="626" w:type="pct"/>
            <w:vMerge w:val="continue"/>
            <w:noWrap w:val="0"/>
            <w:vAlign w:val="center"/>
          </w:tcPr>
          <w:p w14:paraId="5710849A">
            <w:pPr>
              <w:widowControl/>
              <w:snapToGrid w:val="0"/>
              <w:spacing w:line="200" w:lineRule="exact"/>
              <w:jc w:val="center"/>
              <w:rPr>
                <w:color w:val="auto"/>
                <w:sz w:val="18"/>
                <w:szCs w:val="18"/>
              </w:rPr>
            </w:pPr>
          </w:p>
        </w:tc>
        <w:tc>
          <w:tcPr>
            <w:tcW w:w="593" w:type="pct"/>
            <w:noWrap w:val="0"/>
            <w:vAlign w:val="center"/>
          </w:tcPr>
          <w:p w14:paraId="78D6021C">
            <w:pPr>
              <w:spacing w:line="200" w:lineRule="exact"/>
              <w:jc w:val="center"/>
              <w:rPr>
                <w:color w:val="auto"/>
                <w:sz w:val="18"/>
                <w:szCs w:val="18"/>
              </w:rPr>
            </w:pPr>
            <w:r>
              <w:rPr>
                <w:color w:val="auto"/>
                <w:sz w:val="18"/>
                <w:szCs w:val="18"/>
              </w:rPr>
              <w:t>70-79</w:t>
            </w:r>
          </w:p>
          <w:p w14:paraId="013A5A6D">
            <w:pPr>
              <w:spacing w:line="200" w:lineRule="exact"/>
              <w:jc w:val="center"/>
              <w:rPr>
                <w:color w:val="auto"/>
                <w:sz w:val="18"/>
                <w:szCs w:val="18"/>
              </w:rPr>
            </w:pPr>
            <w:r>
              <w:rPr>
                <w:color w:val="auto"/>
                <w:sz w:val="18"/>
                <w:szCs w:val="18"/>
              </w:rPr>
              <w:t>（中）</w:t>
            </w:r>
          </w:p>
        </w:tc>
        <w:tc>
          <w:tcPr>
            <w:tcW w:w="3153" w:type="pct"/>
            <w:noWrap w:val="0"/>
            <w:vAlign w:val="center"/>
          </w:tcPr>
          <w:p w14:paraId="1E6DB0E0">
            <w:pPr>
              <w:spacing w:line="200" w:lineRule="exact"/>
              <w:rPr>
                <w:color w:val="auto"/>
                <w:sz w:val="18"/>
                <w:szCs w:val="18"/>
              </w:rPr>
            </w:pPr>
            <w:r>
              <w:rPr>
                <w:color w:val="auto"/>
                <w:sz w:val="18"/>
                <w:szCs w:val="18"/>
              </w:rPr>
              <w:t>听课、回答问题、团队合作精神一般，笔记基本完整，随堂习作基本完成，经提醒能改进主要问题，满足基础要求。</w:t>
            </w:r>
          </w:p>
        </w:tc>
      </w:tr>
      <w:tr w14:paraId="70B2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3B957837">
            <w:pPr>
              <w:widowControl/>
              <w:snapToGrid w:val="0"/>
              <w:spacing w:line="200" w:lineRule="exact"/>
              <w:jc w:val="center"/>
              <w:rPr>
                <w:color w:val="auto"/>
                <w:sz w:val="18"/>
                <w:szCs w:val="18"/>
              </w:rPr>
            </w:pPr>
          </w:p>
        </w:tc>
        <w:tc>
          <w:tcPr>
            <w:tcW w:w="626" w:type="pct"/>
            <w:vMerge w:val="continue"/>
            <w:noWrap w:val="0"/>
            <w:vAlign w:val="center"/>
          </w:tcPr>
          <w:p w14:paraId="140B2297">
            <w:pPr>
              <w:widowControl/>
              <w:snapToGrid w:val="0"/>
              <w:spacing w:line="200" w:lineRule="exact"/>
              <w:jc w:val="center"/>
              <w:rPr>
                <w:color w:val="auto"/>
                <w:sz w:val="18"/>
                <w:szCs w:val="18"/>
              </w:rPr>
            </w:pPr>
          </w:p>
        </w:tc>
        <w:tc>
          <w:tcPr>
            <w:tcW w:w="593" w:type="pct"/>
            <w:noWrap w:val="0"/>
            <w:vAlign w:val="center"/>
          </w:tcPr>
          <w:p w14:paraId="25DC6654">
            <w:pPr>
              <w:spacing w:line="200" w:lineRule="exact"/>
              <w:jc w:val="center"/>
              <w:rPr>
                <w:color w:val="auto"/>
                <w:sz w:val="18"/>
                <w:szCs w:val="18"/>
              </w:rPr>
            </w:pPr>
            <w:r>
              <w:rPr>
                <w:color w:val="auto"/>
                <w:sz w:val="18"/>
                <w:szCs w:val="18"/>
              </w:rPr>
              <w:t>60-69</w:t>
            </w:r>
          </w:p>
          <w:p w14:paraId="3167855B">
            <w:pPr>
              <w:spacing w:line="200" w:lineRule="exact"/>
              <w:jc w:val="center"/>
              <w:rPr>
                <w:color w:val="auto"/>
                <w:sz w:val="18"/>
                <w:szCs w:val="18"/>
              </w:rPr>
            </w:pPr>
            <w:r>
              <w:rPr>
                <w:color w:val="auto"/>
                <w:sz w:val="18"/>
                <w:szCs w:val="18"/>
              </w:rPr>
              <w:t>（及格）</w:t>
            </w:r>
          </w:p>
        </w:tc>
        <w:tc>
          <w:tcPr>
            <w:tcW w:w="3153" w:type="pct"/>
            <w:noWrap w:val="0"/>
            <w:vAlign w:val="center"/>
          </w:tcPr>
          <w:p w14:paraId="02F7F729">
            <w:pPr>
              <w:spacing w:line="200" w:lineRule="exact"/>
              <w:rPr>
                <w:color w:val="auto"/>
                <w:sz w:val="18"/>
                <w:szCs w:val="18"/>
              </w:rPr>
            </w:pPr>
            <w:r>
              <w:rPr>
                <w:color w:val="auto"/>
                <w:sz w:val="18"/>
                <w:szCs w:val="18"/>
              </w:rPr>
              <w:t>听课、回答问题、团队合作精神较差，笔记内容不完整，随堂习作能完成主体部分，经多次提醒可改进关键问题，勉强达到最低要求。</w:t>
            </w:r>
          </w:p>
        </w:tc>
      </w:tr>
      <w:tr w14:paraId="6984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626" w:type="pct"/>
            <w:vMerge w:val="continue"/>
            <w:noWrap w:val="0"/>
            <w:vAlign w:val="center"/>
          </w:tcPr>
          <w:p w14:paraId="29B873C0">
            <w:pPr>
              <w:widowControl/>
              <w:snapToGrid w:val="0"/>
              <w:spacing w:line="200" w:lineRule="exact"/>
              <w:jc w:val="center"/>
              <w:rPr>
                <w:color w:val="auto"/>
                <w:sz w:val="18"/>
                <w:szCs w:val="18"/>
              </w:rPr>
            </w:pPr>
          </w:p>
        </w:tc>
        <w:tc>
          <w:tcPr>
            <w:tcW w:w="626" w:type="pct"/>
            <w:vMerge w:val="continue"/>
            <w:noWrap w:val="0"/>
            <w:vAlign w:val="center"/>
          </w:tcPr>
          <w:p w14:paraId="3842E270">
            <w:pPr>
              <w:widowControl/>
              <w:snapToGrid w:val="0"/>
              <w:spacing w:line="200" w:lineRule="exact"/>
              <w:jc w:val="center"/>
              <w:rPr>
                <w:color w:val="auto"/>
                <w:sz w:val="18"/>
                <w:szCs w:val="18"/>
              </w:rPr>
            </w:pPr>
          </w:p>
        </w:tc>
        <w:tc>
          <w:tcPr>
            <w:tcW w:w="593" w:type="pct"/>
            <w:noWrap w:val="0"/>
            <w:vAlign w:val="center"/>
          </w:tcPr>
          <w:p w14:paraId="4277C6E6">
            <w:pPr>
              <w:spacing w:line="200" w:lineRule="exact"/>
              <w:jc w:val="center"/>
              <w:rPr>
                <w:color w:val="auto"/>
                <w:sz w:val="18"/>
                <w:szCs w:val="18"/>
              </w:rPr>
            </w:pPr>
            <w:r>
              <w:rPr>
                <w:color w:val="auto"/>
                <w:sz w:val="18"/>
                <w:szCs w:val="18"/>
              </w:rPr>
              <w:t>0-59</w:t>
            </w:r>
          </w:p>
          <w:p w14:paraId="2348B27F">
            <w:pPr>
              <w:spacing w:line="200" w:lineRule="exact"/>
              <w:jc w:val="center"/>
              <w:rPr>
                <w:color w:val="auto"/>
                <w:sz w:val="18"/>
                <w:szCs w:val="18"/>
              </w:rPr>
            </w:pPr>
            <w:r>
              <w:rPr>
                <w:color w:val="auto"/>
                <w:sz w:val="18"/>
                <w:szCs w:val="18"/>
              </w:rPr>
              <w:t>（不及格）</w:t>
            </w:r>
          </w:p>
        </w:tc>
        <w:tc>
          <w:tcPr>
            <w:tcW w:w="3153" w:type="pct"/>
            <w:noWrap w:val="0"/>
            <w:vAlign w:val="center"/>
          </w:tcPr>
          <w:p w14:paraId="5E4544A9">
            <w:pPr>
              <w:spacing w:line="200" w:lineRule="exact"/>
              <w:rPr>
                <w:color w:val="auto"/>
                <w:sz w:val="18"/>
                <w:szCs w:val="18"/>
              </w:rPr>
            </w:pPr>
            <w:r>
              <w:rPr>
                <w:color w:val="auto"/>
                <w:sz w:val="18"/>
                <w:szCs w:val="18"/>
              </w:rPr>
              <w:t>听课不认真、不积极回答问题、团队合作精神差，笔记内容严重缺失，随堂习作未完成，或问题多次提醒仍未改进，未达到基础要求。</w:t>
            </w:r>
          </w:p>
        </w:tc>
      </w:tr>
      <w:tr w14:paraId="73F1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626" w:type="pct"/>
            <w:noWrap w:val="0"/>
            <w:vAlign w:val="center"/>
          </w:tcPr>
          <w:p w14:paraId="27DA48F8">
            <w:pPr>
              <w:widowControl/>
              <w:snapToGrid w:val="0"/>
              <w:spacing w:line="240" w:lineRule="exact"/>
              <w:jc w:val="center"/>
              <w:rPr>
                <w:color w:val="auto"/>
                <w:sz w:val="18"/>
                <w:szCs w:val="18"/>
              </w:rPr>
            </w:pPr>
            <w:r>
              <w:rPr>
                <w:b/>
                <w:color w:val="auto"/>
              </w:rPr>
              <w:t>合计</w:t>
            </w:r>
          </w:p>
        </w:tc>
        <w:tc>
          <w:tcPr>
            <w:tcW w:w="626" w:type="pct"/>
            <w:noWrap w:val="0"/>
            <w:vAlign w:val="center"/>
          </w:tcPr>
          <w:p w14:paraId="32607A44">
            <w:pPr>
              <w:widowControl/>
              <w:snapToGrid w:val="0"/>
              <w:spacing w:line="240" w:lineRule="exact"/>
              <w:jc w:val="center"/>
              <w:rPr>
                <w:color w:val="auto"/>
                <w:sz w:val="18"/>
                <w:szCs w:val="18"/>
              </w:rPr>
            </w:pPr>
            <w:r>
              <w:rPr>
                <w:b/>
                <w:color w:val="auto"/>
              </w:rPr>
              <w:t>100%</w:t>
            </w:r>
          </w:p>
        </w:tc>
        <w:tc>
          <w:tcPr>
            <w:tcW w:w="593" w:type="pct"/>
            <w:noWrap w:val="0"/>
            <w:vAlign w:val="center"/>
          </w:tcPr>
          <w:p w14:paraId="73D2051A">
            <w:pPr>
              <w:spacing w:line="240" w:lineRule="exact"/>
              <w:jc w:val="center"/>
              <w:rPr>
                <w:color w:val="auto"/>
                <w:sz w:val="18"/>
                <w:szCs w:val="18"/>
              </w:rPr>
            </w:pPr>
          </w:p>
        </w:tc>
        <w:tc>
          <w:tcPr>
            <w:tcW w:w="3153" w:type="pct"/>
            <w:noWrap w:val="0"/>
            <w:vAlign w:val="top"/>
          </w:tcPr>
          <w:p w14:paraId="44152ABA">
            <w:pPr>
              <w:spacing w:line="240" w:lineRule="exact"/>
              <w:rPr>
                <w:color w:val="auto"/>
                <w:sz w:val="18"/>
                <w:szCs w:val="18"/>
              </w:rPr>
            </w:pPr>
          </w:p>
        </w:tc>
      </w:tr>
    </w:tbl>
    <w:p w14:paraId="7C6D7CAC">
      <w:pPr>
        <w:tabs>
          <w:tab w:val="left" w:pos="1824"/>
        </w:tabs>
        <w:spacing w:line="300" w:lineRule="auto"/>
        <w:ind w:firstLine="316" w:firstLineChars="150"/>
        <w:rPr>
          <w:b/>
          <w:color w:val="auto"/>
        </w:rPr>
      </w:pPr>
      <w:r>
        <w:rPr>
          <w:rFonts w:hint="eastAsia"/>
          <w:b/>
          <w:color w:val="auto"/>
        </w:rPr>
        <w:t>（2）课程作业评分标准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080"/>
        <w:gridCol w:w="5848"/>
        <w:gridCol w:w="1079"/>
      </w:tblGrid>
      <w:tr w14:paraId="7185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1F8A3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color w:val="auto"/>
                <w:sz w:val="18"/>
                <w:szCs w:val="18"/>
                <w:lang w:val="en-US" w:eastAsia="zh-CN"/>
              </w:rPr>
            </w:pPr>
            <w:r>
              <w:rPr>
                <w:b/>
                <w:color w:val="auto"/>
              </w:rPr>
              <w:t>考核</w:t>
            </w:r>
            <w:r>
              <w:rPr>
                <w:rFonts w:hint="eastAsia"/>
                <w:b/>
                <w:color w:val="auto"/>
                <w:lang w:val="en-US" w:eastAsia="zh-CN"/>
              </w:rPr>
              <w:t>内容</w:t>
            </w:r>
          </w:p>
        </w:tc>
        <w:tc>
          <w:tcPr>
            <w:tcW w:w="1080" w:type="dxa"/>
            <w:noWrap w:val="0"/>
            <w:vAlign w:val="center"/>
          </w:tcPr>
          <w:p w14:paraId="38FEA4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color w:val="auto"/>
                <w:sz w:val="18"/>
                <w:szCs w:val="18"/>
                <w:lang w:val="en-US" w:eastAsia="zh-CN"/>
              </w:rPr>
            </w:pPr>
            <w:r>
              <w:rPr>
                <w:b/>
                <w:color w:val="auto"/>
              </w:rPr>
              <w:t>成绩占比</w:t>
            </w:r>
          </w:p>
        </w:tc>
        <w:tc>
          <w:tcPr>
            <w:tcW w:w="5848" w:type="dxa"/>
            <w:noWrap w:val="0"/>
            <w:vAlign w:val="center"/>
          </w:tcPr>
          <w:p w14:paraId="21FD30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b/>
                <w:bCs/>
                <w:color w:val="auto"/>
                <w:sz w:val="21"/>
                <w:szCs w:val="21"/>
                <w:lang w:val="en-US" w:eastAsia="zh-CN"/>
              </w:rPr>
            </w:pPr>
            <w:r>
              <w:rPr>
                <w:rFonts w:hint="eastAsia"/>
                <w:b/>
                <w:bCs/>
                <w:color w:val="auto"/>
                <w:sz w:val="21"/>
                <w:szCs w:val="21"/>
                <w:lang w:val="en-US" w:eastAsia="zh-CN"/>
              </w:rPr>
              <w:t>考核目标</w:t>
            </w:r>
          </w:p>
        </w:tc>
        <w:tc>
          <w:tcPr>
            <w:tcW w:w="1079" w:type="dxa"/>
            <w:noWrap w:val="0"/>
            <w:vAlign w:val="center"/>
          </w:tcPr>
          <w:p w14:paraId="3950FD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b/>
                <w:bCs/>
                <w:color w:val="auto"/>
                <w:sz w:val="21"/>
                <w:szCs w:val="21"/>
                <w:lang w:val="en-US" w:eastAsia="zh-CN"/>
              </w:rPr>
            </w:pPr>
            <w:r>
              <w:rPr>
                <w:rFonts w:hint="eastAsia"/>
                <w:b/>
                <w:bCs/>
                <w:color w:val="auto"/>
                <w:sz w:val="21"/>
                <w:szCs w:val="21"/>
                <w:lang w:val="en-US" w:eastAsia="zh-CN"/>
              </w:rPr>
              <w:t>课程目标</w:t>
            </w:r>
          </w:p>
        </w:tc>
      </w:tr>
      <w:tr w14:paraId="5A4F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423A287D">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eastAsia="宋体"/>
                <w:color w:val="auto"/>
                <w:sz w:val="18"/>
                <w:szCs w:val="18"/>
                <w:lang w:val="en-US" w:eastAsia="zh-CN"/>
              </w:rPr>
            </w:pPr>
            <w:r>
              <w:rPr>
                <w:rFonts w:hint="eastAsia"/>
                <w:b/>
                <w:bCs/>
                <w:color w:val="auto"/>
                <w:sz w:val="18"/>
                <w:szCs w:val="18"/>
                <w:lang w:val="en-US" w:eastAsia="zh-CN"/>
              </w:rPr>
              <w:t>绪论</w:t>
            </w:r>
          </w:p>
        </w:tc>
        <w:tc>
          <w:tcPr>
            <w:tcW w:w="1080" w:type="dxa"/>
            <w:noWrap w:val="0"/>
            <w:vAlign w:val="center"/>
          </w:tcPr>
          <w:p w14:paraId="23FB1C5E">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10%</w:t>
            </w:r>
          </w:p>
        </w:tc>
        <w:tc>
          <w:tcPr>
            <w:tcW w:w="5848" w:type="dxa"/>
            <w:noWrap w:val="0"/>
            <w:vAlign w:val="center"/>
          </w:tcPr>
          <w:p w14:paraId="34B1277C">
            <w:pPr>
              <w:spacing w:line="200" w:lineRule="exact"/>
              <w:rPr>
                <w:rFonts w:hint="eastAsia"/>
                <w:color w:val="auto"/>
                <w:sz w:val="18"/>
                <w:szCs w:val="18"/>
              </w:rPr>
            </w:pPr>
            <w:r>
              <w:rPr>
                <w:rFonts w:hint="eastAsia"/>
                <w:color w:val="auto"/>
                <w:sz w:val="18"/>
                <w:szCs w:val="18"/>
              </w:rPr>
              <w:t>能够系统阐述机电传动课程电机传动基础、电气自动控制两大核心模块的核心内容及内在逻辑关联；全面掌握课程知识、能力、素养三维学习要求，可综合运用专业理论分析、解决机电传动设备运行、控制与调试的基础工程问题，具备严谨的工程思维与职业素养。</w:t>
            </w:r>
          </w:p>
        </w:tc>
        <w:tc>
          <w:tcPr>
            <w:tcW w:w="1079" w:type="dxa"/>
            <w:noWrap w:val="0"/>
            <w:vAlign w:val="center"/>
          </w:tcPr>
          <w:p w14:paraId="7154EC70">
            <w:pPr>
              <w:spacing w:line="240" w:lineRule="exact"/>
              <w:jc w:val="center"/>
              <w:rPr>
                <w:rFonts w:hint="eastAsia"/>
                <w:color w:val="auto"/>
                <w:sz w:val="18"/>
                <w:szCs w:val="18"/>
              </w:rPr>
            </w:pPr>
            <w:r>
              <w:rPr>
                <w:rFonts w:hint="eastAsia"/>
                <w:bCs/>
                <w:color w:val="auto"/>
                <w:sz w:val="18"/>
                <w:szCs w:val="18"/>
              </w:rPr>
              <w:t>目标1.1，2.1，3.1</w:t>
            </w:r>
          </w:p>
        </w:tc>
      </w:tr>
      <w:tr w14:paraId="4CA1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37609841">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第一单元</w:t>
            </w:r>
          </w:p>
          <w:p w14:paraId="3B3346C3">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color w:val="auto"/>
                <w:sz w:val="18"/>
                <w:szCs w:val="18"/>
              </w:rPr>
            </w:pPr>
            <w:r>
              <w:rPr>
                <w:rFonts w:hint="eastAsia"/>
                <w:bCs/>
                <w:color w:val="auto"/>
                <w:sz w:val="18"/>
                <w:szCs w:val="18"/>
              </w:rPr>
              <w:t>动力学基础</w:t>
            </w:r>
          </w:p>
        </w:tc>
        <w:tc>
          <w:tcPr>
            <w:tcW w:w="1080" w:type="dxa"/>
            <w:noWrap w:val="0"/>
            <w:vAlign w:val="center"/>
          </w:tcPr>
          <w:p w14:paraId="5B63BB90">
            <w:pPr>
              <w:spacing w:line="200" w:lineRule="exact"/>
              <w:jc w:val="center"/>
              <w:rPr>
                <w:color w:val="auto"/>
                <w:sz w:val="18"/>
                <w:szCs w:val="18"/>
              </w:rPr>
            </w:pPr>
            <w:r>
              <w:rPr>
                <w:rFonts w:hint="eastAsia"/>
                <w:color w:val="auto"/>
                <w:sz w:val="18"/>
                <w:szCs w:val="18"/>
                <w:lang w:val="en-US" w:eastAsia="zh-CN"/>
              </w:rPr>
              <w:t>20</w:t>
            </w:r>
            <w:r>
              <w:rPr>
                <w:rFonts w:hint="eastAsia"/>
                <w:color w:val="auto"/>
                <w:sz w:val="18"/>
                <w:szCs w:val="18"/>
              </w:rPr>
              <w:t>%</w:t>
            </w:r>
          </w:p>
        </w:tc>
        <w:tc>
          <w:tcPr>
            <w:tcW w:w="5848" w:type="dxa"/>
            <w:noWrap w:val="0"/>
            <w:vAlign w:val="center"/>
          </w:tcPr>
          <w:p w14:paraId="2656913E">
            <w:pPr>
              <w:spacing w:line="200" w:lineRule="exact"/>
              <w:rPr>
                <w:color w:val="auto"/>
                <w:sz w:val="18"/>
                <w:szCs w:val="18"/>
              </w:rPr>
            </w:pPr>
            <w:r>
              <w:rPr>
                <w:rFonts w:hint="eastAsia"/>
                <w:color w:val="auto"/>
                <w:sz w:val="18"/>
                <w:szCs w:val="18"/>
                <w:lang w:val="en-US" w:eastAsia="zh-CN"/>
              </w:rPr>
              <w:t>能系统性地阐述本章节机电传动系统动力学方程、参数等效折算、典型负载特性两大核心模块的核心内容及其内在逻辑关系；能够全面概括本章节学习要求，熟练运用动力学理论与折算方法分析传动系统运行状态、匹配负载参数、研判工况特性，逻辑严谨、表述专业，可独立解决机电传动系统动态分析与参数校核的基础工程问题</w:t>
            </w:r>
            <w:r>
              <w:rPr>
                <w:rFonts w:hint="eastAsia"/>
                <w:color w:val="auto"/>
                <w:sz w:val="18"/>
                <w:szCs w:val="18"/>
              </w:rPr>
              <w:t>。</w:t>
            </w:r>
          </w:p>
        </w:tc>
        <w:tc>
          <w:tcPr>
            <w:tcW w:w="1079" w:type="dxa"/>
            <w:noWrap w:val="0"/>
            <w:vAlign w:val="center"/>
          </w:tcPr>
          <w:p w14:paraId="3C3238E5">
            <w:pPr>
              <w:spacing w:line="240" w:lineRule="exact"/>
              <w:jc w:val="center"/>
              <w:rPr>
                <w:rFonts w:hint="eastAsia"/>
                <w:color w:val="auto"/>
                <w:sz w:val="18"/>
                <w:szCs w:val="18"/>
              </w:rPr>
            </w:pPr>
            <w:r>
              <w:rPr>
                <w:rFonts w:hint="eastAsia"/>
                <w:bCs/>
                <w:color w:val="auto"/>
                <w:sz w:val="18"/>
                <w:szCs w:val="18"/>
              </w:rPr>
              <w:t>目标1.2，2.2，3.2</w:t>
            </w:r>
          </w:p>
        </w:tc>
      </w:tr>
      <w:tr w14:paraId="2C99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272" w:type="dxa"/>
            <w:noWrap w:val="0"/>
            <w:vAlign w:val="center"/>
          </w:tcPr>
          <w:p w14:paraId="41731AB3">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第二单元</w:t>
            </w:r>
          </w:p>
          <w:p w14:paraId="649DAB2B">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color w:val="auto"/>
                <w:sz w:val="18"/>
                <w:szCs w:val="18"/>
              </w:rPr>
            </w:pPr>
            <w:r>
              <w:rPr>
                <w:rFonts w:hint="eastAsia"/>
                <w:bCs/>
                <w:color w:val="auto"/>
                <w:sz w:val="18"/>
                <w:szCs w:val="18"/>
              </w:rPr>
              <w:t>直流与交流电动机的工作原理及特性</w:t>
            </w:r>
          </w:p>
        </w:tc>
        <w:tc>
          <w:tcPr>
            <w:tcW w:w="1080" w:type="dxa"/>
            <w:noWrap w:val="0"/>
            <w:vAlign w:val="center"/>
          </w:tcPr>
          <w:p w14:paraId="17699D10">
            <w:pPr>
              <w:spacing w:line="200" w:lineRule="exact"/>
              <w:jc w:val="center"/>
              <w:rPr>
                <w:color w:val="auto"/>
                <w:sz w:val="18"/>
                <w:szCs w:val="18"/>
              </w:rPr>
            </w:pPr>
            <w:r>
              <w:rPr>
                <w:rFonts w:hint="eastAsia"/>
                <w:color w:val="auto"/>
                <w:sz w:val="18"/>
                <w:szCs w:val="18"/>
              </w:rPr>
              <w:t>2</w:t>
            </w:r>
            <w:r>
              <w:rPr>
                <w:rFonts w:hint="eastAsia"/>
                <w:color w:val="auto"/>
                <w:sz w:val="18"/>
                <w:szCs w:val="18"/>
                <w:lang w:val="en-US" w:eastAsia="zh-CN"/>
              </w:rPr>
              <w:t>5</w:t>
            </w:r>
            <w:r>
              <w:rPr>
                <w:rFonts w:hint="eastAsia"/>
                <w:color w:val="auto"/>
                <w:sz w:val="18"/>
                <w:szCs w:val="18"/>
              </w:rPr>
              <w:t>%</w:t>
            </w:r>
          </w:p>
        </w:tc>
        <w:tc>
          <w:tcPr>
            <w:tcW w:w="5848" w:type="dxa"/>
            <w:noWrap w:val="0"/>
            <w:vAlign w:val="center"/>
          </w:tcPr>
          <w:p w14:paraId="2C581CBA">
            <w:pPr>
              <w:spacing w:line="200" w:lineRule="exact"/>
              <w:rPr>
                <w:rFonts w:hint="eastAsia"/>
                <w:color w:val="auto"/>
                <w:sz w:val="18"/>
                <w:szCs w:val="18"/>
              </w:rPr>
            </w:pPr>
            <w:r>
              <w:rPr>
                <w:rFonts w:hint="eastAsia"/>
                <w:color w:val="auto"/>
                <w:sz w:val="18"/>
                <w:szCs w:val="18"/>
              </w:rPr>
              <w:t>能系统性地阐述本章节直流电动机、交流异步电动机两大核心模块的工作原理、机械特性及运行规律的核心内容及其内在逻辑关系；能够全面概括本章节学习要求，准确辨析两类电机的性能差异与适用工况，运用电机特性理论分析设备运行状态、解决电机选型与工况匹配的基础工程问题，表述严谨、专业规范。</w:t>
            </w:r>
          </w:p>
        </w:tc>
        <w:tc>
          <w:tcPr>
            <w:tcW w:w="1079" w:type="dxa"/>
            <w:noWrap w:val="0"/>
            <w:vAlign w:val="center"/>
          </w:tcPr>
          <w:p w14:paraId="5F9A4B11">
            <w:pPr>
              <w:spacing w:line="240" w:lineRule="exact"/>
              <w:jc w:val="center"/>
              <w:rPr>
                <w:rFonts w:hint="default" w:eastAsia="宋体"/>
                <w:color w:val="auto"/>
                <w:sz w:val="18"/>
                <w:szCs w:val="18"/>
                <w:lang w:val="en-US" w:eastAsia="zh-CN"/>
              </w:rPr>
            </w:pPr>
            <w:r>
              <w:rPr>
                <w:rFonts w:hint="eastAsia"/>
                <w:bCs/>
                <w:color w:val="auto"/>
                <w:sz w:val="18"/>
                <w:szCs w:val="18"/>
              </w:rPr>
              <w:t>目标1.3，</w:t>
            </w:r>
            <w:r>
              <w:rPr>
                <w:rFonts w:hint="eastAsia"/>
                <w:bCs/>
                <w:color w:val="auto"/>
                <w:sz w:val="18"/>
                <w:szCs w:val="18"/>
                <w:lang w:val="en-US" w:eastAsia="zh-CN"/>
              </w:rPr>
              <w:t>1.4，</w:t>
            </w:r>
            <w:r>
              <w:rPr>
                <w:rFonts w:hint="eastAsia"/>
                <w:bCs/>
                <w:color w:val="auto"/>
                <w:sz w:val="18"/>
                <w:szCs w:val="18"/>
              </w:rPr>
              <w:t>2.3</w:t>
            </w:r>
            <w:r>
              <w:rPr>
                <w:rFonts w:hint="eastAsia"/>
                <w:bCs/>
                <w:color w:val="auto"/>
                <w:sz w:val="18"/>
                <w:szCs w:val="18"/>
                <w:lang w:val="en-US" w:eastAsia="zh-CN"/>
              </w:rPr>
              <w:t>，2.4，</w:t>
            </w:r>
            <w:r>
              <w:rPr>
                <w:rFonts w:hint="eastAsia"/>
                <w:bCs/>
                <w:color w:val="auto"/>
                <w:sz w:val="18"/>
                <w:szCs w:val="18"/>
              </w:rPr>
              <w:t>3.3</w:t>
            </w:r>
            <w:r>
              <w:rPr>
                <w:rFonts w:hint="eastAsia"/>
                <w:bCs/>
                <w:color w:val="auto"/>
                <w:sz w:val="18"/>
                <w:szCs w:val="18"/>
                <w:lang w:eastAsia="zh-CN"/>
              </w:rPr>
              <w:t>，</w:t>
            </w:r>
            <w:r>
              <w:rPr>
                <w:rFonts w:hint="eastAsia"/>
                <w:bCs/>
                <w:color w:val="auto"/>
                <w:sz w:val="18"/>
                <w:szCs w:val="18"/>
                <w:lang w:val="en-US" w:eastAsia="zh-CN"/>
              </w:rPr>
              <w:t>3.4</w:t>
            </w:r>
          </w:p>
        </w:tc>
      </w:tr>
      <w:tr w14:paraId="793D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8E50D0C">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第三单元</w:t>
            </w:r>
          </w:p>
          <w:p w14:paraId="262AC390">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color w:val="auto"/>
                <w:sz w:val="18"/>
                <w:szCs w:val="18"/>
              </w:rPr>
            </w:pPr>
            <w:r>
              <w:rPr>
                <w:rFonts w:hint="eastAsia"/>
                <w:bCs/>
                <w:color w:val="auto"/>
                <w:sz w:val="18"/>
                <w:szCs w:val="18"/>
              </w:rPr>
              <w:t>控制电动机</w:t>
            </w:r>
          </w:p>
        </w:tc>
        <w:tc>
          <w:tcPr>
            <w:tcW w:w="1080" w:type="dxa"/>
            <w:noWrap w:val="0"/>
            <w:vAlign w:val="center"/>
          </w:tcPr>
          <w:p w14:paraId="1B8F5936">
            <w:pPr>
              <w:spacing w:line="200" w:lineRule="exact"/>
              <w:jc w:val="center"/>
              <w:rPr>
                <w:rFonts w:hint="eastAsia"/>
                <w:color w:val="auto"/>
                <w:sz w:val="18"/>
                <w:szCs w:val="18"/>
              </w:rPr>
            </w:pPr>
            <w:r>
              <w:rPr>
                <w:rFonts w:hint="eastAsia"/>
                <w:color w:val="auto"/>
                <w:sz w:val="18"/>
                <w:szCs w:val="18"/>
              </w:rPr>
              <w:t>2</w:t>
            </w:r>
            <w:r>
              <w:rPr>
                <w:rFonts w:hint="eastAsia"/>
                <w:color w:val="auto"/>
                <w:sz w:val="18"/>
                <w:szCs w:val="18"/>
                <w:lang w:val="en-US" w:eastAsia="zh-CN"/>
              </w:rPr>
              <w:t>5</w:t>
            </w:r>
            <w:r>
              <w:rPr>
                <w:rFonts w:hint="eastAsia"/>
                <w:color w:val="auto"/>
                <w:sz w:val="18"/>
                <w:szCs w:val="18"/>
              </w:rPr>
              <w:t>%</w:t>
            </w:r>
          </w:p>
        </w:tc>
        <w:tc>
          <w:tcPr>
            <w:tcW w:w="5848" w:type="dxa"/>
            <w:noWrap w:val="0"/>
            <w:vAlign w:val="center"/>
          </w:tcPr>
          <w:p w14:paraId="11C77B12">
            <w:pPr>
              <w:spacing w:line="200" w:lineRule="exact"/>
              <w:rPr>
                <w:color w:val="auto"/>
                <w:sz w:val="18"/>
                <w:szCs w:val="18"/>
              </w:rPr>
            </w:pPr>
            <w:r>
              <w:rPr>
                <w:rFonts w:hint="eastAsia"/>
                <w:color w:val="auto"/>
                <w:sz w:val="18"/>
                <w:szCs w:val="18"/>
              </w:rPr>
              <w:t>能系统性地阐述本章节步进电动机结构原理、通电方式、工作特性两大核心内容及其内在逻辑关系；能够全面概括本章节学习要求，熟练掌握步进电机运行控制规律，结合特性完成工况分析与应用研判，具备严谨规范的专业分析与工程应用能力。</w:t>
            </w:r>
          </w:p>
        </w:tc>
        <w:tc>
          <w:tcPr>
            <w:tcW w:w="1079" w:type="dxa"/>
            <w:noWrap w:val="0"/>
            <w:vAlign w:val="center"/>
          </w:tcPr>
          <w:p w14:paraId="18C0304E">
            <w:pPr>
              <w:spacing w:line="240" w:lineRule="exact"/>
              <w:jc w:val="center"/>
              <w:rPr>
                <w:rFonts w:hint="eastAsia" w:eastAsia="宋体"/>
                <w:color w:val="auto"/>
                <w:sz w:val="18"/>
                <w:szCs w:val="18"/>
                <w:lang w:eastAsia="zh-CN"/>
              </w:rPr>
            </w:pPr>
            <w:r>
              <w:rPr>
                <w:rFonts w:hint="eastAsia"/>
                <w:bCs/>
                <w:color w:val="auto"/>
                <w:sz w:val="18"/>
                <w:szCs w:val="18"/>
              </w:rPr>
              <w:t>目标1.</w:t>
            </w:r>
            <w:r>
              <w:rPr>
                <w:rFonts w:hint="eastAsia"/>
                <w:bCs/>
                <w:color w:val="auto"/>
                <w:sz w:val="18"/>
                <w:szCs w:val="18"/>
                <w:lang w:val="en-US" w:eastAsia="zh-CN"/>
              </w:rPr>
              <w:t>5</w:t>
            </w:r>
            <w:r>
              <w:rPr>
                <w:rFonts w:hint="eastAsia"/>
                <w:bCs/>
                <w:color w:val="auto"/>
                <w:sz w:val="18"/>
                <w:szCs w:val="18"/>
              </w:rPr>
              <w:t>，2.</w:t>
            </w:r>
            <w:r>
              <w:rPr>
                <w:rFonts w:hint="eastAsia"/>
                <w:bCs/>
                <w:color w:val="auto"/>
                <w:sz w:val="18"/>
                <w:szCs w:val="18"/>
                <w:lang w:val="en-US" w:eastAsia="zh-CN"/>
              </w:rPr>
              <w:t>5</w:t>
            </w:r>
            <w:r>
              <w:rPr>
                <w:rFonts w:hint="eastAsia"/>
                <w:bCs/>
                <w:color w:val="auto"/>
                <w:sz w:val="18"/>
                <w:szCs w:val="18"/>
              </w:rPr>
              <w:t>，3.</w:t>
            </w:r>
            <w:r>
              <w:rPr>
                <w:rFonts w:hint="eastAsia"/>
                <w:bCs/>
                <w:color w:val="auto"/>
                <w:sz w:val="18"/>
                <w:szCs w:val="18"/>
                <w:lang w:val="en-US" w:eastAsia="zh-CN"/>
              </w:rPr>
              <w:t>5</w:t>
            </w:r>
          </w:p>
        </w:tc>
      </w:tr>
      <w:tr w14:paraId="226CE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3E3F23CC">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第四单元</w:t>
            </w:r>
          </w:p>
          <w:p w14:paraId="1387ADEF">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color w:val="auto"/>
                <w:sz w:val="18"/>
                <w:szCs w:val="18"/>
              </w:rPr>
            </w:pPr>
            <w:r>
              <w:rPr>
                <w:rFonts w:hint="eastAsia"/>
                <w:bCs/>
                <w:color w:val="auto"/>
                <w:sz w:val="18"/>
                <w:szCs w:val="18"/>
              </w:rPr>
              <w:t>继电器-接触器控制</w:t>
            </w:r>
          </w:p>
        </w:tc>
        <w:tc>
          <w:tcPr>
            <w:tcW w:w="1080" w:type="dxa"/>
            <w:noWrap w:val="0"/>
            <w:vAlign w:val="center"/>
          </w:tcPr>
          <w:p w14:paraId="5EAB5A04">
            <w:pPr>
              <w:spacing w:line="200" w:lineRule="exact"/>
              <w:jc w:val="center"/>
              <w:rPr>
                <w:rFonts w:hint="eastAsia"/>
                <w:color w:val="auto"/>
                <w:sz w:val="18"/>
                <w:szCs w:val="18"/>
              </w:rPr>
            </w:pPr>
            <w:r>
              <w:rPr>
                <w:rFonts w:hint="eastAsia"/>
                <w:color w:val="auto"/>
                <w:sz w:val="18"/>
                <w:szCs w:val="18"/>
                <w:lang w:val="en-US" w:eastAsia="zh-CN"/>
              </w:rPr>
              <w:t>20</w:t>
            </w:r>
            <w:r>
              <w:rPr>
                <w:rFonts w:hint="eastAsia"/>
                <w:color w:val="auto"/>
                <w:sz w:val="18"/>
                <w:szCs w:val="18"/>
              </w:rPr>
              <w:t>%</w:t>
            </w:r>
          </w:p>
        </w:tc>
        <w:tc>
          <w:tcPr>
            <w:tcW w:w="5848" w:type="dxa"/>
            <w:noWrap w:val="0"/>
            <w:vAlign w:val="center"/>
          </w:tcPr>
          <w:p w14:paraId="016A6AEE">
            <w:pPr>
              <w:spacing w:line="200" w:lineRule="exact"/>
              <w:rPr>
                <w:rFonts w:hint="eastAsia"/>
                <w:color w:val="auto"/>
                <w:sz w:val="18"/>
                <w:szCs w:val="18"/>
              </w:rPr>
            </w:pPr>
            <w:r>
              <w:rPr>
                <w:rFonts w:hint="eastAsia"/>
                <w:color w:val="auto"/>
                <w:sz w:val="18"/>
                <w:szCs w:val="18"/>
              </w:rPr>
              <w:t>能系统性地阐述本章节继电器-接触器控制系统组成、典型基本控制电路两大核心内容及其内在逻辑关系；能够全面概括本章节学习要求，熟练掌握控制电路工作逻辑与规范，具备电路识读、工况分析、故障判断与工程应用的专业能力。</w:t>
            </w:r>
          </w:p>
        </w:tc>
        <w:tc>
          <w:tcPr>
            <w:tcW w:w="1079" w:type="dxa"/>
            <w:noWrap w:val="0"/>
            <w:vAlign w:val="center"/>
          </w:tcPr>
          <w:p w14:paraId="75EA9B30">
            <w:pPr>
              <w:spacing w:line="240" w:lineRule="exact"/>
              <w:jc w:val="center"/>
              <w:rPr>
                <w:rFonts w:hint="eastAsia" w:eastAsia="宋体"/>
                <w:color w:val="auto"/>
                <w:sz w:val="18"/>
                <w:szCs w:val="18"/>
                <w:lang w:eastAsia="zh-CN"/>
              </w:rPr>
            </w:pPr>
            <w:r>
              <w:rPr>
                <w:rFonts w:hint="eastAsia"/>
                <w:bCs/>
                <w:color w:val="auto"/>
                <w:sz w:val="18"/>
                <w:szCs w:val="18"/>
              </w:rPr>
              <w:t>目标1.</w:t>
            </w:r>
            <w:r>
              <w:rPr>
                <w:rFonts w:hint="eastAsia"/>
                <w:bCs/>
                <w:color w:val="auto"/>
                <w:sz w:val="18"/>
                <w:szCs w:val="18"/>
                <w:lang w:val="en-US" w:eastAsia="zh-CN"/>
              </w:rPr>
              <w:t>6</w:t>
            </w:r>
            <w:r>
              <w:rPr>
                <w:rFonts w:hint="eastAsia"/>
                <w:bCs/>
                <w:color w:val="auto"/>
                <w:sz w:val="18"/>
                <w:szCs w:val="18"/>
              </w:rPr>
              <w:t>，2.</w:t>
            </w:r>
            <w:r>
              <w:rPr>
                <w:rFonts w:hint="eastAsia"/>
                <w:bCs/>
                <w:color w:val="auto"/>
                <w:sz w:val="18"/>
                <w:szCs w:val="18"/>
                <w:lang w:val="en-US" w:eastAsia="zh-CN"/>
              </w:rPr>
              <w:t>6</w:t>
            </w:r>
            <w:r>
              <w:rPr>
                <w:rFonts w:hint="eastAsia"/>
                <w:bCs/>
                <w:color w:val="auto"/>
                <w:sz w:val="18"/>
                <w:szCs w:val="18"/>
              </w:rPr>
              <w:t>，3.</w:t>
            </w:r>
            <w:r>
              <w:rPr>
                <w:rFonts w:hint="eastAsia"/>
                <w:bCs/>
                <w:color w:val="auto"/>
                <w:sz w:val="18"/>
                <w:szCs w:val="18"/>
                <w:lang w:val="en-US" w:eastAsia="zh-CN"/>
              </w:rPr>
              <w:t>6</w:t>
            </w:r>
          </w:p>
        </w:tc>
      </w:tr>
      <w:tr w14:paraId="2CDA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272" w:type="dxa"/>
            <w:noWrap w:val="0"/>
            <w:vAlign w:val="center"/>
          </w:tcPr>
          <w:p w14:paraId="413E5888">
            <w:pPr>
              <w:widowControl/>
              <w:snapToGrid w:val="0"/>
              <w:spacing w:line="240" w:lineRule="exact"/>
              <w:jc w:val="center"/>
              <w:rPr>
                <w:b/>
                <w:bCs w:val="0"/>
                <w:color w:val="auto"/>
                <w:sz w:val="18"/>
                <w:szCs w:val="18"/>
              </w:rPr>
            </w:pPr>
            <w:r>
              <w:rPr>
                <w:b/>
                <w:bCs w:val="0"/>
                <w:color w:val="auto"/>
              </w:rPr>
              <w:t>合计</w:t>
            </w:r>
          </w:p>
        </w:tc>
        <w:tc>
          <w:tcPr>
            <w:tcW w:w="1080" w:type="dxa"/>
            <w:noWrap w:val="0"/>
            <w:vAlign w:val="center"/>
          </w:tcPr>
          <w:p w14:paraId="28D27C8B">
            <w:pPr>
              <w:spacing w:line="240" w:lineRule="exact"/>
              <w:jc w:val="center"/>
              <w:rPr>
                <w:rFonts w:hint="eastAsia"/>
                <w:b/>
                <w:bCs w:val="0"/>
                <w:color w:val="auto"/>
                <w:sz w:val="18"/>
                <w:szCs w:val="18"/>
              </w:rPr>
            </w:pPr>
            <w:r>
              <w:rPr>
                <w:rFonts w:hint="eastAsia"/>
                <w:b/>
                <w:bCs w:val="0"/>
                <w:color w:val="auto"/>
                <w:sz w:val="18"/>
                <w:szCs w:val="18"/>
              </w:rPr>
              <w:t>100%</w:t>
            </w:r>
          </w:p>
        </w:tc>
        <w:tc>
          <w:tcPr>
            <w:tcW w:w="5848" w:type="dxa"/>
            <w:noWrap w:val="0"/>
            <w:vAlign w:val="top"/>
          </w:tcPr>
          <w:p w14:paraId="502A2572">
            <w:pPr>
              <w:spacing w:line="240" w:lineRule="exact"/>
              <w:rPr>
                <w:b/>
                <w:bCs w:val="0"/>
                <w:color w:val="auto"/>
                <w:sz w:val="18"/>
                <w:szCs w:val="18"/>
              </w:rPr>
            </w:pPr>
          </w:p>
        </w:tc>
        <w:tc>
          <w:tcPr>
            <w:tcW w:w="1079" w:type="dxa"/>
            <w:noWrap w:val="0"/>
            <w:vAlign w:val="top"/>
          </w:tcPr>
          <w:p w14:paraId="7D692075">
            <w:pPr>
              <w:spacing w:line="240" w:lineRule="exact"/>
              <w:rPr>
                <w:b/>
                <w:bCs w:val="0"/>
                <w:color w:val="auto"/>
                <w:sz w:val="18"/>
                <w:szCs w:val="18"/>
              </w:rPr>
            </w:pPr>
          </w:p>
        </w:tc>
      </w:tr>
    </w:tbl>
    <w:p w14:paraId="759E2C40">
      <w:pPr>
        <w:tabs>
          <w:tab w:val="left" w:pos="1824"/>
        </w:tabs>
        <w:spacing w:line="300" w:lineRule="auto"/>
        <w:rPr>
          <w:rFonts w:hint="eastAsia"/>
          <w:b/>
          <w:color w:val="auto"/>
        </w:rPr>
      </w:pPr>
    </w:p>
    <w:p w14:paraId="714F25EE">
      <w:pPr>
        <w:tabs>
          <w:tab w:val="left" w:pos="1824"/>
        </w:tabs>
        <w:spacing w:line="300" w:lineRule="auto"/>
        <w:ind w:firstLine="316" w:firstLineChars="150"/>
        <w:rPr>
          <w:b/>
          <w:color w:val="auto"/>
        </w:rPr>
      </w:pPr>
      <w:r>
        <w:rPr>
          <w:rFonts w:hint="eastAsia"/>
          <w:b/>
          <w:color w:val="auto"/>
        </w:rPr>
        <w:t>（</w:t>
      </w:r>
      <w:r>
        <w:rPr>
          <w:rFonts w:hint="eastAsia"/>
          <w:b/>
          <w:color w:val="auto"/>
          <w:lang w:val="en-US" w:eastAsia="zh-CN"/>
        </w:rPr>
        <w:t>3</w:t>
      </w:r>
      <w:r>
        <w:rPr>
          <w:rFonts w:hint="eastAsia"/>
          <w:b/>
          <w:color w:val="auto"/>
        </w:rPr>
        <w:t>）</w:t>
      </w:r>
      <w:r>
        <w:rPr>
          <w:rFonts w:hint="eastAsia"/>
          <w:b/>
          <w:color w:val="auto"/>
          <w:lang w:val="en-US" w:eastAsia="zh-CN"/>
        </w:rPr>
        <w:t>期末考查</w:t>
      </w:r>
      <w:r>
        <w:rPr>
          <w:rFonts w:hint="eastAsia"/>
          <w:b/>
          <w:color w:val="auto"/>
        </w:rPr>
        <w:t>评分标准</w:t>
      </w:r>
    </w:p>
    <w:p w14:paraId="53FBF20F">
      <w:pPr>
        <w:widowControl/>
        <w:snapToGrid w:val="0"/>
        <w:spacing w:before="156" w:beforeLines="50" w:after="156" w:afterLines="50"/>
        <w:ind w:firstLine="420" w:firstLineChars="200"/>
        <w:rPr>
          <w:rFonts w:hint="eastAsia"/>
          <w:color w:val="auto"/>
        </w:rPr>
      </w:pPr>
      <w:r>
        <w:rPr>
          <w:rFonts w:hint="eastAsia"/>
          <w:color w:val="auto"/>
          <w:lang w:val="en-US" w:eastAsia="zh-CN"/>
        </w:rPr>
        <w:t>题型方面，</w:t>
      </w:r>
      <w:r>
        <w:rPr>
          <w:color w:val="auto"/>
        </w:rPr>
        <w:t>客观题占比</w:t>
      </w:r>
      <w:r>
        <w:rPr>
          <w:rFonts w:hint="eastAsia"/>
          <w:color w:val="auto"/>
          <w:lang w:val="en-US" w:eastAsia="zh-CN"/>
        </w:rPr>
        <w:t>1</w:t>
      </w:r>
      <w:r>
        <w:rPr>
          <w:color w:val="auto"/>
        </w:rPr>
        <w:t>0%</w:t>
      </w:r>
      <w:r>
        <w:rPr>
          <w:rFonts w:hint="eastAsia"/>
          <w:color w:val="auto"/>
          <w:lang w:val="en-US" w:eastAsia="zh-CN"/>
        </w:rPr>
        <w:t>至30%</w:t>
      </w:r>
      <w:r>
        <w:rPr>
          <w:color w:val="auto"/>
        </w:rPr>
        <w:t>，主观题占比</w:t>
      </w:r>
      <w:r>
        <w:rPr>
          <w:rFonts w:hint="eastAsia"/>
          <w:color w:val="auto"/>
          <w:lang w:val="en-US" w:eastAsia="zh-CN"/>
        </w:rPr>
        <w:t>70%到9</w:t>
      </w:r>
      <w:r>
        <w:rPr>
          <w:color w:val="auto"/>
        </w:rPr>
        <w:t>0%。客观题主要考察基本概念和原理的掌握情况</w:t>
      </w:r>
      <w:r>
        <w:rPr>
          <w:rFonts w:hint="eastAsia"/>
          <w:color w:val="auto"/>
        </w:rPr>
        <w:t>，</w:t>
      </w:r>
      <w:r>
        <w:rPr>
          <w:rFonts w:hint="eastAsia"/>
          <w:color w:val="auto"/>
          <w:lang w:val="en-US" w:eastAsia="zh-CN"/>
        </w:rPr>
        <w:t>可采用</w:t>
      </w:r>
      <w:r>
        <w:rPr>
          <w:rFonts w:hint="eastAsia"/>
          <w:color w:val="auto"/>
        </w:rPr>
        <w:t>填空题</w:t>
      </w:r>
      <w:r>
        <w:rPr>
          <w:rFonts w:hint="eastAsia"/>
          <w:color w:val="auto"/>
          <w:lang w:eastAsia="zh-CN"/>
        </w:rPr>
        <w:t>、</w:t>
      </w:r>
      <w:r>
        <w:rPr>
          <w:rFonts w:hint="eastAsia"/>
          <w:color w:val="auto"/>
        </w:rPr>
        <w:t>选择题</w:t>
      </w:r>
      <w:r>
        <w:rPr>
          <w:rFonts w:hint="eastAsia"/>
          <w:color w:val="auto"/>
          <w:lang w:val="en-US" w:eastAsia="zh-CN"/>
        </w:rPr>
        <w:t>和判断题</w:t>
      </w:r>
      <w:r>
        <w:rPr>
          <w:color w:val="auto"/>
        </w:rPr>
        <w:t>。主观题主要考察分析能力和计算能力</w:t>
      </w:r>
      <w:r>
        <w:rPr>
          <w:rFonts w:hint="eastAsia"/>
          <w:color w:val="auto"/>
        </w:rPr>
        <w:t>，</w:t>
      </w:r>
      <w:r>
        <w:rPr>
          <w:rFonts w:hint="eastAsia"/>
          <w:color w:val="auto"/>
          <w:lang w:val="en-US" w:eastAsia="zh-CN"/>
        </w:rPr>
        <w:t>全面考察学生的综合运用能力</w:t>
      </w:r>
      <w:r>
        <w:rPr>
          <w:rFonts w:hint="eastAsia"/>
          <w:color w:val="auto"/>
        </w:rPr>
        <w:t>。</w:t>
      </w:r>
      <w:r>
        <w:rPr>
          <w:rFonts w:hint="eastAsia"/>
          <w:color w:val="auto"/>
          <w:lang w:val="en-US" w:eastAsia="zh-CN"/>
        </w:rPr>
        <w:t>各单元成绩占比可在下表规定的基础上做适当调整，</w:t>
      </w:r>
      <w:commentRangeStart w:id="8"/>
      <w:r>
        <w:rPr>
          <w:rFonts w:hint="eastAsia"/>
          <w:color w:val="auto"/>
          <w:lang w:val="en-US" w:eastAsia="zh-CN"/>
        </w:rPr>
        <w:t>调整范围</w:t>
      </w:r>
      <w:commentRangeEnd w:id="8"/>
      <w:r>
        <w:commentReference w:id="8"/>
      </w:r>
      <w:r>
        <w:rPr>
          <w:rFonts w:hint="eastAsia"/>
          <w:color w:val="auto"/>
          <w:lang w:val="en-US" w:eastAsia="zh-CN"/>
        </w:rPr>
        <w:t>一般保持在5%以内。</w:t>
      </w:r>
      <w:r>
        <w:rPr>
          <w:rFonts w:hint="eastAsia"/>
          <w:color w:val="auto"/>
        </w:rPr>
        <w:t>具体评分标准以期末考试实际命题为准。</w:t>
      </w:r>
    </w:p>
    <w:tbl>
      <w:tblPr>
        <w:tblStyle w:val="18"/>
        <w:tblW w:w="45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718"/>
        <w:gridCol w:w="1653"/>
        <w:gridCol w:w="4597"/>
        <w:gridCol w:w="791"/>
      </w:tblGrid>
      <w:tr w14:paraId="2F02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35" w:type="pct"/>
            <w:tcBorders>
              <w:top w:val="single" w:color="auto" w:sz="4" w:space="0"/>
            </w:tcBorders>
            <w:noWrap w:val="0"/>
            <w:vAlign w:val="center"/>
          </w:tcPr>
          <w:p w14:paraId="7AE2D857">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r>
              <w:rPr>
                <w:rFonts w:hint="eastAsia"/>
                <w:b/>
                <w:color w:val="auto"/>
              </w:rPr>
              <w:t>考核内容</w:t>
            </w:r>
          </w:p>
        </w:tc>
        <w:tc>
          <w:tcPr>
            <w:tcW w:w="422" w:type="pct"/>
            <w:tcBorders>
              <w:top w:val="single" w:color="auto" w:sz="4" w:space="0"/>
            </w:tcBorders>
            <w:noWrap w:val="0"/>
            <w:vAlign w:val="center"/>
          </w:tcPr>
          <w:p w14:paraId="2514A0B1">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r>
              <w:rPr>
                <w:rFonts w:hint="eastAsia"/>
                <w:b/>
                <w:color w:val="auto"/>
              </w:rPr>
              <w:t>成绩</w:t>
            </w:r>
          </w:p>
          <w:p w14:paraId="43C3EF23">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r>
              <w:rPr>
                <w:rFonts w:hint="eastAsia"/>
                <w:b/>
                <w:color w:val="auto"/>
              </w:rPr>
              <w:t>占比</w:t>
            </w:r>
          </w:p>
        </w:tc>
        <w:tc>
          <w:tcPr>
            <w:tcW w:w="3676" w:type="pct"/>
            <w:gridSpan w:val="2"/>
            <w:tcBorders>
              <w:top w:val="single" w:color="auto" w:sz="4" w:space="0"/>
            </w:tcBorders>
            <w:noWrap w:val="0"/>
            <w:vAlign w:val="center"/>
          </w:tcPr>
          <w:p w14:paraId="4E462DAC">
            <w:pPr>
              <w:jc w:val="center"/>
              <w:rPr>
                <w:rFonts w:hint="default" w:eastAsia="宋体"/>
                <w:b/>
                <w:bCs/>
                <w:color w:val="auto"/>
                <w:lang w:val="en-US" w:eastAsia="zh-CN"/>
              </w:rPr>
            </w:pPr>
            <w:r>
              <w:rPr>
                <w:rFonts w:hint="eastAsia"/>
                <w:b/>
                <w:bCs/>
                <w:color w:val="auto"/>
                <w:lang w:val="en-US" w:eastAsia="zh-CN"/>
              </w:rPr>
              <w:t>考点与要求</w:t>
            </w:r>
          </w:p>
        </w:tc>
        <w:tc>
          <w:tcPr>
            <w:tcW w:w="465" w:type="pct"/>
            <w:tcBorders>
              <w:top w:val="single" w:color="auto" w:sz="4" w:space="0"/>
            </w:tcBorders>
            <w:noWrap w:val="0"/>
            <w:vAlign w:val="center"/>
          </w:tcPr>
          <w:p w14:paraId="11285268">
            <w:pPr>
              <w:jc w:val="center"/>
              <w:rPr>
                <w:rFonts w:hint="eastAsia" w:eastAsia="宋体"/>
                <w:b/>
                <w:color w:val="auto"/>
                <w:lang w:val="en-US" w:eastAsia="zh-CN"/>
              </w:rPr>
            </w:pPr>
            <w:r>
              <w:rPr>
                <w:rFonts w:hint="eastAsia"/>
                <w:b/>
                <w:color w:val="auto"/>
                <w:lang w:val="en-US" w:eastAsia="zh-CN"/>
              </w:rPr>
              <w:t>课程目标</w:t>
            </w:r>
          </w:p>
        </w:tc>
      </w:tr>
      <w:tr w14:paraId="4F4D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restart"/>
            <w:noWrap w:val="0"/>
            <w:vAlign w:val="center"/>
          </w:tcPr>
          <w:p w14:paraId="1CC17C81">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第一单元</w:t>
            </w:r>
          </w:p>
          <w:p w14:paraId="7F96895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bCs/>
                <w:color w:val="auto"/>
                <w:sz w:val="18"/>
                <w:szCs w:val="18"/>
              </w:rPr>
              <w:t>动力学基础</w:t>
            </w:r>
          </w:p>
        </w:tc>
        <w:tc>
          <w:tcPr>
            <w:tcW w:w="422" w:type="pct"/>
            <w:vMerge w:val="restart"/>
            <w:noWrap w:val="0"/>
            <w:vAlign w:val="center"/>
          </w:tcPr>
          <w:p w14:paraId="5931388B">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r>
              <w:rPr>
                <w:rFonts w:hint="eastAsia"/>
                <w:color w:val="auto"/>
                <w:sz w:val="18"/>
                <w:szCs w:val="18"/>
                <w:lang w:val="en-US" w:eastAsia="zh-CN"/>
              </w:rPr>
              <w:t>20</w:t>
            </w:r>
            <w:r>
              <w:rPr>
                <w:rFonts w:hint="eastAsia"/>
                <w:color w:val="auto"/>
                <w:sz w:val="18"/>
                <w:szCs w:val="18"/>
              </w:rPr>
              <w:t>%</w:t>
            </w:r>
          </w:p>
        </w:tc>
        <w:tc>
          <w:tcPr>
            <w:tcW w:w="972" w:type="pct"/>
            <w:noWrap w:val="0"/>
            <w:vAlign w:val="center"/>
          </w:tcPr>
          <w:p w14:paraId="37D28159">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机电传动系统运动方程式</w:t>
            </w:r>
          </w:p>
        </w:tc>
        <w:tc>
          <w:tcPr>
            <w:tcW w:w="2704" w:type="pct"/>
            <w:noWrap w:val="0"/>
            <w:vAlign w:val="center"/>
          </w:tcPr>
          <w:p w14:paraId="255F84A3">
            <w:pPr>
              <w:spacing w:line="200" w:lineRule="exact"/>
              <w:rPr>
                <w:rFonts w:hint="default" w:eastAsia="宋体"/>
                <w:color w:val="auto"/>
                <w:sz w:val="18"/>
                <w:szCs w:val="18"/>
                <w:lang w:val="en-US" w:eastAsia="zh-CN"/>
              </w:rPr>
            </w:pPr>
            <w:r>
              <w:rPr>
                <w:rFonts w:hint="default" w:ascii="Times New Roman" w:hAnsi="Times New Roman" w:eastAsia="宋体" w:cs="Times New Roman"/>
                <w:color w:val="auto"/>
                <w:sz w:val="18"/>
                <w:szCs w:val="18"/>
              </w:rPr>
              <w:t>熟练掌握动力学方程应用方法与参数折算规则，可结合负载特性分析系统运行状态，具备规范严谨的工程计算与工况分析能力</w:t>
            </w:r>
            <w:r>
              <w:rPr>
                <w:rFonts w:hint="eastAsia" w:ascii="Times New Roman" w:hAnsi="Times New Roman" w:eastAsia="宋体" w:cs="Times New Roman"/>
                <w:color w:val="auto"/>
                <w:sz w:val="18"/>
                <w:szCs w:val="18"/>
                <w:lang w:val="en-US" w:eastAsia="zh-CN"/>
              </w:rPr>
              <w:t>。</w:t>
            </w:r>
          </w:p>
        </w:tc>
        <w:tc>
          <w:tcPr>
            <w:tcW w:w="465" w:type="pct"/>
            <w:vMerge w:val="restart"/>
            <w:noWrap w:val="0"/>
            <w:vAlign w:val="center"/>
          </w:tcPr>
          <w:p w14:paraId="19EEF026">
            <w:pPr>
              <w:spacing w:line="200" w:lineRule="exact"/>
              <w:rPr>
                <w:rFonts w:hint="eastAsia"/>
                <w:color w:val="auto"/>
                <w:sz w:val="18"/>
                <w:szCs w:val="18"/>
              </w:rPr>
            </w:pPr>
            <w:r>
              <w:rPr>
                <w:rFonts w:hint="eastAsia"/>
                <w:bCs/>
                <w:color w:val="auto"/>
                <w:sz w:val="18"/>
                <w:szCs w:val="18"/>
              </w:rPr>
              <w:t>目标1.2，2.2，3.2</w:t>
            </w:r>
          </w:p>
        </w:tc>
      </w:tr>
      <w:tr w14:paraId="49D3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continue"/>
            <w:noWrap w:val="0"/>
            <w:vAlign w:val="center"/>
          </w:tcPr>
          <w:p w14:paraId="0B4A52CD">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22" w:type="pct"/>
            <w:vMerge w:val="continue"/>
            <w:noWrap w:val="0"/>
            <w:vAlign w:val="center"/>
          </w:tcPr>
          <w:p w14:paraId="1BF258C1">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42545831">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负载转矩、转动惯量和飞轮转矩的折算</w:t>
            </w:r>
          </w:p>
        </w:tc>
        <w:tc>
          <w:tcPr>
            <w:tcW w:w="2704" w:type="pct"/>
            <w:noWrap w:val="0"/>
            <w:vAlign w:val="center"/>
          </w:tcPr>
          <w:p w14:paraId="3627038A">
            <w:pPr>
              <w:spacing w:line="200" w:lineRule="exact"/>
              <w:rPr>
                <w:rFonts w:hint="eastAsia" w:eastAsia="宋体"/>
                <w:color w:val="auto"/>
                <w:sz w:val="18"/>
                <w:szCs w:val="18"/>
                <w:lang w:eastAsia="zh-CN"/>
              </w:rPr>
            </w:pPr>
            <w:r>
              <w:rPr>
                <w:rFonts w:hint="eastAsia"/>
                <w:color w:val="auto"/>
                <w:sz w:val="18"/>
                <w:szCs w:val="18"/>
              </w:rPr>
              <w:t>掌握不同传动机构的参数折算公式与计算方法，准确完成机电传动系统等效参数换算，具备严谨规范的工程计算与系统动态分析能力</w:t>
            </w:r>
            <w:r>
              <w:rPr>
                <w:rFonts w:hint="eastAsia" w:ascii="Times New Roman" w:hAnsi="Times New Roman" w:cs="Times New Roman"/>
                <w:color w:val="auto"/>
                <w:sz w:val="18"/>
                <w:szCs w:val="18"/>
                <w:lang w:eastAsia="zh-CN"/>
              </w:rPr>
              <w:t>。</w:t>
            </w:r>
          </w:p>
        </w:tc>
        <w:tc>
          <w:tcPr>
            <w:tcW w:w="465" w:type="pct"/>
            <w:vMerge w:val="continue"/>
            <w:noWrap w:val="0"/>
            <w:vAlign w:val="center"/>
          </w:tcPr>
          <w:p w14:paraId="52674326">
            <w:pPr>
              <w:spacing w:line="200" w:lineRule="exact"/>
              <w:rPr>
                <w:rFonts w:hint="eastAsia"/>
                <w:color w:val="auto"/>
                <w:sz w:val="18"/>
                <w:szCs w:val="18"/>
              </w:rPr>
            </w:pPr>
          </w:p>
        </w:tc>
      </w:tr>
      <w:tr w14:paraId="7112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continue"/>
            <w:noWrap w:val="0"/>
            <w:vAlign w:val="center"/>
          </w:tcPr>
          <w:p w14:paraId="6F23C454">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22" w:type="pct"/>
            <w:vMerge w:val="continue"/>
            <w:noWrap w:val="0"/>
            <w:vAlign w:val="center"/>
          </w:tcPr>
          <w:p w14:paraId="461A07F7">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1805A959">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机电传动系统的负载特性</w:t>
            </w:r>
          </w:p>
        </w:tc>
        <w:tc>
          <w:tcPr>
            <w:tcW w:w="2704" w:type="pct"/>
            <w:noWrap w:val="0"/>
            <w:vAlign w:val="center"/>
          </w:tcPr>
          <w:p w14:paraId="0113EDDC">
            <w:pPr>
              <w:spacing w:line="200" w:lineRule="exact"/>
              <w:rPr>
                <w:rFonts w:hint="eastAsia" w:eastAsia="宋体"/>
                <w:color w:val="auto"/>
                <w:sz w:val="18"/>
                <w:szCs w:val="18"/>
                <w:lang w:eastAsia="zh-CN"/>
              </w:rPr>
            </w:pPr>
            <w:r>
              <w:rPr>
                <w:rFonts w:hint="default" w:ascii="Times New Roman" w:hAnsi="Times New Roman" w:eastAsia="宋体" w:cs="Times New Roman"/>
                <w:color w:val="auto"/>
                <w:sz w:val="18"/>
                <w:szCs w:val="18"/>
              </w:rPr>
              <w:t>熟练辨析恒转矩、恒功率、风机泵类负载特性，结合工况完成负载匹配分析，具备严谨规范的工程研判与应用能力</w:t>
            </w:r>
            <w:r>
              <w:rPr>
                <w:rFonts w:hint="eastAsia" w:ascii="Times New Roman" w:hAnsi="Times New Roman" w:cs="Times New Roman"/>
                <w:color w:val="auto"/>
                <w:sz w:val="18"/>
                <w:szCs w:val="18"/>
                <w:lang w:eastAsia="zh-CN"/>
              </w:rPr>
              <w:t>。</w:t>
            </w:r>
          </w:p>
        </w:tc>
        <w:tc>
          <w:tcPr>
            <w:tcW w:w="465" w:type="pct"/>
            <w:vMerge w:val="continue"/>
            <w:noWrap w:val="0"/>
            <w:vAlign w:val="center"/>
          </w:tcPr>
          <w:p w14:paraId="7BC5668A">
            <w:pPr>
              <w:spacing w:line="200" w:lineRule="exact"/>
              <w:rPr>
                <w:rFonts w:hint="eastAsia"/>
                <w:color w:val="auto"/>
                <w:sz w:val="18"/>
                <w:szCs w:val="18"/>
              </w:rPr>
            </w:pPr>
          </w:p>
        </w:tc>
      </w:tr>
      <w:tr w14:paraId="19C4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restart"/>
            <w:noWrap w:val="0"/>
            <w:vAlign w:val="center"/>
          </w:tcPr>
          <w:p w14:paraId="52E3D8ED">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第二单元</w:t>
            </w:r>
          </w:p>
          <w:p w14:paraId="35364F9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bCs/>
                <w:color w:val="auto"/>
                <w:sz w:val="18"/>
                <w:szCs w:val="18"/>
              </w:rPr>
              <w:t>直流与交流电动机的工作原理及特性</w:t>
            </w:r>
          </w:p>
        </w:tc>
        <w:tc>
          <w:tcPr>
            <w:tcW w:w="422" w:type="pct"/>
            <w:vMerge w:val="restart"/>
            <w:noWrap w:val="0"/>
            <w:vAlign w:val="center"/>
          </w:tcPr>
          <w:p w14:paraId="55AE7D20">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r>
              <w:rPr>
                <w:rFonts w:hint="eastAsia"/>
                <w:color w:val="auto"/>
                <w:sz w:val="18"/>
                <w:szCs w:val="18"/>
                <w:lang w:val="en-US" w:eastAsia="zh-CN"/>
              </w:rPr>
              <w:t>30</w:t>
            </w:r>
            <w:r>
              <w:rPr>
                <w:rFonts w:hint="eastAsia"/>
                <w:color w:val="auto"/>
                <w:sz w:val="18"/>
                <w:szCs w:val="18"/>
              </w:rPr>
              <w:t>%</w:t>
            </w:r>
          </w:p>
        </w:tc>
        <w:tc>
          <w:tcPr>
            <w:tcW w:w="972" w:type="pct"/>
            <w:noWrap w:val="0"/>
            <w:vAlign w:val="center"/>
          </w:tcPr>
          <w:p w14:paraId="16B2C3E7">
            <w:pPr>
              <w:spacing w:line="200" w:lineRule="exact"/>
              <w:jc w:val="center"/>
              <w:rPr>
                <w:rFonts w:hint="default" w:eastAsia="宋体"/>
                <w:color w:val="auto"/>
                <w:sz w:val="18"/>
                <w:szCs w:val="18"/>
                <w:lang w:val="en-US" w:eastAsia="zh-CN"/>
              </w:rPr>
            </w:pPr>
            <w:r>
              <w:rPr>
                <w:rFonts w:hint="eastAsia" w:ascii="Times New Roman" w:hAnsi="Times New Roman" w:cs="Times New Roman"/>
                <w:color w:val="auto"/>
                <w:sz w:val="18"/>
                <w:szCs w:val="18"/>
                <w:lang w:val="en-US" w:eastAsia="zh-CN"/>
              </w:rPr>
              <w:t>直流电机的结构与工作原理，机械特性，启动特性，调速特性，制动特性</w:t>
            </w:r>
          </w:p>
        </w:tc>
        <w:tc>
          <w:tcPr>
            <w:tcW w:w="2704" w:type="pct"/>
            <w:noWrap w:val="0"/>
            <w:vAlign w:val="center"/>
          </w:tcPr>
          <w:p w14:paraId="12D17F1A">
            <w:pPr>
              <w:spacing w:line="200" w:lineRule="exact"/>
              <w:rPr>
                <w:rFonts w:hint="eastAsia" w:eastAsia="宋体"/>
                <w:color w:val="auto"/>
                <w:sz w:val="18"/>
                <w:szCs w:val="18"/>
                <w:lang w:eastAsia="zh-CN"/>
              </w:rPr>
            </w:pPr>
            <w:r>
              <w:rPr>
                <w:rFonts w:hint="eastAsia"/>
                <w:color w:val="auto"/>
                <w:sz w:val="18"/>
                <w:szCs w:val="18"/>
                <w:lang w:val="en-US" w:eastAsia="zh-CN"/>
              </w:rPr>
              <w:t>熟悉</w:t>
            </w:r>
            <w:r>
              <w:rPr>
                <w:rFonts w:hint="eastAsia"/>
                <w:color w:val="auto"/>
                <w:sz w:val="18"/>
                <w:szCs w:val="18"/>
              </w:rPr>
              <w:t>直流电机结构组成与工作原理、机械特性、启动、调速、制动特性两大核心内容及其内在逻辑关系；熟练掌握直流电机运行规律与特性参数，可根据工况合理选用启动、调速、制动方式，具备严谨规范的电机工况分析与工程应用能力</w:t>
            </w:r>
            <w:r>
              <w:rPr>
                <w:rFonts w:hint="eastAsia"/>
                <w:color w:val="auto"/>
                <w:sz w:val="18"/>
                <w:szCs w:val="18"/>
                <w:lang w:eastAsia="zh-CN"/>
              </w:rPr>
              <w:t>。</w:t>
            </w:r>
          </w:p>
        </w:tc>
        <w:tc>
          <w:tcPr>
            <w:tcW w:w="465" w:type="pct"/>
            <w:vMerge w:val="restart"/>
            <w:noWrap w:val="0"/>
            <w:vAlign w:val="center"/>
          </w:tcPr>
          <w:p w14:paraId="3A2C45D4">
            <w:pPr>
              <w:spacing w:line="200" w:lineRule="exact"/>
              <w:rPr>
                <w:rFonts w:hint="default" w:eastAsia="宋体"/>
                <w:color w:val="auto"/>
                <w:sz w:val="18"/>
                <w:szCs w:val="18"/>
                <w:lang w:val="en-US" w:eastAsia="zh-CN"/>
              </w:rPr>
            </w:pPr>
            <w:r>
              <w:rPr>
                <w:rFonts w:hint="eastAsia"/>
                <w:bCs/>
                <w:color w:val="auto"/>
                <w:sz w:val="18"/>
                <w:szCs w:val="18"/>
              </w:rPr>
              <w:t>目标1.3，</w:t>
            </w:r>
            <w:r>
              <w:rPr>
                <w:rFonts w:hint="eastAsia"/>
                <w:bCs/>
                <w:color w:val="auto"/>
                <w:sz w:val="18"/>
                <w:szCs w:val="18"/>
                <w:lang w:val="en-US" w:eastAsia="zh-CN"/>
              </w:rPr>
              <w:t>1.4，</w:t>
            </w:r>
            <w:r>
              <w:rPr>
                <w:rFonts w:hint="eastAsia"/>
                <w:bCs/>
                <w:color w:val="auto"/>
                <w:sz w:val="18"/>
                <w:szCs w:val="18"/>
              </w:rPr>
              <w:t>2.3</w:t>
            </w:r>
            <w:r>
              <w:rPr>
                <w:rFonts w:hint="eastAsia"/>
                <w:bCs/>
                <w:color w:val="auto"/>
                <w:sz w:val="18"/>
                <w:szCs w:val="18"/>
                <w:lang w:val="en-US" w:eastAsia="zh-CN"/>
              </w:rPr>
              <w:t>，2.4，</w:t>
            </w:r>
            <w:r>
              <w:rPr>
                <w:rFonts w:hint="eastAsia"/>
                <w:bCs/>
                <w:color w:val="auto"/>
                <w:sz w:val="18"/>
                <w:szCs w:val="18"/>
              </w:rPr>
              <w:t>3.3</w:t>
            </w:r>
            <w:r>
              <w:rPr>
                <w:rFonts w:hint="eastAsia"/>
                <w:bCs/>
                <w:color w:val="auto"/>
                <w:sz w:val="18"/>
                <w:szCs w:val="18"/>
                <w:lang w:eastAsia="zh-CN"/>
              </w:rPr>
              <w:t>，</w:t>
            </w:r>
            <w:r>
              <w:rPr>
                <w:rFonts w:hint="eastAsia"/>
                <w:bCs/>
                <w:color w:val="auto"/>
                <w:sz w:val="18"/>
                <w:szCs w:val="18"/>
                <w:lang w:val="en-US" w:eastAsia="zh-CN"/>
              </w:rPr>
              <w:t>3.4</w:t>
            </w:r>
          </w:p>
        </w:tc>
      </w:tr>
      <w:tr w14:paraId="05CC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trPr>
        <w:tc>
          <w:tcPr>
            <w:tcW w:w="435" w:type="pct"/>
            <w:vMerge w:val="continue"/>
            <w:noWrap w:val="0"/>
            <w:vAlign w:val="center"/>
          </w:tcPr>
          <w:p w14:paraId="0F4BCD75">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22" w:type="pct"/>
            <w:vMerge w:val="continue"/>
            <w:noWrap w:val="0"/>
            <w:vAlign w:val="center"/>
          </w:tcPr>
          <w:p w14:paraId="2D33A360">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0482A2AA">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交流电动机的结构与工作原理</w:t>
            </w:r>
          </w:p>
        </w:tc>
        <w:tc>
          <w:tcPr>
            <w:tcW w:w="2704" w:type="pct"/>
            <w:noWrap w:val="0"/>
            <w:vAlign w:val="center"/>
          </w:tcPr>
          <w:p w14:paraId="00FF74D6">
            <w:pPr>
              <w:spacing w:line="200" w:lineRule="exact"/>
              <w:rPr>
                <w:color w:val="auto"/>
                <w:sz w:val="18"/>
                <w:szCs w:val="18"/>
              </w:rPr>
            </w:pPr>
            <w:r>
              <w:rPr>
                <w:rFonts w:hint="default" w:ascii="Times New Roman" w:hAnsi="Times New Roman" w:eastAsia="宋体" w:cs="Times New Roman"/>
                <w:color w:val="auto"/>
                <w:sz w:val="18"/>
                <w:szCs w:val="18"/>
              </w:rPr>
              <w:t>掌握交流电机旋转磁场产生规律与能量转换原理，能够辨析结构部件功能与运行特点，具备严谨规范的电机基础分析与工程认知能力</w:t>
            </w:r>
            <w:r>
              <w:rPr>
                <w:rFonts w:hint="default" w:ascii="Times New Roman" w:hAnsi="Times New Roman" w:cs="Times New Roman"/>
                <w:color w:val="auto"/>
                <w:sz w:val="18"/>
                <w:szCs w:val="18"/>
              </w:rPr>
              <w:t>。</w:t>
            </w:r>
          </w:p>
        </w:tc>
        <w:tc>
          <w:tcPr>
            <w:tcW w:w="465" w:type="pct"/>
            <w:vMerge w:val="continue"/>
            <w:noWrap w:val="0"/>
            <w:vAlign w:val="center"/>
          </w:tcPr>
          <w:p w14:paraId="718CC45F">
            <w:pPr>
              <w:spacing w:line="200" w:lineRule="exact"/>
              <w:rPr>
                <w:rFonts w:hint="eastAsia"/>
                <w:color w:val="auto"/>
                <w:sz w:val="18"/>
                <w:szCs w:val="18"/>
              </w:rPr>
            </w:pPr>
          </w:p>
        </w:tc>
      </w:tr>
      <w:tr w14:paraId="578B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restart"/>
            <w:noWrap w:val="0"/>
            <w:vAlign w:val="center"/>
          </w:tcPr>
          <w:p w14:paraId="106CD85D">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第三单元</w:t>
            </w:r>
          </w:p>
          <w:p w14:paraId="0AE84F7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bCs/>
                <w:color w:val="auto"/>
                <w:sz w:val="18"/>
                <w:szCs w:val="18"/>
              </w:rPr>
              <w:t>控制电动机</w:t>
            </w:r>
          </w:p>
        </w:tc>
        <w:tc>
          <w:tcPr>
            <w:tcW w:w="422" w:type="pct"/>
            <w:vMerge w:val="restart"/>
            <w:noWrap w:val="0"/>
            <w:vAlign w:val="center"/>
          </w:tcPr>
          <w:p w14:paraId="374C168D">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lang w:val="en-US" w:eastAsia="zh-CN"/>
              </w:rPr>
              <w:t>30</w:t>
            </w:r>
            <w:r>
              <w:rPr>
                <w:rFonts w:hint="eastAsia"/>
                <w:color w:val="auto"/>
                <w:sz w:val="18"/>
                <w:szCs w:val="18"/>
              </w:rPr>
              <w:t>%</w:t>
            </w:r>
          </w:p>
        </w:tc>
        <w:tc>
          <w:tcPr>
            <w:tcW w:w="972" w:type="pct"/>
            <w:noWrap w:val="0"/>
            <w:vAlign w:val="center"/>
          </w:tcPr>
          <w:p w14:paraId="436C201A">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步进电机结构与工作原理</w:t>
            </w:r>
          </w:p>
        </w:tc>
        <w:tc>
          <w:tcPr>
            <w:tcW w:w="2704" w:type="pct"/>
            <w:noWrap w:val="0"/>
            <w:vAlign w:val="center"/>
          </w:tcPr>
          <w:p w14:paraId="04D819E5">
            <w:pPr>
              <w:spacing w:line="200" w:lineRule="exact"/>
              <w:rPr>
                <w:rFonts w:hint="eastAsia" w:eastAsia="宋体"/>
                <w:color w:val="auto"/>
                <w:sz w:val="18"/>
                <w:szCs w:val="18"/>
                <w:lang w:eastAsia="zh-CN"/>
              </w:rPr>
            </w:pPr>
            <w:r>
              <w:rPr>
                <w:rFonts w:hint="default" w:ascii="Times New Roman" w:hAnsi="Times New Roman" w:eastAsia="宋体" w:cs="Times New Roman"/>
                <w:color w:val="auto"/>
                <w:sz w:val="18"/>
                <w:szCs w:val="18"/>
              </w:rPr>
              <w:t>掌握步进电机脉冲控制运行规律与步进驱动机理，能够辨析其工作特性与应用特点，具备严谨规范的电机工况分析与工程应用能力</w:t>
            </w:r>
            <w:r>
              <w:rPr>
                <w:rFonts w:hint="eastAsia" w:ascii="Times New Roman" w:hAnsi="Times New Roman" w:eastAsia="宋体" w:cs="Times New Roman"/>
                <w:color w:val="auto"/>
                <w:sz w:val="18"/>
                <w:szCs w:val="18"/>
                <w:lang w:eastAsia="zh-CN"/>
              </w:rPr>
              <w:t>。</w:t>
            </w:r>
          </w:p>
        </w:tc>
        <w:tc>
          <w:tcPr>
            <w:tcW w:w="465" w:type="pct"/>
            <w:vMerge w:val="restart"/>
            <w:noWrap w:val="0"/>
            <w:vAlign w:val="center"/>
          </w:tcPr>
          <w:p w14:paraId="3C7F6B57">
            <w:pPr>
              <w:spacing w:line="200" w:lineRule="exact"/>
              <w:rPr>
                <w:rFonts w:hint="eastAsia" w:eastAsia="宋体"/>
                <w:color w:val="auto"/>
                <w:sz w:val="18"/>
                <w:szCs w:val="18"/>
                <w:lang w:eastAsia="zh-CN"/>
              </w:rPr>
            </w:pPr>
            <w:r>
              <w:rPr>
                <w:rFonts w:hint="eastAsia"/>
                <w:bCs/>
                <w:color w:val="auto"/>
                <w:sz w:val="18"/>
                <w:szCs w:val="18"/>
              </w:rPr>
              <w:t>目标1.</w:t>
            </w:r>
            <w:r>
              <w:rPr>
                <w:rFonts w:hint="eastAsia"/>
                <w:bCs/>
                <w:color w:val="auto"/>
                <w:sz w:val="18"/>
                <w:szCs w:val="18"/>
                <w:lang w:val="en-US" w:eastAsia="zh-CN"/>
              </w:rPr>
              <w:t>5</w:t>
            </w:r>
            <w:r>
              <w:rPr>
                <w:rFonts w:hint="eastAsia"/>
                <w:bCs/>
                <w:color w:val="auto"/>
                <w:sz w:val="18"/>
                <w:szCs w:val="18"/>
              </w:rPr>
              <w:t>，2.</w:t>
            </w:r>
            <w:r>
              <w:rPr>
                <w:rFonts w:hint="eastAsia"/>
                <w:bCs/>
                <w:color w:val="auto"/>
                <w:sz w:val="18"/>
                <w:szCs w:val="18"/>
                <w:lang w:val="en-US" w:eastAsia="zh-CN"/>
              </w:rPr>
              <w:t>5</w:t>
            </w:r>
            <w:r>
              <w:rPr>
                <w:rFonts w:hint="eastAsia"/>
                <w:bCs/>
                <w:color w:val="auto"/>
                <w:sz w:val="18"/>
                <w:szCs w:val="18"/>
                <w:lang w:eastAsia="zh-CN"/>
              </w:rPr>
              <w:t>，</w:t>
            </w:r>
            <w:r>
              <w:rPr>
                <w:rFonts w:hint="eastAsia"/>
                <w:bCs/>
                <w:color w:val="auto"/>
                <w:sz w:val="18"/>
                <w:szCs w:val="18"/>
              </w:rPr>
              <w:t>3.</w:t>
            </w:r>
            <w:r>
              <w:rPr>
                <w:rFonts w:hint="eastAsia"/>
                <w:bCs/>
                <w:color w:val="auto"/>
                <w:sz w:val="18"/>
                <w:szCs w:val="18"/>
                <w:lang w:val="en-US" w:eastAsia="zh-CN"/>
              </w:rPr>
              <w:t>5</w:t>
            </w:r>
          </w:p>
        </w:tc>
      </w:tr>
      <w:tr w14:paraId="2776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435" w:type="pct"/>
            <w:vMerge w:val="continue"/>
            <w:noWrap w:val="0"/>
            <w:vAlign w:val="center"/>
          </w:tcPr>
          <w:p w14:paraId="7F1EF1E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22" w:type="pct"/>
            <w:vMerge w:val="continue"/>
            <w:noWrap w:val="0"/>
            <w:vAlign w:val="center"/>
          </w:tcPr>
          <w:p w14:paraId="4BC8BF27">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629BC84E">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直流与交流伺服电机</w:t>
            </w:r>
          </w:p>
        </w:tc>
        <w:tc>
          <w:tcPr>
            <w:tcW w:w="2704" w:type="pct"/>
            <w:noWrap w:val="0"/>
            <w:vAlign w:val="center"/>
          </w:tcPr>
          <w:p w14:paraId="59F19F90">
            <w:pPr>
              <w:spacing w:line="200" w:lineRule="exact"/>
              <w:rPr>
                <w:color w:val="auto"/>
                <w:sz w:val="18"/>
                <w:szCs w:val="18"/>
              </w:rPr>
            </w:pPr>
            <w:r>
              <w:rPr>
                <w:rFonts w:hint="eastAsia" w:ascii="Times New Roman" w:hAnsi="Times New Roman" w:eastAsia="宋体" w:cs="Times New Roman"/>
                <w:color w:val="auto"/>
                <w:sz w:val="18"/>
                <w:szCs w:val="18"/>
                <w:lang w:val="en-US" w:eastAsia="zh-CN"/>
              </w:rPr>
              <w:t>熟悉直流伺服电机、交流伺服电机的基本结构、工作原理与控制特性两大核心内容及其内在逻辑关系；熟练辨析两类伺服电机的性能差异与运行特点，结合工况完成选型与应用分析，具备严谨规范的电机工况研判与工程应用能力。</w:t>
            </w:r>
          </w:p>
        </w:tc>
        <w:tc>
          <w:tcPr>
            <w:tcW w:w="465" w:type="pct"/>
            <w:vMerge w:val="continue"/>
            <w:noWrap w:val="0"/>
            <w:vAlign w:val="center"/>
          </w:tcPr>
          <w:p w14:paraId="7B69E99E">
            <w:pPr>
              <w:spacing w:line="200" w:lineRule="exact"/>
              <w:rPr>
                <w:rFonts w:hint="eastAsia"/>
                <w:color w:val="auto"/>
                <w:sz w:val="18"/>
                <w:szCs w:val="18"/>
              </w:rPr>
            </w:pPr>
          </w:p>
        </w:tc>
      </w:tr>
      <w:tr w14:paraId="5430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restart"/>
            <w:noWrap w:val="0"/>
            <w:vAlign w:val="center"/>
          </w:tcPr>
          <w:p w14:paraId="3A30BF4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第四单元</w:t>
            </w:r>
          </w:p>
          <w:p w14:paraId="4A83637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bCs/>
                <w:color w:val="auto"/>
                <w:sz w:val="18"/>
                <w:szCs w:val="18"/>
              </w:rPr>
              <w:t>继电器-接触器控制</w:t>
            </w:r>
          </w:p>
        </w:tc>
        <w:tc>
          <w:tcPr>
            <w:tcW w:w="422" w:type="pct"/>
            <w:vMerge w:val="restart"/>
            <w:noWrap w:val="0"/>
            <w:vAlign w:val="center"/>
          </w:tcPr>
          <w:p w14:paraId="6F1C3457">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lang w:val="en-US" w:eastAsia="zh-CN"/>
              </w:rPr>
              <w:t>20</w:t>
            </w:r>
            <w:r>
              <w:rPr>
                <w:rFonts w:hint="eastAsia"/>
                <w:color w:val="auto"/>
                <w:sz w:val="18"/>
                <w:szCs w:val="18"/>
              </w:rPr>
              <w:t>%</w:t>
            </w:r>
          </w:p>
        </w:tc>
        <w:tc>
          <w:tcPr>
            <w:tcW w:w="972" w:type="pct"/>
            <w:noWrap w:val="0"/>
            <w:vAlign w:val="center"/>
          </w:tcPr>
          <w:p w14:paraId="25B76A02">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常用控制电器</w:t>
            </w:r>
          </w:p>
        </w:tc>
        <w:tc>
          <w:tcPr>
            <w:tcW w:w="2704" w:type="pct"/>
            <w:noWrap w:val="0"/>
            <w:vAlign w:val="center"/>
          </w:tcPr>
          <w:p w14:paraId="6D4E4CAC">
            <w:pPr>
              <w:spacing w:line="200" w:lineRule="exact"/>
              <w:rPr>
                <w:rFonts w:hint="default" w:eastAsia="宋体"/>
                <w:color w:val="auto"/>
                <w:sz w:val="18"/>
                <w:szCs w:val="18"/>
                <w:lang w:val="en-US" w:eastAsia="zh-CN"/>
              </w:rPr>
            </w:pPr>
            <w:r>
              <w:rPr>
                <w:rFonts w:hint="eastAsia"/>
                <w:color w:val="auto"/>
                <w:sz w:val="18"/>
                <w:szCs w:val="18"/>
                <w:lang w:val="en-US" w:eastAsia="zh-CN"/>
              </w:rPr>
              <w:t>熟练辨析各类低压控制电器的适用场景与性能差异，结合控制电路需求完成电器选型与应用分析，具备严谨规范的电气元件辨识与工程应用能力。</w:t>
            </w:r>
          </w:p>
        </w:tc>
        <w:tc>
          <w:tcPr>
            <w:tcW w:w="465" w:type="pct"/>
            <w:vMerge w:val="restart"/>
            <w:noWrap w:val="0"/>
            <w:vAlign w:val="center"/>
          </w:tcPr>
          <w:p w14:paraId="32D4873C">
            <w:pPr>
              <w:spacing w:line="200" w:lineRule="exact"/>
              <w:rPr>
                <w:rFonts w:hint="eastAsia" w:eastAsia="宋体"/>
                <w:color w:val="auto"/>
                <w:sz w:val="18"/>
                <w:szCs w:val="18"/>
                <w:lang w:eastAsia="zh-CN"/>
              </w:rPr>
            </w:pPr>
            <w:r>
              <w:rPr>
                <w:rFonts w:hint="eastAsia"/>
                <w:bCs/>
                <w:color w:val="auto"/>
                <w:sz w:val="18"/>
                <w:szCs w:val="18"/>
              </w:rPr>
              <w:t>目标1.</w:t>
            </w:r>
            <w:r>
              <w:rPr>
                <w:rFonts w:hint="eastAsia"/>
                <w:bCs/>
                <w:color w:val="auto"/>
                <w:sz w:val="18"/>
                <w:szCs w:val="18"/>
                <w:lang w:val="en-US" w:eastAsia="zh-CN"/>
              </w:rPr>
              <w:t>6</w:t>
            </w:r>
            <w:r>
              <w:rPr>
                <w:rFonts w:hint="eastAsia"/>
                <w:bCs/>
                <w:color w:val="auto"/>
                <w:sz w:val="18"/>
                <w:szCs w:val="18"/>
              </w:rPr>
              <w:t>，2.</w:t>
            </w:r>
            <w:r>
              <w:rPr>
                <w:rFonts w:hint="eastAsia"/>
                <w:bCs/>
                <w:color w:val="auto"/>
                <w:sz w:val="18"/>
                <w:szCs w:val="18"/>
                <w:lang w:val="en-US" w:eastAsia="zh-CN"/>
              </w:rPr>
              <w:t>6</w:t>
            </w:r>
            <w:r>
              <w:rPr>
                <w:rFonts w:hint="eastAsia"/>
                <w:bCs/>
                <w:color w:val="auto"/>
                <w:sz w:val="18"/>
                <w:szCs w:val="18"/>
              </w:rPr>
              <w:t>，3.</w:t>
            </w:r>
            <w:r>
              <w:rPr>
                <w:rFonts w:hint="eastAsia"/>
                <w:bCs/>
                <w:color w:val="auto"/>
                <w:sz w:val="18"/>
                <w:szCs w:val="18"/>
                <w:lang w:val="en-US" w:eastAsia="zh-CN"/>
              </w:rPr>
              <w:t>6</w:t>
            </w:r>
          </w:p>
        </w:tc>
      </w:tr>
      <w:tr w14:paraId="51A06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35" w:type="pct"/>
            <w:vMerge w:val="continue"/>
            <w:noWrap w:val="0"/>
            <w:vAlign w:val="center"/>
          </w:tcPr>
          <w:p w14:paraId="6279D45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22" w:type="pct"/>
            <w:vMerge w:val="continue"/>
            <w:noWrap w:val="0"/>
            <w:vAlign w:val="center"/>
          </w:tcPr>
          <w:p w14:paraId="10500318">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53BDE8B8">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继电器-接触器控制电路的组成与基本电路</w:t>
            </w:r>
          </w:p>
        </w:tc>
        <w:tc>
          <w:tcPr>
            <w:tcW w:w="2704" w:type="pct"/>
            <w:noWrap w:val="0"/>
            <w:vAlign w:val="center"/>
          </w:tcPr>
          <w:p w14:paraId="3486F650">
            <w:pPr>
              <w:spacing w:line="200" w:lineRule="exact"/>
              <w:rPr>
                <w:color w:val="auto"/>
                <w:sz w:val="18"/>
                <w:szCs w:val="18"/>
              </w:rPr>
            </w:pPr>
            <w:r>
              <w:rPr>
                <w:rFonts w:hint="eastAsia" w:ascii="Times New Roman" w:hAnsi="Times New Roman" w:eastAsia="宋体" w:cs="Times New Roman"/>
                <w:color w:val="auto"/>
                <w:sz w:val="18"/>
                <w:szCs w:val="18"/>
                <w:lang w:val="en-US" w:eastAsia="zh-CN"/>
              </w:rPr>
              <w:t>熟练识读自锁、互锁、顺序控制等基本电路，掌握电路逻辑功能与运行原理，具备严谨规范的电路分析与工程应用能力</w:t>
            </w:r>
            <w:r>
              <w:rPr>
                <w:rFonts w:hint="default" w:ascii="Times New Roman" w:hAnsi="Times New Roman" w:cs="Times New Roman"/>
                <w:color w:val="auto"/>
                <w:sz w:val="18"/>
                <w:szCs w:val="18"/>
              </w:rPr>
              <w:t>。</w:t>
            </w:r>
          </w:p>
        </w:tc>
        <w:tc>
          <w:tcPr>
            <w:tcW w:w="465" w:type="pct"/>
            <w:vMerge w:val="continue"/>
            <w:noWrap w:val="0"/>
            <w:vAlign w:val="center"/>
          </w:tcPr>
          <w:p w14:paraId="6D1CB26B">
            <w:pPr>
              <w:spacing w:line="200" w:lineRule="exact"/>
              <w:rPr>
                <w:rFonts w:hint="eastAsia"/>
                <w:color w:val="auto"/>
                <w:sz w:val="18"/>
                <w:szCs w:val="18"/>
              </w:rPr>
            </w:pPr>
          </w:p>
        </w:tc>
      </w:tr>
      <w:tr w14:paraId="6251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35" w:type="pct"/>
            <w:noWrap w:val="0"/>
            <w:vAlign w:val="center"/>
          </w:tcPr>
          <w:p w14:paraId="6AADF83B">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eastAsia="宋体"/>
                <w:b/>
                <w:bCs w:val="0"/>
                <w:color w:val="auto"/>
                <w:sz w:val="18"/>
                <w:szCs w:val="18"/>
                <w:lang w:val="en-US" w:eastAsia="zh-CN"/>
              </w:rPr>
            </w:pPr>
            <w:r>
              <w:rPr>
                <w:rFonts w:hint="eastAsia"/>
                <w:b/>
                <w:bCs w:val="0"/>
                <w:color w:val="auto"/>
                <w:sz w:val="18"/>
                <w:szCs w:val="18"/>
                <w:lang w:val="en-US" w:eastAsia="zh-CN"/>
              </w:rPr>
              <w:t>合计</w:t>
            </w:r>
          </w:p>
        </w:tc>
        <w:tc>
          <w:tcPr>
            <w:tcW w:w="422" w:type="pct"/>
            <w:noWrap w:val="0"/>
            <w:vAlign w:val="center"/>
          </w:tcPr>
          <w:p w14:paraId="2491E83E">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rPr>
            </w:pPr>
            <w:r>
              <w:rPr>
                <w:rFonts w:hint="eastAsia"/>
                <w:b/>
                <w:bCs w:val="0"/>
                <w:color w:val="auto"/>
                <w:sz w:val="18"/>
                <w:szCs w:val="18"/>
              </w:rPr>
              <w:t>100%</w:t>
            </w:r>
          </w:p>
        </w:tc>
        <w:tc>
          <w:tcPr>
            <w:tcW w:w="972" w:type="pct"/>
            <w:noWrap w:val="0"/>
            <w:vAlign w:val="center"/>
          </w:tcPr>
          <w:p w14:paraId="13C67C11">
            <w:pPr>
              <w:spacing w:line="240" w:lineRule="exact"/>
              <w:jc w:val="center"/>
              <w:rPr>
                <w:b/>
                <w:bCs w:val="0"/>
                <w:color w:val="auto"/>
                <w:sz w:val="18"/>
                <w:szCs w:val="18"/>
              </w:rPr>
            </w:pPr>
          </w:p>
        </w:tc>
        <w:tc>
          <w:tcPr>
            <w:tcW w:w="2704" w:type="pct"/>
            <w:noWrap w:val="0"/>
            <w:vAlign w:val="top"/>
          </w:tcPr>
          <w:p w14:paraId="0F806615">
            <w:pPr>
              <w:spacing w:line="240" w:lineRule="exact"/>
              <w:rPr>
                <w:b/>
                <w:bCs w:val="0"/>
                <w:color w:val="auto"/>
                <w:sz w:val="18"/>
                <w:szCs w:val="18"/>
              </w:rPr>
            </w:pPr>
          </w:p>
        </w:tc>
        <w:tc>
          <w:tcPr>
            <w:tcW w:w="465" w:type="pct"/>
            <w:noWrap w:val="0"/>
            <w:vAlign w:val="top"/>
          </w:tcPr>
          <w:p w14:paraId="5C0E7576">
            <w:pPr>
              <w:spacing w:line="240" w:lineRule="exact"/>
              <w:rPr>
                <w:b/>
                <w:bCs w:val="0"/>
                <w:color w:val="auto"/>
                <w:sz w:val="18"/>
                <w:szCs w:val="18"/>
              </w:rPr>
            </w:pPr>
          </w:p>
        </w:tc>
      </w:tr>
    </w:tbl>
    <w:p w14:paraId="292F060F">
      <w:pPr>
        <w:widowControl/>
        <w:snapToGrid w:val="0"/>
        <w:spacing w:before="156" w:beforeLines="50" w:after="156" w:afterLines="50"/>
        <w:rPr>
          <w:rFonts w:hint="eastAsia"/>
          <w:color w:val="auto"/>
        </w:rPr>
      </w:pPr>
    </w:p>
    <w:p w14:paraId="32F80A6A">
      <w:pPr>
        <w:pStyle w:val="14"/>
        <w:spacing w:after="240" w:line="300" w:lineRule="auto"/>
        <w:jc w:val="left"/>
        <w:rPr>
          <w:rFonts w:ascii="Times New Roman" w:hAnsi="Times New Roman" w:eastAsia="黑体"/>
          <w:color w:val="auto"/>
          <w:sz w:val="28"/>
          <w:szCs w:val="28"/>
        </w:rPr>
      </w:pPr>
      <w:r>
        <w:rPr>
          <w:rFonts w:ascii="Times New Roman" w:hAnsi="Times New Roman" w:eastAsia="黑体"/>
          <w:color w:val="auto"/>
          <w:sz w:val="28"/>
          <w:szCs w:val="28"/>
        </w:rPr>
        <w:t>六、参考书目及学习资料</w:t>
      </w:r>
    </w:p>
    <w:p w14:paraId="79DA71BE">
      <w:pPr>
        <w:keepNext w:val="0"/>
        <w:keepLines w:val="0"/>
        <w:pageBreakBefore w:val="0"/>
        <w:widowControl/>
        <w:kinsoku/>
        <w:wordWrap/>
        <w:overflowPunct/>
        <w:topLinePunct w:val="0"/>
        <w:autoSpaceDE/>
        <w:autoSpaceDN/>
        <w:bidi w:val="0"/>
        <w:adjustRightInd/>
        <w:snapToGrid w:val="0"/>
        <w:spacing w:before="156" w:beforeLines="50" w:after="156" w:afterLines="50" w:line="240" w:lineRule="exact"/>
        <w:textAlignment w:val="auto"/>
        <w:rPr>
          <w:rFonts w:eastAsia="黑体"/>
          <w:color w:val="auto"/>
        </w:rPr>
      </w:pPr>
      <w:r>
        <w:rPr>
          <w:rFonts w:eastAsia="黑体"/>
          <w:color w:val="auto"/>
        </w:rPr>
        <w:t>（</w:t>
      </w:r>
      <w:r>
        <w:rPr>
          <w:rFonts w:hint="eastAsia" w:eastAsia="黑体"/>
          <w:color w:val="auto"/>
          <w:lang w:val="en-US" w:eastAsia="zh-CN"/>
        </w:rPr>
        <w:t>一</w:t>
      </w:r>
      <w:r>
        <w:rPr>
          <w:rFonts w:eastAsia="黑体"/>
          <w:color w:val="auto"/>
        </w:rPr>
        <w:t>）参考书目</w:t>
      </w:r>
    </w:p>
    <w:p w14:paraId="564E541D">
      <w:pPr>
        <w:keepNext w:val="0"/>
        <w:keepLines w:val="0"/>
        <w:pageBreakBefore w:val="0"/>
        <w:widowControl/>
        <w:kinsoku/>
        <w:wordWrap/>
        <w:overflowPunct/>
        <w:topLinePunct w:val="0"/>
        <w:autoSpaceDE/>
        <w:autoSpaceDN/>
        <w:bidi w:val="0"/>
        <w:adjustRightInd/>
        <w:snapToGrid w:val="0"/>
        <w:spacing w:line="400" w:lineRule="exact"/>
        <w:textAlignment w:val="auto"/>
        <w:rPr>
          <w:color w:val="auto"/>
        </w:rPr>
      </w:pPr>
      <w:commentRangeStart w:id="9"/>
      <w:r>
        <w:rPr>
          <w:color w:val="auto"/>
        </w:rPr>
        <w:t xml:space="preserve">[1] </w:t>
      </w:r>
      <w:r>
        <w:rPr>
          <w:rFonts w:hint="eastAsia"/>
          <w:color w:val="auto"/>
          <w:lang w:val="en-US" w:eastAsia="zh-CN"/>
        </w:rPr>
        <w:t>陈冰</w:t>
      </w:r>
      <w:r>
        <w:rPr>
          <w:color w:val="auto"/>
        </w:rPr>
        <w:t xml:space="preserve">, </w:t>
      </w:r>
      <w:r>
        <w:rPr>
          <w:rFonts w:hint="eastAsia"/>
          <w:color w:val="auto"/>
          <w:lang w:val="en-US" w:eastAsia="zh-CN"/>
        </w:rPr>
        <w:t>冯清秀</w:t>
      </w:r>
      <w:r>
        <w:rPr>
          <w:color w:val="auto"/>
        </w:rPr>
        <w:t xml:space="preserve">, </w:t>
      </w:r>
      <w:r>
        <w:rPr>
          <w:rFonts w:hint="eastAsia"/>
          <w:color w:val="auto"/>
          <w:lang w:val="en-US" w:eastAsia="zh-CN"/>
        </w:rPr>
        <w:t>邓星钟</w:t>
      </w:r>
      <w:r>
        <w:rPr>
          <w:color w:val="auto"/>
        </w:rPr>
        <w:t xml:space="preserve">. </w:t>
      </w:r>
      <w:r>
        <w:rPr>
          <w:rFonts w:hint="eastAsia"/>
          <w:color w:val="auto"/>
          <w:lang w:val="en-US" w:eastAsia="zh-CN"/>
        </w:rPr>
        <w:t>机电传动控制</w:t>
      </w:r>
      <w:r>
        <w:rPr>
          <w:color w:val="auto"/>
        </w:rPr>
        <w:t xml:space="preserve">[M]. </w:t>
      </w:r>
      <w:r>
        <w:rPr>
          <w:rFonts w:hint="eastAsia"/>
          <w:color w:val="auto"/>
          <w:lang w:val="en-US" w:eastAsia="zh-CN"/>
        </w:rPr>
        <w:t>6</w:t>
      </w:r>
      <w:r>
        <w:rPr>
          <w:color w:val="auto"/>
        </w:rPr>
        <w:t xml:space="preserve">版. </w:t>
      </w:r>
      <w:r>
        <w:rPr>
          <w:rFonts w:hint="eastAsia"/>
          <w:color w:val="auto"/>
          <w:lang w:val="en-US" w:eastAsia="zh-CN"/>
        </w:rPr>
        <w:t>武汉</w:t>
      </w:r>
      <w:r>
        <w:rPr>
          <w:color w:val="auto"/>
        </w:rPr>
        <w:t>：</w:t>
      </w:r>
      <w:r>
        <w:rPr>
          <w:rFonts w:hint="eastAsia"/>
          <w:color w:val="auto"/>
          <w:lang w:val="en-US" w:eastAsia="zh-CN"/>
        </w:rPr>
        <w:t>华中科技</w:t>
      </w:r>
      <w:r>
        <w:rPr>
          <w:color w:val="auto"/>
        </w:rPr>
        <w:t>出版社，202</w:t>
      </w:r>
      <w:r>
        <w:rPr>
          <w:rFonts w:hint="eastAsia"/>
          <w:color w:val="auto"/>
          <w:lang w:val="en-US" w:eastAsia="zh-CN"/>
        </w:rPr>
        <w:t>4</w:t>
      </w:r>
      <w:r>
        <w:rPr>
          <w:color w:val="auto"/>
        </w:rPr>
        <w:t>.</w:t>
      </w:r>
      <w:commentRangeEnd w:id="9"/>
      <w:r>
        <w:commentReference w:id="9"/>
      </w:r>
    </w:p>
    <w:p w14:paraId="23C19FA6">
      <w:pPr>
        <w:keepNext w:val="0"/>
        <w:keepLines w:val="0"/>
        <w:pageBreakBefore w:val="0"/>
        <w:widowControl/>
        <w:kinsoku/>
        <w:wordWrap/>
        <w:overflowPunct/>
        <w:topLinePunct w:val="0"/>
        <w:autoSpaceDE/>
        <w:autoSpaceDN/>
        <w:bidi w:val="0"/>
        <w:adjustRightInd/>
        <w:snapToGrid w:val="0"/>
        <w:spacing w:line="400" w:lineRule="exact"/>
        <w:textAlignment w:val="auto"/>
        <w:rPr>
          <w:color w:val="auto"/>
        </w:rPr>
      </w:pPr>
      <w:r>
        <w:rPr>
          <w:color w:val="auto"/>
        </w:rPr>
        <w:t>[</w:t>
      </w:r>
      <w:r>
        <w:rPr>
          <w:rFonts w:hint="eastAsia"/>
          <w:color w:val="auto"/>
          <w:lang w:val="en-US" w:eastAsia="zh-CN"/>
        </w:rPr>
        <w:t>2</w:t>
      </w:r>
      <w:r>
        <w:rPr>
          <w:color w:val="auto"/>
        </w:rPr>
        <w:t xml:space="preserve">] </w:t>
      </w:r>
      <w:r>
        <w:rPr>
          <w:rFonts w:hint="eastAsia"/>
          <w:color w:val="auto"/>
          <w:lang w:val="en-US" w:eastAsia="zh-CN"/>
        </w:rPr>
        <w:t>李伟</w:t>
      </w:r>
      <w:r>
        <w:rPr>
          <w:color w:val="auto"/>
        </w:rPr>
        <w:t xml:space="preserve">, </w:t>
      </w:r>
      <w:r>
        <w:rPr>
          <w:rFonts w:hint="eastAsia"/>
          <w:color w:val="auto"/>
          <w:lang w:val="en-US" w:eastAsia="zh-CN"/>
        </w:rPr>
        <w:t>赵纪国</w:t>
      </w:r>
      <w:r>
        <w:rPr>
          <w:color w:val="auto"/>
        </w:rPr>
        <w:t xml:space="preserve">, </w:t>
      </w:r>
      <w:r>
        <w:rPr>
          <w:rFonts w:hint="eastAsia"/>
          <w:color w:val="auto"/>
          <w:lang w:val="en-US" w:eastAsia="zh-CN"/>
        </w:rPr>
        <w:t>李瑞芳</w:t>
      </w:r>
      <w:r>
        <w:rPr>
          <w:color w:val="auto"/>
        </w:rPr>
        <w:t xml:space="preserve">. </w:t>
      </w:r>
      <w:r>
        <w:rPr>
          <w:rFonts w:hint="eastAsia"/>
          <w:color w:val="auto"/>
          <w:lang w:val="en-US" w:eastAsia="zh-CN"/>
        </w:rPr>
        <w:t>机电传动控制</w:t>
      </w:r>
      <w:r>
        <w:rPr>
          <w:color w:val="auto"/>
        </w:rPr>
        <w:t xml:space="preserve">[M]. </w:t>
      </w:r>
      <w:r>
        <w:rPr>
          <w:rFonts w:hint="eastAsia"/>
          <w:color w:val="auto"/>
          <w:lang w:val="en-US" w:eastAsia="zh-CN"/>
        </w:rPr>
        <w:t>1</w:t>
      </w:r>
      <w:r>
        <w:rPr>
          <w:color w:val="auto"/>
        </w:rPr>
        <w:t>版. 北京：</w:t>
      </w:r>
      <w:r>
        <w:rPr>
          <w:rFonts w:hint="eastAsia"/>
          <w:color w:val="auto"/>
          <w:lang w:val="en-US" w:eastAsia="zh-CN"/>
        </w:rPr>
        <w:t>化学工业</w:t>
      </w:r>
      <w:r>
        <w:rPr>
          <w:color w:val="auto"/>
        </w:rPr>
        <w:t>出版社，201</w:t>
      </w:r>
      <w:r>
        <w:rPr>
          <w:rFonts w:hint="eastAsia"/>
          <w:color w:val="auto"/>
          <w:lang w:val="en-US" w:eastAsia="zh-CN"/>
        </w:rPr>
        <w:t>9</w:t>
      </w:r>
      <w:r>
        <w:rPr>
          <w:color w:val="auto"/>
        </w:rPr>
        <w:t>.</w:t>
      </w:r>
    </w:p>
    <w:p w14:paraId="468B686D">
      <w:pPr>
        <w:widowControl/>
        <w:snapToGrid w:val="0"/>
        <w:spacing w:before="156" w:beforeLines="50" w:after="156" w:afterLines="50"/>
        <w:rPr>
          <w:rFonts w:eastAsia="黑体"/>
          <w:color w:val="auto"/>
        </w:rPr>
      </w:pPr>
      <w:r>
        <w:rPr>
          <w:rFonts w:eastAsia="黑体"/>
          <w:color w:val="auto"/>
        </w:rPr>
        <w:t>（</w:t>
      </w:r>
      <w:r>
        <w:rPr>
          <w:rFonts w:hint="eastAsia" w:eastAsia="黑体"/>
          <w:color w:val="auto"/>
          <w:lang w:val="en-US" w:eastAsia="zh-CN"/>
        </w:rPr>
        <w:t>二</w:t>
      </w:r>
      <w:r>
        <w:rPr>
          <w:rFonts w:eastAsia="黑体"/>
          <w:color w:val="auto"/>
        </w:rPr>
        <w:t>）学习资料</w:t>
      </w:r>
    </w:p>
    <w:p w14:paraId="15FA818D">
      <w:pPr>
        <w:keepNext w:val="0"/>
        <w:keepLines w:val="0"/>
        <w:pageBreakBefore w:val="0"/>
        <w:widowControl/>
        <w:kinsoku/>
        <w:wordWrap w:val="0"/>
        <w:overflowPunct/>
        <w:topLinePunct w:val="0"/>
        <w:autoSpaceDE/>
        <w:autoSpaceDN/>
        <w:bidi w:val="0"/>
        <w:adjustRightInd/>
        <w:snapToGrid w:val="0"/>
        <w:spacing w:line="400" w:lineRule="exact"/>
        <w:ind w:left="420" w:hanging="420" w:hangingChars="200"/>
        <w:textAlignment w:val="auto"/>
        <w:rPr>
          <w:color w:val="auto"/>
        </w:rPr>
      </w:pPr>
      <w:r>
        <w:rPr>
          <w:color w:val="auto"/>
        </w:rPr>
        <w:t xml:space="preserve">[1] </w:t>
      </w:r>
      <w:r>
        <w:rPr>
          <w:rFonts w:hint="eastAsia"/>
          <w:color w:val="auto"/>
          <w:lang w:val="en-US" w:eastAsia="zh-CN"/>
        </w:rPr>
        <w:t>机电传动控制</w:t>
      </w:r>
      <w:r>
        <w:rPr>
          <w:rFonts w:hint="eastAsia"/>
          <w:color w:val="auto"/>
        </w:rPr>
        <w:t>_中国大学MOOC考研_中国大学MOOC，https://www.icourse163.org/course/HUST-1463155164?from=searchPage&amp;outVendor=zw_mooc_pcssjg_</w:t>
      </w:r>
      <w:r>
        <w:rPr>
          <w:color w:val="auto"/>
        </w:rPr>
        <w:t>.</w:t>
      </w:r>
    </w:p>
    <w:p w14:paraId="16B6A975">
      <w:pPr>
        <w:keepNext w:val="0"/>
        <w:keepLines w:val="0"/>
        <w:pageBreakBefore w:val="0"/>
        <w:widowControl/>
        <w:kinsoku/>
        <w:wordWrap w:val="0"/>
        <w:overflowPunct/>
        <w:topLinePunct w:val="0"/>
        <w:autoSpaceDE/>
        <w:autoSpaceDN/>
        <w:bidi w:val="0"/>
        <w:adjustRightInd/>
        <w:snapToGrid w:val="0"/>
        <w:spacing w:line="400" w:lineRule="exact"/>
        <w:ind w:left="420" w:hanging="420" w:hangingChars="200"/>
        <w:textAlignment w:val="auto"/>
        <w:rPr>
          <w:color w:val="auto"/>
        </w:rPr>
      </w:pPr>
      <w:r>
        <w:rPr>
          <w:color w:val="auto"/>
        </w:rPr>
        <w:t>[</w:t>
      </w:r>
      <w:r>
        <w:rPr>
          <w:rFonts w:hint="eastAsia"/>
          <w:color w:val="auto"/>
          <w:lang w:val="en-US" w:eastAsia="zh-CN"/>
        </w:rPr>
        <w:t>2</w:t>
      </w:r>
      <w:r>
        <w:rPr>
          <w:color w:val="auto"/>
        </w:rPr>
        <w:t xml:space="preserve">] </w:t>
      </w:r>
      <w:r>
        <w:rPr>
          <w:rFonts w:hint="eastAsia"/>
          <w:color w:val="auto"/>
          <w:lang w:val="en-US" w:eastAsia="zh-CN"/>
        </w:rPr>
        <w:t>《机电传动控制（第五版）》32课时合集-天津科技大学-哔哩哔哩_bilibili https://www.bilibili.com/video/BV1fG411375t/?buvid=XY76EF17072B69C22609C425E06EC8F5BD30E&amp;from_spmid=search.search-result.0.0&amp;is_story_h5=false&amp;mid=lV4zdRcvLrox%2B5LOsiB6rw%3D%3D&amp;plat_id=114&amp;share_from=ugc&amp;share_medium=android&amp;share_plat=android&amp;share_session_id=24e07422-b3db-4eea-a2a5-db8cb6b7e3d0&amp;share_source=WEIXIN&amp;share_tag=s_i&amp;spmid=united.player-video-detail.0.0&amp;timestamp=1784898571&amp;unique_k=My3Lg2a&amp;up_id=1852804287&amp;vd_source=ef1783677e39a5ec24e3144f0c12e1f2</w:t>
      </w:r>
      <w:r>
        <w:rPr>
          <w:color w:val="auto"/>
        </w:rPr>
        <w:t>.</w:t>
      </w:r>
    </w:p>
    <w:p w14:paraId="31E4E93D">
      <w:pPr>
        <w:keepNext w:val="0"/>
        <w:keepLines w:val="0"/>
        <w:pageBreakBefore w:val="0"/>
        <w:widowControl/>
        <w:kinsoku/>
        <w:wordWrap w:val="0"/>
        <w:overflowPunct/>
        <w:topLinePunct w:val="0"/>
        <w:autoSpaceDE/>
        <w:autoSpaceDN/>
        <w:bidi w:val="0"/>
        <w:adjustRightInd/>
        <w:snapToGrid w:val="0"/>
        <w:spacing w:line="400" w:lineRule="exact"/>
        <w:ind w:left="420" w:hanging="420" w:hangingChars="200"/>
        <w:textAlignment w:val="auto"/>
        <w:rPr>
          <w:color w:val="auto"/>
        </w:rPr>
      </w:pPr>
    </w:p>
    <w:p w14:paraId="5D811062">
      <w:pPr>
        <w:spacing w:line="300" w:lineRule="auto"/>
        <w:rPr>
          <w:rFonts w:hint="default" w:eastAsia="宋体"/>
          <w:b/>
          <w:bCs/>
          <w:color w:val="auto"/>
          <w:sz w:val="24"/>
          <w:szCs w:val="24"/>
          <w:lang w:val="en-US" w:eastAsia="zh-CN"/>
        </w:rPr>
      </w:pPr>
      <w:commentRangeStart w:id="10"/>
      <w:r>
        <w:rPr>
          <w:b/>
          <w:bCs/>
          <w:color w:val="auto"/>
          <w:sz w:val="24"/>
          <w:szCs w:val="24"/>
        </w:rPr>
        <w:t>制定人</w:t>
      </w:r>
      <w:commentRangeEnd w:id="10"/>
      <w:r>
        <w:commentReference w:id="10"/>
      </w:r>
      <w:r>
        <w:rPr>
          <w:color w:val="auto"/>
          <w:sz w:val="24"/>
          <w:szCs w:val="24"/>
        </w:rPr>
        <w:t>：</w:t>
      </w:r>
      <w:r>
        <w:rPr>
          <w:rFonts w:hint="eastAsia"/>
          <w:b/>
          <w:color w:val="auto"/>
          <w:sz w:val="24"/>
          <w:szCs w:val="24"/>
          <w:lang w:val="en-US" w:eastAsia="zh-CN"/>
        </w:rPr>
        <w:t>孙立城</w:t>
      </w:r>
      <w:r>
        <w:rPr>
          <w:b/>
          <w:color w:val="auto"/>
          <w:sz w:val="24"/>
          <w:szCs w:val="24"/>
        </w:rPr>
        <w:t xml:space="preserve">           </w:t>
      </w:r>
      <w:commentRangeStart w:id="11"/>
      <w:r>
        <w:rPr>
          <w:b/>
          <w:bCs/>
          <w:color w:val="auto"/>
          <w:sz w:val="24"/>
          <w:szCs w:val="24"/>
        </w:rPr>
        <w:t>审定人</w:t>
      </w:r>
      <w:commentRangeEnd w:id="11"/>
      <w:r>
        <w:commentReference w:id="11"/>
      </w:r>
      <w:r>
        <w:rPr>
          <w:color w:val="auto"/>
          <w:sz w:val="24"/>
          <w:szCs w:val="24"/>
        </w:rPr>
        <w:t>：</w:t>
      </w:r>
      <w:r>
        <w:rPr>
          <w:rFonts w:hint="eastAsia"/>
          <w:b/>
          <w:color w:val="auto"/>
          <w:sz w:val="24"/>
          <w:szCs w:val="24"/>
          <w:lang w:val="en-US" w:eastAsia="zh-CN"/>
        </w:rPr>
        <w:t>孙建军</w:t>
      </w:r>
      <w:r>
        <w:rPr>
          <w:b/>
          <w:color w:val="auto"/>
          <w:sz w:val="24"/>
          <w:szCs w:val="24"/>
        </w:rPr>
        <w:t xml:space="preserve">          </w:t>
      </w:r>
      <w:commentRangeStart w:id="12"/>
      <w:r>
        <w:rPr>
          <w:b/>
          <w:bCs/>
          <w:color w:val="auto"/>
          <w:sz w:val="24"/>
          <w:szCs w:val="24"/>
        </w:rPr>
        <w:t>批准人</w:t>
      </w:r>
      <w:commentRangeEnd w:id="12"/>
      <w:r>
        <w:commentReference w:id="12"/>
      </w:r>
      <w:r>
        <w:rPr>
          <w:color w:val="auto"/>
          <w:sz w:val="24"/>
          <w:szCs w:val="24"/>
        </w:rPr>
        <w:t>：</w:t>
      </w:r>
      <w:r>
        <w:rPr>
          <w:rFonts w:hint="eastAsia" w:ascii="Times New Roman" w:hAnsi="Times New Roman" w:eastAsia="宋体" w:cs="Times New Roman"/>
          <w:b/>
          <w:color w:val="auto"/>
          <w:sz w:val="24"/>
          <w:szCs w:val="24"/>
          <w:lang w:val="en-US" w:eastAsia="zh-CN"/>
        </w:rPr>
        <w:t>杨树岗</w:t>
      </w:r>
    </w:p>
    <w:p w14:paraId="16C5DC94">
      <w:pPr>
        <w:spacing w:line="300" w:lineRule="auto"/>
        <w:ind w:firstLine="480" w:firstLineChars="200"/>
        <w:jc w:val="right"/>
        <w:rPr>
          <w:color w:val="auto"/>
          <w:sz w:val="24"/>
          <w:szCs w:val="24"/>
        </w:rPr>
      </w:pPr>
      <w:r>
        <w:rPr>
          <w:color w:val="auto"/>
          <w:sz w:val="24"/>
          <w:szCs w:val="24"/>
        </w:rPr>
        <w:t xml:space="preserve">                                     202</w:t>
      </w:r>
      <w:r>
        <w:rPr>
          <w:rFonts w:hint="eastAsia"/>
          <w:color w:val="auto"/>
          <w:sz w:val="24"/>
          <w:szCs w:val="24"/>
          <w:lang w:val="en-US" w:eastAsia="zh-CN"/>
        </w:rPr>
        <w:t>6</w:t>
      </w:r>
      <w:r>
        <w:rPr>
          <w:color w:val="auto"/>
          <w:sz w:val="24"/>
          <w:szCs w:val="24"/>
        </w:rPr>
        <w:t>年</w:t>
      </w:r>
      <w:r>
        <w:rPr>
          <w:rFonts w:hint="eastAsia"/>
          <w:color w:val="auto"/>
          <w:sz w:val="24"/>
          <w:szCs w:val="24"/>
          <w:lang w:val="en-US" w:eastAsia="zh-CN"/>
        </w:rPr>
        <w:t>7</w:t>
      </w:r>
      <w:r>
        <w:rPr>
          <w:color w:val="auto"/>
          <w:sz w:val="24"/>
          <w:szCs w:val="24"/>
        </w:rPr>
        <w:t>月</w:t>
      </w:r>
      <w:r>
        <w:rPr>
          <w:rFonts w:hint="eastAsia"/>
          <w:color w:val="auto"/>
          <w:sz w:val="24"/>
          <w:szCs w:val="24"/>
          <w:lang w:val="en-US" w:eastAsia="zh-CN"/>
        </w:rPr>
        <w:t>11</w:t>
      </w:r>
      <w:r>
        <w:rPr>
          <w:color w:val="auto"/>
          <w:sz w:val="24"/>
          <w:szCs w:val="24"/>
        </w:rPr>
        <w:t>日</w:t>
      </w:r>
    </w:p>
    <w:sectPr>
      <w:headerReference r:id="rId5" w:type="default"/>
      <w:footerReference r:id="rId6" w:type="default"/>
      <w:pgSz w:w="11906" w:h="16838"/>
      <w:pgMar w:top="1417" w:right="1418" w:bottom="1417" w:left="1418"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秦智康" w:date="2025-09-25T14:49:00Z" w:initials="">
    <w:p w14:paraId="1E6B6980">
      <w:pPr>
        <w:rPr>
          <w:rFonts w:hint="eastAsia" w:ascii="Times New Roman" w:hAnsi="Times New Roman" w:eastAsia="宋体" w:cs="Times New Roman"/>
          <w:kern w:val="0"/>
          <w:sz w:val="20"/>
          <w:szCs w:val="21"/>
          <w:lang w:val="en-US" w:eastAsia="zh-CN" w:bidi="ar-SA"/>
        </w:rPr>
      </w:pPr>
      <w:r>
        <w:rPr>
          <w:rFonts w:hint="eastAsia" w:ascii="Times New Roman" w:hAnsi="Times New Roman" w:eastAsia="宋体" w:cs="Times New Roman"/>
          <w:kern w:val="0"/>
          <w:sz w:val="20"/>
          <w:szCs w:val="21"/>
          <w:lang w:val="en-US" w:eastAsia="zh-CN" w:bidi="ar-SA"/>
        </w:rPr>
        <w:t>课程基本定位、核心学习结果、主要教学方法</w:t>
      </w:r>
    </w:p>
    <w:p w14:paraId="00EAF5B3">
      <w:pPr>
        <w:rPr>
          <w:rFonts w:hint="default" w:ascii="Times New Roman" w:hAnsi="Times New Roman" w:eastAsia="宋体" w:cs="Times New Roman"/>
          <w:kern w:val="0"/>
          <w:sz w:val="20"/>
          <w:szCs w:val="21"/>
          <w:lang w:val="en-US" w:eastAsia="zh-CN" w:bidi="ar-SA"/>
        </w:rPr>
      </w:pPr>
      <w:r>
        <w:rPr>
          <w:rFonts w:hint="eastAsia" w:ascii="Times New Roman" w:hAnsi="Times New Roman" w:eastAsia="宋体" w:cs="Times New Roman"/>
          <w:kern w:val="0"/>
          <w:sz w:val="20"/>
          <w:szCs w:val="21"/>
          <w:lang w:val="en-US" w:eastAsia="zh-CN" w:bidi="ar-SA"/>
        </w:rPr>
        <w:t>均单独成行</w:t>
      </w:r>
    </w:p>
    <w:p w14:paraId="17E55B1E">
      <w:pPr>
        <w:rPr>
          <w:rFonts w:hint="eastAsia" w:ascii="Times New Roman" w:hAnsi="Times New Roman" w:eastAsia="宋体" w:cs="Times New Roman"/>
          <w:kern w:val="0"/>
          <w:sz w:val="20"/>
          <w:szCs w:val="21"/>
          <w:lang w:val="en-US" w:eastAsia="zh-CN" w:bidi="ar-SA"/>
        </w:rPr>
      </w:pPr>
    </w:p>
    <w:p w14:paraId="277FEAD7">
      <w:pPr>
        <w:pStyle w:val="6"/>
      </w:pPr>
    </w:p>
  </w:comment>
  <w:comment w:id="1" w:author="秦智康" w:date="2025-09-25T14:50:00Z" w:initials="">
    <w:p w14:paraId="249546CC">
      <w:pPr>
        <w:pStyle w:val="6"/>
        <w:rPr>
          <w:rFonts w:hint="default" w:eastAsia="宋体"/>
          <w:lang w:val="en-US" w:eastAsia="zh-CN"/>
        </w:rPr>
      </w:pPr>
      <w:r>
        <w:rPr>
          <w:rFonts w:hint="eastAsia"/>
          <w:lang w:val="en-US" w:eastAsia="zh-CN"/>
        </w:rPr>
        <w:t>大纲更新时间统一填写该日期</w:t>
      </w:r>
    </w:p>
  </w:comment>
  <w:comment w:id="2" w:author="秦智康" w:date="2025-09-25T14:51:00Z" w:initials="">
    <w:p w14:paraId="0902724B">
      <w:pPr>
        <w:pStyle w:val="6"/>
        <w:rPr>
          <w:rFonts w:hint="default" w:eastAsia="宋体"/>
          <w:lang w:val="en-US" w:eastAsia="zh-CN"/>
        </w:rPr>
      </w:pPr>
      <w:r>
        <w:rPr>
          <w:rFonts w:hint="eastAsia"/>
          <w:lang w:val="en-US" w:eastAsia="zh-CN"/>
        </w:rPr>
        <w:t>每一个课程总目标单独成一页</w:t>
      </w:r>
    </w:p>
  </w:comment>
  <w:comment w:id="3" w:author="秦智康" w:date="2025-09-25T14:51:00Z" w:initials="">
    <w:p w14:paraId="29026B5B">
      <w:pPr>
        <w:pStyle w:val="6"/>
        <w:rPr>
          <w:rFonts w:hint="default" w:eastAsia="宋体"/>
          <w:lang w:val="en-US" w:eastAsia="zh-CN"/>
        </w:rPr>
      </w:pPr>
      <w:r>
        <w:rPr>
          <w:rFonts w:hint="eastAsia"/>
          <w:lang w:val="en-US" w:eastAsia="zh-CN"/>
        </w:rPr>
        <w:t>如果为实验或实践课可去掉该部分</w:t>
      </w:r>
    </w:p>
  </w:comment>
  <w:comment w:id="4" w:author="秦智康" w:date="2025-09-25T14:53:00Z" w:initials="">
    <w:p w14:paraId="3E3D289C">
      <w:pPr>
        <w:pStyle w:val="6"/>
        <w:rPr>
          <w:rFonts w:hint="default" w:eastAsia="宋体"/>
          <w:lang w:val="en-US" w:eastAsia="zh-CN"/>
        </w:rPr>
      </w:pPr>
      <w:r>
        <w:rPr>
          <w:rFonts w:hint="eastAsia"/>
          <w:lang w:val="en-US" w:eastAsia="zh-CN"/>
        </w:rPr>
        <w:t>单元目标不等同于教材章节</w:t>
      </w:r>
    </w:p>
  </w:comment>
  <w:comment w:id="5" w:author="秦智康" w:date="2025-09-25T14:53:00Z" w:initials="">
    <w:p w14:paraId="0D0C84C7">
      <w:pPr>
        <w:pStyle w:val="6"/>
        <w:rPr>
          <w:rFonts w:hint="eastAsia" w:eastAsia="宋体"/>
          <w:lang w:val="en-US" w:eastAsia="zh-CN"/>
        </w:rPr>
      </w:pPr>
      <w:r>
        <w:rPr>
          <w:rFonts w:hint="eastAsia"/>
          <w:lang w:val="en-US" w:eastAsia="zh-CN"/>
        </w:rPr>
        <w:t>每个单元根据实际情况填写</w:t>
      </w:r>
    </w:p>
  </w:comment>
  <w:comment w:id="6" w:author="秦智康" w:date="2025-09-25T15:01:00Z" w:initials="">
    <w:p w14:paraId="285D471F">
      <w:pPr>
        <w:pStyle w:val="6"/>
        <w:rPr>
          <w:rFonts w:hint="default" w:eastAsia="宋体"/>
          <w:lang w:val="en-US" w:eastAsia="zh-CN"/>
        </w:rPr>
      </w:pPr>
      <w:r>
        <w:rPr>
          <w:rFonts w:hint="eastAsia"/>
          <w:lang w:val="en-US" w:eastAsia="zh-CN"/>
        </w:rPr>
        <w:t>此处仅供参考，可根据实际情况设置平时的考核项</w:t>
      </w:r>
    </w:p>
  </w:comment>
  <w:comment w:id="7" w:author="秦智康" w:date="2025-09-25T15:07:00Z" w:initials="">
    <w:p w14:paraId="00A03638">
      <w:pPr>
        <w:pStyle w:val="6"/>
      </w:pPr>
      <w:r>
        <w:rPr>
          <w:rFonts w:hint="eastAsia"/>
          <w:lang w:val="en-US" w:eastAsia="zh-CN"/>
        </w:rPr>
        <w:t>可根据课程实际情况设置</w:t>
      </w:r>
    </w:p>
  </w:comment>
  <w:comment w:id="8" w:author="秦智康" w:date="2025-09-25T15:09:00Z" w:initials="">
    <w:p w14:paraId="340C5EAA">
      <w:pPr>
        <w:pStyle w:val="6"/>
        <w:rPr>
          <w:rFonts w:hint="default" w:eastAsia="宋体"/>
          <w:lang w:val="en-US" w:eastAsia="zh-CN"/>
        </w:rPr>
      </w:pPr>
      <w:r>
        <w:rPr>
          <w:rFonts w:hint="eastAsia"/>
          <w:lang w:val="en-US" w:eastAsia="zh-CN"/>
        </w:rPr>
        <w:t>调整范围的比例请根据课程实际情况调整</w:t>
      </w:r>
    </w:p>
  </w:comment>
  <w:comment w:id="9" w:author="秦智康" w:date="2025-09-25T15:10:00Z" w:initials="">
    <w:p w14:paraId="2C149A63">
      <w:pPr>
        <w:pStyle w:val="6"/>
        <w:rPr>
          <w:rFonts w:hint="default" w:eastAsia="宋体"/>
          <w:lang w:val="en-US" w:eastAsia="zh-CN"/>
        </w:rPr>
      </w:pPr>
      <w:r>
        <w:rPr>
          <w:rFonts w:hint="eastAsia"/>
          <w:lang w:val="en-US" w:eastAsia="zh-CN"/>
        </w:rPr>
        <w:t>参考书目第一个为选用教材</w:t>
      </w:r>
    </w:p>
  </w:comment>
  <w:comment w:id="10" w:author="秦智康" w:date="2025-09-25T15:11:00Z" w:initials="">
    <w:p w14:paraId="7107516C">
      <w:pPr>
        <w:pStyle w:val="6"/>
        <w:rPr>
          <w:rFonts w:hint="default" w:eastAsia="宋体"/>
          <w:lang w:val="en-US" w:eastAsia="zh-CN"/>
        </w:rPr>
      </w:pPr>
      <w:r>
        <w:rPr>
          <w:rFonts w:hint="eastAsia"/>
          <w:lang w:val="en-US" w:eastAsia="zh-CN"/>
        </w:rPr>
        <w:t>此处应为课程组成员</w:t>
      </w:r>
    </w:p>
  </w:comment>
  <w:comment w:id="11" w:author="秦智康" w:date="2025-09-25T15:11:00Z" w:initials="">
    <w:p w14:paraId="7A101632">
      <w:pPr>
        <w:pStyle w:val="6"/>
        <w:rPr>
          <w:rFonts w:hint="eastAsia" w:eastAsia="宋体"/>
          <w:lang w:val="en-US" w:eastAsia="zh-CN"/>
        </w:rPr>
      </w:pPr>
      <w:r>
        <w:rPr>
          <w:rFonts w:hint="eastAsia"/>
          <w:lang w:val="en-US" w:eastAsia="zh-CN"/>
        </w:rPr>
        <w:t>此处应为教研处主任</w:t>
      </w:r>
    </w:p>
  </w:comment>
  <w:comment w:id="12" w:author="秦智康" w:date="2025-09-25T15:12:00Z" w:initials="">
    <w:p w14:paraId="7CC553AD">
      <w:pPr>
        <w:pStyle w:val="6"/>
        <w:rPr>
          <w:rFonts w:hint="default" w:eastAsia="宋体"/>
          <w:lang w:val="en-US" w:eastAsia="zh-CN"/>
        </w:rPr>
      </w:pPr>
      <w:r>
        <w:rPr>
          <w:rFonts w:hint="eastAsia"/>
          <w:lang w:val="en-US" w:eastAsia="zh-CN"/>
        </w:rPr>
        <w:t>此处应为院长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7FEAD7" w15:done="0"/>
  <w15:commentEx w15:paraId="249546CC" w15:done="0"/>
  <w15:commentEx w15:paraId="0902724B" w15:done="0"/>
  <w15:commentEx w15:paraId="29026B5B" w15:done="0"/>
  <w15:commentEx w15:paraId="3E3D289C" w15:done="0"/>
  <w15:commentEx w15:paraId="0D0C84C7" w15:done="0"/>
  <w15:commentEx w15:paraId="285D471F" w15:done="0"/>
  <w15:commentEx w15:paraId="00A03638" w15:done="0"/>
  <w15:commentEx w15:paraId="340C5EAA" w15:done="0"/>
  <w15:commentEx w15:paraId="2C149A63" w15:done="0"/>
  <w15:commentEx w15:paraId="7107516C" w15:done="0"/>
  <w15:commentEx w15:paraId="7A101632" w15:done="0"/>
  <w15:commentEx w15:paraId="7CC553A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9B82A">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lang/>
      </w:rPr>
      <w:t>4</w:t>
    </w:r>
    <w:r>
      <w:fldChar w:fldCharType="end"/>
    </w:r>
  </w:p>
  <w:p w14:paraId="4F29A5C6">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BA2C4">
    <w:pPr>
      <w:pStyle w:val="13"/>
      <w:pBdr>
        <w:bottom w:val="none" w:color="auto" w:sz="0" w:space="0"/>
      </w:pBd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秦智康">
    <w15:presenceInfo w15:providerId="None" w15:userId="秦智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7FF8"/>
    <w:rsid w:val="00001493"/>
    <w:rsid w:val="00004A17"/>
    <w:rsid w:val="00004DA2"/>
    <w:rsid w:val="00006469"/>
    <w:rsid w:val="00006791"/>
    <w:rsid w:val="000078C0"/>
    <w:rsid w:val="0001069F"/>
    <w:rsid w:val="000113AD"/>
    <w:rsid w:val="0001206A"/>
    <w:rsid w:val="00012476"/>
    <w:rsid w:val="00012817"/>
    <w:rsid w:val="00012B59"/>
    <w:rsid w:val="00012D0D"/>
    <w:rsid w:val="000139BB"/>
    <w:rsid w:val="00013EAD"/>
    <w:rsid w:val="00014B76"/>
    <w:rsid w:val="00017350"/>
    <w:rsid w:val="000207DC"/>
    <w:rsid w:val="0002211A"/>
    <w:rsid w:val="000237E0"/>
    <w:rsid w:val="00024896"/>
    <w:rsid w:val="0002587C"/>
    <w:rsid w:val="00025A0B"/>
    <w:rsid w:val="0002612F"/>
    <w:rsid w:val="00027A89"/>
    <w:rsid w:val="000306F1"/>
    <w:rsid w:val="00033B39"/>
    <w:rsid w:val="000340A8"/>
    <w:rsid w:val="000353CA"/>
    <w:rsid w:val="00036CEF"/>
    <w:rsid w:val="0004066A"/>
    <w:rsid w:val="00040749"/>
    <w:rsid w:val="000414BF"/>
    <w:rsid w:val="000438E8"/>
    <w:rsid w:val="00044639"/>
    <w:rsid w:val="00045484"/>
    <w:rsid w:val="0004764C"/>
    <w:rsid w:val="000512B9"/>
    <w:rsid w:val="0005394F"/>
    <w:rsid w:val="00053DBC"/>
    <w:rsid w:val="0005407E"/>
    <w:rsid w:val="00055199"/>
    <w:rsid w:val="0005536C"/>
    <w:rsid w:val="00057066"/>
    <w:rsid w:val="00057739"/>
    <w:rsid w:val="00060031"/>
    <w:rsid w:val="0006194C"/>
    <w:rsid w:val="00061E2D"/>
    <w:rsid w:val="000629AA"/>
    <w:rsid w:val="00062CE0"/>
    <w:rsid w:val="000633CA"/>
    <w:rsid w:val="00063403"/>
    <w:rsid w:val="00063473"/>
    <w:rsid w:val="00064386"/>
    <w:rsid w:val="00065305"/>
    <w:rsid w:val="000663AF"/>
    <w:rsid w:val="00066CC9"/>
    <w:rsid w:val="00067461"/>
    <w:rsid w:val="00067E48"/>
    <w:rsid w:val="000707C1"/>
    <w:rsid w:val="00070968"/>
    <w:rsid w:val="00070AE3"/>
    <w:rsid w:val="00072559"/>
    <w:rsid w:val="00073C67"/>
    <w:rsid w:val="00073EFC"/>
    <w:rsid w:val="0007544E"/>
    <w:rsid w:val="00076709"/>
    <w:rsid w:val="00082572"/>
    <w:rsid w:val="0008261D"/>
    <w:rsid w:val="00083CC8"/>
    <w:rsid w:val="00084D93"/>
    <w:rsid w:val="000854BA"/>
    <w:rsid w:val="000869B0"/>
    <w:rsid w:val="00086D88"/>
    <w:rsid w:val="000877B1"/>
    <w:rsid w:val="00090712"/>
    <w:rsid w:val="00092151"/>
    <w:rsid w:val="0009277A"/>
    <w:rsid w:val="00092BAB"/>
    <w:rsid w:val="00092C47"/>
    <w:rsid w:val="00095CC6"/>
    <w:rsid w:val="000968A1"/>
    <w:rsid w:val="00097468"/>
    <w:rsid w:val="00097556"/>
    <w:rsid w:val="000A0B90"/>
    <w:rsid w:val="000A11C8"/>
    <w:rsid w:val="000A1251"/>
    <w:rsid w:val="000A22CF"/>
    <w:rsid w:val="000A3C5B"/>
    <w:rsid w:val="000B14E9"/>
    <w:rsid w:val="000B2959"/>
    <w:rsid w:val="000B49EA"/>
    <w:rsid w:val="000B5DE3"/>
    <w:rsid w:val="000B60B2"/>
    <w:rsid w:val="000B61E4"/>
    <w:rsid w:val="000B694B"/>
    <w:rsid w:val="000B7587"/>
    <w:rsid w:val="000C08CB"/>
    <w:rsid w:val="000C0A3F"/>
    <w:rsid w:val="000C1069"/>
    <w:rsid w:val="000C1EF4"/>
    <w:rsid w:val="000C3AF5"/>
    <w:rsid w:val="000C4EA9"/>
    <w:rsid w:val="000C7CBE"/>
    <w:rsid w:val="000D0370"/>
    <w:rsid w:val="000D061D"/>
    <w:rsid w:val="000D4330"/>
    <w:rsid w:val="000D6433"/>
    <w:rsid w:val="000D64F3"/>
    <w:rsid w:val="000E056D"/>
    <w:rsid w:val="000E0576"/>
    <w:rsid w:val="000E7291"/>
    <w:rsid w:val="000E74CB"/>
    <w:rsid w:val="000F0C48"/>
    <w:rsid w:val="000F16F3"/>
    <w:rsid w:val="000F3E81"/>
    <w:rsid w:val="000F43A6"/>
    <w:rsid w:val="000F43E6"/>
    <w:rsid w:val="000F468A"/>
    <w:rsid w:val="000F6763"/>
    <w:rsid w:val="000F6A4E"/>
    <w:rsid w:val="000F6C13"/>
    <w:rsid w:val="00100188"/>
    <w:rsid w:val="00101DAC"/>
    <w:rsid w:val="001021AD"/>
    <w:rsid w:val="0010274C"/>
    <w:rsid w:val="00102D92"/>
    <w:rsid w:val="00102DED"/>
    <w:rsid w:val="00105A5C"/>
    <w:rsid w:val="0010637F"/>
    <w:rsid w:val="00107E66"/>
    <w:rsid w:val="00110750"/>
    <w:rsid w:val="0011180B"/>
    <w:rsid w:val="0011238B"/>
    <w:rsid w:val="001127E0"/>
    <w:rsid w:val="0011315D"/>
    <w:rsid w:val="00115439"/>
    <w:rsid w:val="0011648D"/>
    <w:rsid w:val="00120580"/>
    <w:rsid w:val="001205E3"/>
    <w:rsid w:val="00120A01"/>
    <w:rsid w:val="00123224"/>
    <w:rsid w:val="0012442D"/>
    <w:rsid w:val="00126168"/>
    <w:rsid w:val="0012655A"/>
    <w:rsid w:val="0012656C"/>
    <w:rsid w:val="001271AA"/>
    <w:rsid w:val="00130D56"/>
    <w:rsid w:val="0013118D"/>
    <w:rsid w:val="0013163C"/>
    <w:rsid w:val="00132159"/>
    <w:rsid w:val="0013258D"/>
    <w:rsid w:val="00132FCD"/>
    <w:rsid w:val="00133A5F"/>
    <w:rsid w:val="00133FD8"/>
    <w:rsid w:val="00140245"/>
    <w:rsid w:val="001402C4"/>
    <w:rsid w:val="00140FBE"/>
    <w:rsid w:val="00142466"/>
    <w:rsid w:val="00142FC4"/>
    <w:rsid w:val="00143021"/>
    <w:rsid w:val="00143469"/>
    <w:rsid w:val="00144DEC"/>
    <w:rsid w:val="0014723E"/>
    <w:rsid w:val="00147480"/>
    <w:rsid w:val="00151266"/>
    <w:rsid w:val="00151EF9"/>
    <w:rsid w:val="00153AE6"/>
    <w:rsid w:val="00157A9E"/>
    <w:rsid w:val="00160E34"/>
    <w:rsid w:val="0016197B"/>
    <w:rsid w:val="00162CA3"/>
    <w:rsid w:val="001631B7"/>
    <w:rsid w:val="00165039"/>
    <w:rsid w:val="001650AB"/>
    <w:rsid w:val="0016541A"/>
    <w:rsid w:val="001701BD"/>
    <w:rsid w:val="00172936"/>
    <w:rsid w:val="00172C45"/>
    <w:rsid w:val="00173EEF"/>
    <w:rsid w:val="001771FD"/>
    <w:rsid w:val="00180943"/>
    <w:rsid w:val="00180C18"/>
    <w:rsid w:val="001817F8"/>
    <w:rsid w:val="00181E1C"/>
    <w:rsid w:val="001825AA"/>
    <w:rsid w:val="001838AF"/>
    <w:rsid w:val="00186AE5"/>
    <w:rsid w:val="00194FB1"/>
    <w:rsid w:val="00195B9D"/>
    <w:rsid w:val="00195CC7"/>
    <w:rsid w:val="00196034"/>
    <w:rsid w:val="0019779E"/>
    <w:rsid w:val="00197962"/>
    <w:rsid w:val="001A1178"/>
    <w:rsid w:val="001A306D"/>
    <w:rsid w:val="001A50E6"/>
    <w:rsid w:val="001B1023"/>
    <w:rsid w:val="001B20AC"/>
    <w:rsid w:val="001B30A3"/>
    <w:rsid w:val="001B318A"/>
    <w:rsid w:val="001B4C1A"/>
    <w:rsid w:val="001B4FEA"/>
    <w:rsid w:val="001B51F5"/>
    <w:rsid w:val="001B65FD"/>
    <w:rsid w:val="001C07F0"/>
    <w:rsid w:val="001C2C8D"/>
    <w:rsid w:val="001C56B6"/>
    <w:rsid w:val="001C6220"/>
    <w:rsid w:val="001C70B5"/>
    <w:rsid w:val="001C757F"/>
    <w:rsid w:val="001D10CA"/>
    <w:rsid w:val="001D1329"/>
    <w:rsid w:val="001D348D"/>
    <w:rsid w:val="001E1C93"/>
    <w:rsid w:val="001E1DE9"/>
    <w:rsid w:val="001E1F48"/>
    <w:rsid w:val="001E29CB"/>
    <w:rsid w:val="001E2F3D"/>
    <w:rsid w:val="001E4306"/>
    <w:rsid w:val="001E52B3"/>
    <w:rsid w:val="001E5D84"/>
    <w:rsid w:val="001E62E1"/>
    <w:rsid w:val="001E6F73"/>
    <w:rsid w:val="001E74EE"/>
    <w:rsid w:val="001E7781"/>
    <w:rsid w:val="001F0870"/>
    <w:rsid w:val="001F09EF"/>
    <w:rsid w:val="001F11AE"/>
    <w:rsid w:val="001F15BD"/>
    <w:rsid w:val="001F222D"/>
    <w:rsid w:val="001F3020"/>
    <w:rsid w:val="001F4120"/>
    <w:rsid w:val="001F5164"/>
    <w:rsid w:val="001F55C9"/>
    <w:rsid w:val="001F639B"/>
    <w:rsid w:val="001F670C"/>
    <w:rsid w:val="00200BA5"/>
    <w:rsid w:val="00202951"/>
    <w:rsid w:val="00203F11"/>
    <w:rsid w:val="00205B32"/>
    <w:rsid w:val="00207F3E"/>
    <w:rsid w:val="002102B5"/>
    <w:rsid w:val="00211041"/>
    <w:rsid w:val="0021124E"/>
    <w:rsid w:val="002113D2"/>
    <w:rsid w:val="00212131"/>
    <w:rsid w:val="00213AD3"/>
    <w:rsid w:val="00217038"/>
    <w:rsid w:val="0022346A"/>
    <w:rsid w:val="00225514"/>
    <w:rsid w:val="002258CC"/>
    <w:rsid w:val="00225DE2"/>
    <w:rsid w:val="00225FAD"/>
    <w:rsid w:val="00226C9D"/>
    <w:rsid w:val="002306CA"/>
    <w:rsid w:val="00230C45"/>
    <w:rsid w:val="002343AB"/>
    <w:rsid w:val="00234940"/>
    <w:rsid w:val="0023762A"/>
    <w:rsid w:val="002378EB"/>
    <w:rsid w:val="00240C32"/>
    <w:rsid w:val="002417A2"/>
    <w:rsid w:val="00241EE6"/>
    <w:rsid w:val="00242558"/>
    <w:rsid w:val="0024294C"/>
    <w:rsid w:val="002439E7"/>
    <w:rsid w:val="00247D4C"/>
    <w:rsid w:val="00250395"/>
    <w:rsid w:val="00250550"/>
    <w:rsid w:val="0025177B"/>
    <w:rsid w:val="002521EB"/>
    <w:rsid w:val="002533AB"/>
    <w:rsid w:val="002560B3"/>
    <w:rsid w:val="00260769"/>
    <w:rsid w:val="00263E58"/>
    <w:rsid w:val="00264A9A"/>
    <w:rsid w:val="0026500B"/>
    <w:rsid w:val="00267D39"/>
    <w:rsid w:val="00270053"/>
    <w:rsid w:val="002700C3"/>
    <w:rsid w:val="002706EF"/>
    <w:rsid w:val="00271219"/>
    <w:rsid w:val="0027195E"/>
    <w:rsid w:val="0027323F"/>
    <w:rsid w:val="002753C2"/>
    <w:rsid w:val="00275AC1"/>
    <w:rsid w:val="00276541"/>
    <w:rsid w:val="00277533"/>
    <w:rsid w:val="00277598"/>
    <w:rsid w:val="0028010F"/>
    <w:rsid w:val="00280B40"/>
    <w:rsid w:val="00280D4C"/>
    <w:rsid w:val="00281024"/>
    <w:rsid w:val="002835AD"/>
    <w:rsid w:val="002851C8"/>
    <w:rsid w:val="0028753B"/>
    <w:rsid w:val="00287FBA"/>
    <w:rsid w:val="002906B5"/>
    <w:rsid w:val="00290C4C"/>
    <w:rsid w:val="0029180E"/>
    <w:rsid w:val="002936B9"/>
    <w:rsid w:val="00295CCB"/>
    <w:rsid w:val="0029608C"/>
    <w:rsid w:val="002A02DD"/>
    <w:rsid w:val="002A05EF"/>
    <w:rsid w:val="002A096A"/>
    <w:rsid w:val="002A1639"/>
    <w:rsid w:val="002A2405"/>
    <w:rsid w:val="002A2AEA"/>
    <w:rsid w:val="002A2E62"/>
    <w:rsid w:val="002A3E27"/>
    <w:rsid w:val="002A48B2"/>
    <w:rsid w:val="002A4A5F"/>
    <w:rsid w:val="002A5FAF"/>
    <w:rsid w:val="002B0140"/>
    <w:rsid w:val="002B0C60"/>
    <w:rsid w:val="002B1D91"/>
    <w:rsid w:val="002B3E04"/>
    <w:rsid w:val="002B4B6F"/>
    <w:rsid w:val="002B5BD1"/>
    <w:rsid w:val="002C25F1"/>
    <w:rsid w:val="002C26C6"/>
    <w:rsid w:val="002C2A81"/>
    <w:rsid w:val="002C2CA8"/>
    <w:rsid w:val="002C2E6C"/>
    <w:rsid w:val="002C4475"/>
    <w:rsid w:val="002C5467"/>
    <w:rsid w:val="002C7002"/>
    <w:rsid w:val="002D19A4"/>
    <w:rsid w:val="002D44B4"/>
    <w:rsid w:val="002D459C"/>
    <w:rsid w:val="002D53A9"/>
    <w:rsid w:val="002D6A9C"/>
    <w:rsid w:val="002D7504"/>
    <w:rsid w:val="002E06EE"/>
    <w:rsid w:val="002E0ED7"/>
    <w:rsid w:val="002E2802"/>
    <w:rsid w:val="002E33E5"/>
    <w:rsid w:val="002E4A6A"/>
    <w:rsid w:val="002E58C7"/>
    <w:rsid w:val="002E5B77"/>
    <w:rsid w:val="002E5C0A"/>
    <w:rsid w:val="002F17FE"/>
    <w:rsid w:val="002F1D0B"/>
    <w:rsid w:val="002F3B7B"/>
    <w:rsid w:val="002F3F9B"/>
    <w:rsid w:val="002F4D52"/>
    <w:rsid w:val="002F4ED1"/>
    <w:rsid w:val="002F5076"/>
    <w:rsid w:val="002F5F79"/>
    <w:rsid w:val="002F6ABC"/>
    <w:rsid w:val="002F6F96"/>
    <w:rsid w:val="002F7E32"/>
    <w:rsid w:val="0030013F"/>
    <w:rsid w:val="00303760"/>
    <w:rsid w:val="00303F05"/>
    <w:rsid w:val="003042BB"/>
    <w:rsid w:val="00304800"/>
    <w:rsid w:val="003048C9"/>
    <w:rsid w:val="00304CCC"/>
    <w:rsid w:val="0030556B"/>
    <w:rsid w:val="00305C24"/>
    <w:rsid w:val="003062DA"/>
    <w:rsid w:val="00306943"/>
    <w:rsid w:val="00307847"/>
    <w:rsid w:val="003107FA"/>
    <w:rsid w:val="00312B01"/>
    <w:rsid w:val="00312DD9"/>
    <w:rsid w:val="0031527E"/>
    <w:rsid w:val="00315BF7"/>
    <w:rsid w:val="00316304"/>
    <w:rsid w:val="00317F02"/>
    <w:rsid w:val="003207BD"/>
    <w:rsid w:val="00321623"/>
    <w:rsid w:val="00321B6D"/>
    <w:rsid w:val="00321F2B"/>
    <w:rsid w:val="00322338"/>
    <w:rsid w:val="0032360E"/>
    <w:rsid w:val="00324343"/>
    <w:rsid w:val="00324939"/>
    <w:rsid w:val="00324F37"/>
    <w:rsid w:val="003254AC"/>
    <w:rsid w:val="0032599C"/>
    <w:rsid w:val="003264A6"/>
    <w:rsid w:val="00327D5A"/>
    <w:rsid w:val="003317DC"/>
    <w:rsid w:val="0033446F"/>
    <w:rsid w:val="003345A5"/>
    <w:rsid w:val="003349C4"/>
    <w:rsid w:val="00336569"/>
    <w:rsid w:val="00340928"/>
    <w:rsid w:val="00341243"/>
    <w:rsid w:val="003415DE"/>
    <w:rsid w:val="00341AB2"/>
    <w:rsid w:val="00343E59"/>
    <w:rsid w:val="00345A80"/>
    <w:rsid w:val="00347A90"/>
    <w:rsid w:val="00351595"/>
    <w:rsid w:val="003530EA"/>
    <w:rsid w:val="00353A86"/>
    <w:rsid w:val="00354447"/>
    <w:rsid w:val="00354DA4"/>
    <w:rsid w:val="00355276"/>
    <w:rsid w:val="00356407"/>
    <w:rsid w:val="003565D1"/>
    <w:rsid w:val="00356B92"/>
    <w:rsid w:val="00363753"/>
    <w:rsid w:val="00363816"/>
    <w:rsid w:val="00364157"/>
    <w:rsid w:val="0036535D"/>
    <w:rsid w:val="00366D8C"/>
    <w:rsid w:val="003678A1"/>
    <w:rsid w:val="00367A9C"/>
    <w:rsid w:val="00367E9B"/>
    <w:rsid w:val="003739A6"/>
    <w:rsid w:val="00374902"/>
    <w:rsid w:val="00375307"/>
    <w:rsid w:val="00376576"/>
    <w:rsid w:val="0037675F"/>
    <w:rsid w:val="0037696B"/>
    <w:rsid w:val="0038146C"/>
    <w:rsid w:val="00382250"/>
    <w:rsid w:val="003838FD"/>
    <w:rsid w:val="003839E3"/>
    <w:rsid w:val="00383A37"/>
    <w:rsid w:val="00383B54"/>
    <w:rsid w:val="00384482"/>
    <w:rsid w:val="003844C2"/>
    <w:rsid w:val="00385868"/>
    <w:rsid w:val="003877AC"/>
    <w:rsid w:val="00392B01"/>
    <w:rsid w:val="00393CD8"/>
    <w:rsid w:val="00396005"/>
    <w:rsid w:val="003A13E1"/>
    <w:rsid w:val="003A184B"/>
    <w:rsid w:val="003A2ADF"/>
    <w:rsid w:val="003A3357"/>
    <w:rsid w:val="003A40B9"/>
    <w:rsid w:val="003A608F"/>
    <w:rsid w:val="003A7585"/>
    <w:rsid w:val="003A7EEE"/>
    <w:rsid w:val="003B0D65"/>
    <w:rsid w:val="003B10C3"/>
    <w:rsid w:val="003B299F"/>
    <w:rsid w:val="003B2ACB"/>
    <w:rsid w:val="003B360A"/>
    <w:rsid w:val="003B3C49"/>
    <w:rsid w:val="003B3DF7"/>
    <w:rsid w:val="003B407F"/>
    <w:rsid w:val="003B4456"/>
    <w:rsid w:val="003B45D4"/>
    <w:rsid w:val="003B5410"/>
    <w:rsid w:val="003B6920"/>
    <w:rsid w:val="003B79EB"/>
    <w:rsid w:val="003C0CDB"/>
    <w:rsid w:val="003C0ED0"/>
    <w:rsid w:val="003C108F"/>
    <w:rsid w:val="003C18CC"/>
    <w:rsid w:val="003C1B43"/>
    <w:rsid w:val="003C1D8B"/>
    <w:rsid w:val="003C4FC0"/>
    <w:rsid w:val="003C637C"/>
    <w:rsid w:val="003C7389"/>
    <w:rsid w:val="003D5B66"/>
    <w:rsid w:val="003D5DFC"/>
    <w:rsid w:val="003D69F2"/>
    <w:rsid w:val="003D6E79"/>
    <w:rsid w:val="003D705C"/>
    <w:rsid w:val="003E0725"/>
    <w:rsid w:val="003E0C98"/>
    <w:rsid w:val="003E29A6"/>
    <w:rsid w:val="003E3484"/>
    <w:rsid w:val="003E4E42"/>
    <w:rsid w:val="003E5E13"/>
    <w:rsid w:val="003E6967"/>
    <w:rsid w:val="003E785F"/>
    <w:rsid w:val="003E7925"/>
    <w:rsid w:val="003F3550"/>
    <w:rsid w:val="003F44E5"/>
    <w:rsid w:val="003F4BAA"/>
    <w:rsid w:val="003F5DAB"/>
    <w:rsid w:val="003F7512"/>
    <w:rsid w:val="00404F43"/>
    <w:rsid w:val="0040523C"/>
    <w:rsid w:val="00406077"/>
    <w:rsid w:val="004074CE"/>
    <w:rsid w:val="004104D9"/>
    <w:rsid w:val="004108D3"/>
    <w:rsid w:val="00411A64"/>
    <w:rsid w:val="004125CE"/>
    <w:rsid w:val="00415013"/>
    <w:rsid w:val="00415869"/>
    <w:rsid w:val="00416E0E"/>
    <w:rsid w:val="00417D24"/>
    <w:rsid w:val="00420132"/>
    <w:rsid w:val="00420350"/>
    <w:rsid w:val="004204C3"/>
    <w:rsid w:val="0042125C"/>
    <w:rsid w:val="004237E2"/>
    <w:rsid w:val="00423B10"/>
    <w:rsid w:val="00423EFF"/>
    <w:rsid w:val="0042559E"/>
    <w:rsid w:val="004269FE"/>
    <w:rsid w:val="00427339"/>
    <w:rsid w:val="00430811"/>
    <w:rsid w:val="00431AD0"/>
    <w:rsid w:val="00432A62"/>
    <w:rsid w:val="00432D53"/>
    <w:rsid w:val="0043617A"/>
    <w:rsid w:val="004375EF"/>
    <w:rsid w:val="00441A0E"/>
    <w:rsid w:val="004422D6"/>
    <w:rsid w:val="004425E3"/>
    <w:rsid w:val="00442B2B"/>
    <w:rsid w:val="0044535B"/>
    <w:rsid w:val="00445AC7"/>
    <w:rsid w:val="004460F2"/>
    <w:rsid w:val="00446541"/>
    <w:rsid w:val="00446E9E"/>
    <w:rsid w:val="00446F46"/>
    <w:rsid w:val="00450385"/>
    <w:rsid w:val="00451FC6"/>
    <w:rsid w:val="00452919"/>
    <w:rsid w:val="00453961"/>
    <w:rsid w:val="00453A05"/>
    <w:rsid w:val="00453F36"/>
    <w:rsid w:val="004552E4"/>
    <w:rsid w:val="00455301"/>
    <w:rsid w:val="004626BD"/>
    <w:rsid w:val="00462B84"/>
    <w:rsid w:val="004636F6"/>
    <w:rsid w:val="00463F15"/>
    <w:rsid w:val="004660C2"/>
    <w:rsid w:val="00470B7E"/>
    <w:rsid w:val="00470D17"/>
    <w:rsid w:val="00470DBD"/>
    <w:rsid w:val="00471247"/>
    <w:rsid w:val="004724B2"/>
    <w:rsid w:val="00472901"/>
    <w:rsid w:val="00477A7A"/>
    <w:rsid w:val="004825EA"/>
    <w:rsid w:val="00482758"/>
    <w:rsid w:val="004829A8"/>
    <w:rsid w:val="00482A0C"/>
    <w:rsid w:val="00482CE1"/>
    <w:rsid w:val="00485B5F"/>
    <w:rsid w:val="00486016"/>
    <w:rsid w:val="004863EC"/>
    <w:rsid w:val="00486F2B"/>
    <w:rsid w:val="00487A80"/>
    <w:rsid w:val="00487F14"/>
    <w:rsid w:val="00491E3F"/>
    <w:rsid w:val="004943D8"/>
    <w:rsid w:val="004961BB"/>
    <w:rsid w:val="0049685D"/>
    <w:rsid w:val="00497011"/>
    <w:rsid w:val="004A1F0F"/>
    <w:rsid w:val="004A29C8"/>
    <w:rsid w:val="004A32F0"/>
    <w:rsid w:val="004A5556"/>
    <w:rsid w:val="004A7423"/>
    <w:rsid w:val="004A7C0C"/>
    <w:rsid w:val="004B00CC"/>
    <w:rsid w:val="004B0A8B"/>
    <w:rsid w:val="004B149C"/>
    <w:rsid w:val="004B33CF"/>
    <w:rsid w:val="004B3B80"/>
    <w:rsid w:val="004B4368"/>
    <w:rsid w:val="004B45DE"/>
    <w:rsid w:val="004B6518"/>
    <w:rsid w:val="004C1639"/>
    <w:rsid w:val="004C1EB3"/>
    <w:rsid w:val="004C2AEF"/>
    <w:rsid w:val="004C3A7C"/>
    <w:rsid w:val="004C3B03"/>
    <w:rsid w:val="004C3B4D"/>
    <w:rsid w:val="004C5017"/>
    <w:rsid w:val="004C5B2C"/>
    <w:rsid w:val="004C7200"/>
    <w:rsid w:val="004D2D5B"/>
    <w:rsid w:val="004D3C97"/>
    <w:rsid w:val="004D3DA7"/>
    <w:rsid w:val="004D3E14"/>
    <w:rsid w:val="004D6068"/>
    <w:rsid w:val="004D786E"/>
    <w:rsid w:val="004E01E9"/>
    <w:rsid w:val="004E53C3"/>
    <w:rsid w:val="004E6926"/>
    <w:rsid w:val="004E7E9C"/>
    <w:rsid w:val="004F0866"/>
    <w:rsid w:val="004F1AE9"/>
    <w:rsid w:val="004F2481"/>
    <w:rsid w:val="004F3B2C"/>
    <w:rsid w:val="004F3F07"/>
    <w:rsid w:val="004F525C"/>
    <w:rsid w:val="004F554E"/>
    <w:rsid w:val="00501572"/>
    <w:rsid w:val="005019C4"/>
    <w:rsid w:val="00501B65"/>
    <w:rsid w:val="00501BE5"/>
    <w:rsid w:val="005021B9"/>
    <w:rsid w:val="00504181"/>
    <w:rsid w:val="00505A7E"/>
    <w:rsid w:val="005062F7"/>
    <w:rsid w:val="0050791C"/>
    <w:rsid w:val="00510962"/>
    <w:rsid w:val="0051330F"/>
    <w:rsid w:val="00514EEF"/>
    <w:rsid w:val="00515CB6"/>
    <w:rsid w:val="00516A0A"/>
    <w:rsid w:val="0052141F"/>
    <w:rsid w:val="005218F6"/>
    <w:rsid w:val="00521A82"/>
    <w:rsid w:val="00523179"/>
    <w:rsid w:val="005235B7"/>
    <w:rsid w:val="00523F31"/>
    <w:rsid w:val="00524BC6"/>
    <w:rsid w:val="00525E47"/>
    <w:rsid w:val="005260F5"/>
    <w:rsid w:val="00526E04"/>
    <w:rsid w:val="0052799E"/>
    <w:rsid w:val="00531047"/>
    <w:rsid w:val="005315CE"/>
    <w:rsid w:val="00534AE7"/>
    <w:rsid w:val="005358A9"/>
    <w:rsid w:val="00536578"/>
    <w:rsid w:val="00536769"/>
    <w:rsid w:val="00536C04"/>
    <w:rsid w:val="00537FCC"/>
    <w:rsid w:val="0054037D"/>
    <w:rsid w:val="00540B1F"/>
    <w:rsid w:val="0054142B"/>
    <w:rsid w:val="0054262C"/>
    <w:rsid w:val="00544304"/>
    <w:rsid w:val="005456E9"/>
    <w:rsid w:val="00546DE8"/>
    <w:rsid w:val="00550657"/>
    <w:rsid w:val="00550E79"/>
    <w:rsid w:val="0055248D"/>
    <w:rsid w:val="00552B83"/>
    <w:rsid w:val="00552F3D"/>
    <w:rsid w:val="00554325"/>
    <w:rsid w:val="00554420"/>
    <w:rsid w:val="00555476"/>
    <w:rsid w:val="00555BEA"/>
    <w:rsid w:val="00556420"/>
    <w:rsid w:val="005601E7"/>
    <w:rsid w:val="005603CA"/>
    <w:rsid w:val="0056089C"/>
    <w:rsid w:val="0056111A"/>
    <w:rsid w:val="0056144C"/>
    <w:rsid w:val="005616AD"/>
    <w:rsid w:val="00563913"/>
    <w:rsid w:val="00566223"/>
    <w:rsid w:val="00571255"/>
    <w:rsid w:val="0057147B"/>
    <w:rsid w:val="00571E40"/>
    <w:rsid w:val="00572214"/>
    <w:rsid w:val="0057224F"/>
    <w:rsid w:val="0057248D"/>
    <w:rsid w:val="0057255F"/>
    <w:rsid w:val="0057337B"/>
    <w:rsid w:val="00573CFF"/>
    <w:rsid w:val="00573D68"/>
    <w:rsid w:val="00577905"/>
    <w:rsid w:val="00577A6B"/>
    <w:rsid w:val="00580784"/>
    <w:rsid w:val="00581807"/>
    <w:rsid w:val="00581CFD"/>
    <w:rsid w:val="005826EC"/>
    <w:rsid w:val="00582704"/>
    <w:rsid w:val="00582F15"/>
    <w:rsid w:val="005877B9"/>
    <w:rsid w:val="005920C6"/>
    <w:rsid w:val="00592BDF"/>
    <w:rsid w:val="0059474E"/>
    <w:rsid w:val="00595F83"/>
    <w:rsid w:val="00595FA0"/>
    <w:rsid w:val="005966D5"/>
    <w:rsid w:val="00597E79"/>
    <w:rsid w:val="005A0C63"/>
    <w:rsid w:val="005A258D"/>
    <w:rsid w:val="005A277E"/>
    <w:rsid w:val="005A31D0"/>
    <w:rsid w:val="005A35E9"/>
    <w:rsid w:val="005A5EEE"/>
    <w:rsid w:val="005A5F41"/>
    <w:rsid w:val="005A5FB1"/>
    <w:rsid w:val="005A6045"/>
    <w:rsid w:val="005A6399"/>
    <w:rsid w:val="005A70DD"/>
    <w:rsid w:val="005A79F6"/>
    <w:rsid w:val="005B0B8F"/>
    <w:rsid w:val="005B10AC"/>
    <w:rsid w:val="005B3466"/>
    <w:rsid w:val="005B3678"/>
    <w:rsid w:val="005B5365"/>
    <w:rsid w:val="005C1BAF"/>
    <w:rsid w:val="005C3A5E"/>
    <w:rsid w:val="005C3A77"/>
    <w:rsid w:val="005C3AE6"/>
    <w:rsid w:val="005C5AD2"/>
    <w:rsid w:val="005C5EAB"/>
    <w:rsid w:val="005C68D2"/>
    <w:rsid w:val="005C7A1D"/>
    <w:rsid w:val="005D1869"/>
    <w:rsid w:val="005D2A34"/>
    <w:rsid w:val="005D3BB5"/>
    <w:rsid w:val="005D6505"/>
    <w:rsid w:val="005E14B5"/>
    <w:rsid w:val="005E1D1C"/>
    <w:rsid w:val="005E3FAE"/>
    <w:rsid w:val="005E628E"/>
    <w:rsid w:val="005E6439"/>
    <w:rsid w:val="005E781A"/>
    <w:rsid w:val="005E7897"/>
    <w:rsid w:val="005F0C47"/>
    <w:rsid w:val="005F1485"/>
    <w:rsid w:val="005F3C8D"/>
    <w:rsid w:val="005F50FD"/>
    <w:rsid w:val="005F745A"/>
    <w:rsid w:val="005F759D"/>
    <w:rsid w:val="00600820"/>
    <w:rsid w:val="00600F07"/>
    <w:rsid w:val="00601FDC"/>
    <w:rsid w:val="00604D9C"/>
    <w:rsid w:val="006065B2"/>
    <w:rsid w:val="00606E2D"/>
    <w:rsid w:val="0060759F"/>
    <w:rsid w:val="0060760E"/>
    <w:rsid w:val="00611038"/>
    <w:rsid w:val="0061116C"/>
    <w:rsid w:val="0061170A"/>
    <w:rsid w:val="00613C42"/>
    <w:rsid w:val="00615085"/>
    <w:rsid w:val="006169ED"/>
    <w:rsid w:val="00620B09"/>
    <w:rsid w:val="00620DB4"/>
    <w:rsid w:val="00622B7C"/>
    <w:rsid w:val="006235A7"/>
    <w:rsid w:val="00624591"/>
    <w:rsid w:val="00626F8B"/>
    <w:rsid w:val="0062739D"/>
    <w:rsid w:val="00630369"/>
    <w:rsid w:val="006307EF"/>
    <w:rsid w:val="0063271B"/>
    <w:rsid w:val="00635D1E"/>
    <w:rsid w:val="0063797F"/>
    <w:rsid w:val="00637A7C"/>
    <w:rsid w:val="00640815"/>
    <w:rsid w:val="006412F5"/>
    <w:rsid w:val="00641A13"/>
    <w:rsid w:val="006442B3"/>
    <w:rsid w:val="006507EB"/>
    <w:rsid w:val="00650913"/>
    <w:rsid w:val="00650D74"/>
    <w:rsid w:val="00650F42"/>
    <w:rsid w:val="00651F26"/>
    <w:rsid w:val="00652427"/>
    <w:rsid w:val="006533CD"/>
    <w:rsid w:val="006539CB"/>
    <w:rsid w:val="00653FBA"/>
    <w:rsid w:val="00656C4F"/>
    <w:rsid w:val="00661A64"/>
    <w:rsid w:val="00661BD5"/>
    <w:rsid w:val="00661D2F"/>
    <w:rsid w:val="006622F3"/>
    <w:rsid w:val="0066402B"/>
    <w:rsid w:val="00667219"/>
    <w:rsid w:val="00670253"/>
    <w:rsid w:val="0067079B"/>
    <w:rsid w:val="00672CF8"/>
    <w:rsid w:val="006733E6"/>
    <w:rsid w:val="00673F93"/>
    <w:rsid w:val="00681810"/>
    <w:rsid w:val="00681897"/>
    <w:rsid w:val="006851D5"/>
    <w:rsid w:val="006872CF"/>
    <w:rsid w:val="00690EF2"/>
    <w:rsid w:val="006912D1"/>
    <w:rsid w:val="00692466"/>
    <w:rsid w:val="00692A49"/>
    <w:rsid w:val="00692BFA"/>
    <w:rsid w:val="00693342"/>
    <w:rsid w:val="006933A0"/>
    <w:rsid w:val="00693F96"/>
    <w:rsid w:val="00694879"/>
    <w:rsid w:val="006948F1"/>
    <w:rsid w:val="006973EB"/>
    <w:rsid w:val="0069773D"/>
    <w:rsid w:val="006A0720"/>
    <w:rsid w:val="006A0EBA"/>
    <w:rsid w:val="006A105D"/>
    <w:rsid w:val="006A28B9"/>
    <w:rsid w:val="006A4B38"/>
    <w:rsid w:val="006A4F2C"/>
    <w:rsid w:val="006A559C"/>
    <w:rsid w:val="006A5AA9"/>
    <w:rsid w:val="006A677B"/>
    <w:rsid w:val="006A7334"/>
    <w:rsid w:val="006B0804"/>
    <w:rsid w:val="006B253C"/>
    <w:rsid w:val="006B7667"/>
    <w:rsid w:val="006C0038"/>
    <w:rsid w:val="006C381A"/>
    <w:rsid w:val="006C4DB0"/>
    <w:rsid w:val="006C4EA0"/>
    <w:rsid w:val="006C6FB6"/>
    <w:rsid w:val="006C71C3"/>
    <w:rsid w:val="006C7D25"/>
    <w:rsid w:val="006D3B13"/>
    <w:rsid w:val="006D73B0"/>
    <w:rsid w:val="006E0A35"/>
    <w:rsid w:val="006E15B9"/>
    <w:rsid w:val="006E2517"/>
    <w:rsid w:val="006E39E4"/>
    <w:rsid w:val="006E560C"/>
    <w:rsid w:val="006F0767"/>
    <w:rsid w:val="006F169D"/>
    <w:rsid w:val="006F3F0A"/>
    <w:rsid w:val="006F4B64"/>
    <w:rsid w:val="006F613A"/>
    <w:rsid w:val="006F6C47"/>
    <w:rsid w:val="00700924"/>
    <w:rsid w:val="00700E74"/>
    <w:rsid w:val="007020B4"/>
    <w:rsid w:val="007039AE"/>
    <w:rsid w:val="0070640C"/>
    <w:rsid w:val="0070799E"/>
    <w:rsid w:val="00710BA1"/>
    <w:rsid w:val="007135E6"/>
    <w:rsid w:val="007137F1"/>
    <w:rsid w:val="00717EF6"/>
    <w:rsid w:val="00720197"/>
    <w:rsid w:val="007217B0"/>
    <w:rsid w:val="00721854"/>
    <w:rsid w:val="00721BF5"/>
    <w:rsid w:val="0072285C"/>
    <w:rsid w:val="00723161"/>
    <w:rsid w:val="00724CBE"/>
    <w:rsid w:val="007252D3"/>
    <w:rsid w:val="007323CA"/>
    <w:rsid w:val="007329D2"/>
    <w:rsid w:val="00732E8C"/>
    <w:rsid w:val="00733D14"/>
    <w:rsid w:val="007340E3"/>
    <w:rsid w:val="00735839"/>
    <w:rsid w:val="0073660F"/>
    <w:rsid w:val="0073684A"/>
    <w:rsid w:val="00737C52"/>
    <w:rsid w:val="00737D4D"/>
    <w:rsid w:val="007413CE"/>
    <w:rsid w:val="0074181A"/>
    <w:rsid w:val="007425AD"/>
    <w:rsid w:val="00742B90"/>
    <w:rsid w:val="00743F6C"/>
    <w:rsid w:val="0074612B"/>
    <w:rsid w:val="0074632A"/>
    <w:rsid w:val="00746B45"/>
    <w:rsid w:val="007475FB"/>
    <w:rsid w:val="00750DAD"/>
    <w:rsid w:val="007511FF"/>
    <w:rsid w:val="00751CC6"/>
    <w:rsid w:val="00752D77"/>
    <w:rsid w:val="0075314A"/>
    <w:rsid w:val="00754B8B"/>
    <w:rsid w:val="0075557C"/>
    <w:rsid w:val="007570FF"/>
    <w:rsid w:val="007608DB"/>
    <w:rsid w:val="0076090F"/>
    <w:rsid w:val="00760B14"/>
    <w:rsid w:val="00763DAA"/>
    <w:rsid w:val="007643DE"/>
    <w:rsid w:val="007649A8"/>
    <w:rsid w:val="00764AEA"/>
    <w:rsid w:val="00764C13"/>
    <w:rsid w:val="00764F9F"/>
    <w:rsid w:val="00767384"/>
    <w:rsid w:val="007710D9"/>
    <w:rsid w:val="0077148A"/>
    <w:rsid w:val="00771EF3"/>
    <w:rsid w:val="0077314F"/>
    <w:rsid w:val="00773272"/>
    <w:rsid w:val="007732A9"/>
    <w:rsid w:val="00774EAB"/>
    <w:rsid w:val="00776120"/>
    <w:rsid w:val="00780C76"/>
    <w:rsid w:val="00780C9E"/>
    <w:rsid w:val="00781B20"/>
    <w:rsid w:val="00782CBD"/>
    <w:rsid w:val="00783962"/>
    <w:rsid w:val="00784AF0"/>
    <w:rsid w:val="00784DDF"/>
    <w:rsid w:val="007864EB"/>
    <w:rsid w:val="00786984"/>
    <w:rsid w:val="00790E34"/>
    <w:rsid w:val="00792B19"/>
    <w:rsid w:val="00793DF0"/>
    <w:rsid w:val="007941C0"/>
    <w:rsid w:val="00795457"/>
    <w:rsid w:val="007961F4"/>
    <w:rsid w:val="0079679E"/>
    <w:rsid w:val="00796E26"/>
    <w:rsid w:val="007A0B37"/>
    <w:rsid w:val="007A2B88"/>
    <w:rsid w:val="007A3AAF"/>
    <w:rsid w:val="007A3EFC"/>
    <w:rsid w:val="007A56C0"/>
    <w:rsid w:val="007A6114"/>
    <w:rsid w:val="007B0647"/>
    <w:rsid w:val="007B59B3"/>
    <w:rsid w:val="007B6DAC"/>
    <w:rsid w:val="007B6E01"/>
    <w:rsid w:val="007C0611"/>
    <w:rsid w:val="007C1E55"/>
    <w:rsid w:val="007C2CE4"/>
    <w:rsid w:val="007C3600"/>
    <w:rsid w:val="007D087C"/>
    <w:rsid w:val="007D183D"/>
    <w:rsid w:val="007D28CA"/>
    <w:rsid w:val="007D2F7F"/>
    <w:rsid w:val="007D5032"/>
    <w:rsid w:val="007D6E7F"/>
    <w:rsid w:val="007D6E9E"/>
    <w:rsid w:val="007E13ED"/>
    <w:rsid w:val="007E15F1"/>
    <w:rsid w:val="007E19CE"/>
    <w:rsid w:val="007E1EE1"/>
    <w:rsid w:val="007E2FC4"/>
    <w:rsid w:val="007E3F85"/>
    <w:rsid w:val="007E510B"/>
    <w:rsid w:val="007E6254"/>
    <w:rsid w:val="007E6279"/>
    <w:rsid w:val="007E6406"/>
    <w:rsid w:val="007F00AD"/>
    <w:rsid w:val="007F03CE"/>
    <w:rsid w:val="007F1CD6"/>
    <w:rsid w:val="007F2E76"/>
    <w:rsid w:val="007F2ED3"/>
    <w:rsid w:val="007F434D"/>
    <w:rsid w:val="007F4C2E"/>
    <w:rsid w:val="007F7443"/>
    <w:rsid w:val="008000BD"/>
    <w:rsid w:val="00800903"/>
    <w:rsid w:val="008038A0"/>
    <w:rsid w:val="00804CC9"/>
    <w:rsid w:val="00806BDE"/>
    <w:rsid w:val="00807049"/>
    <w:rsid w:val="0080747A"/>
    <w:rsid w:val="00810145"/>
    <w:rsid w:val="0081158D"/>
    <w:rsid w:val="00811DF4"/>
    <w:rsid w:val="0081217A"/>
    <w:rsid w:val="00814E45"/>
    <w:rsid w:val="00816083"/>
    <w:rsid w:val="00816148"/>
    <w:rsid w:val="0081652B"/>
    <w:rsid w:val="00816698"/>
    <w:rsid w:val="00817830"/>
    <w:rsid w:val="008179EC"/>
    <w:rsid w:val="00817CAA"/>
    <w:rsid w:val="00820A45"/>
    <w:rsid w:val="00820D18"/>
    <w:rsid w:val="00820D52"/>
    <w:rsid w:val="008218BB"/>
    <w:rsid w:val="008232AA"/>
    <w:rsid w:val="00825A02"/>
    <w:rsid w:val="00826566"/>
    <w:rsid w:val="008269A6"/>
    <w:rsid w:val="00830F55"/>
    <w:rsid w:val="00834F6A"/>
    <w:rsid w:val="00835357"/>
    <w:rsid w:val="00835539"/>
    <w:rsid w:val="00837087"/>
    <w:rsid w:val="00840E85"/>
    <w:rsid w:val="008417AE"/>
    <w:rsid w:val="008428B4"/>
    <w:rsid w:val="008430CF"/>
    <w:rsid w:val="00843154"/>
    <w:rsid w:val="008431BB"/>
    <w:rsid w:val="0084374D"/>
    <w:rsid w:val="00845DEC"/>
    <w:rsid w:val="008476CD"/>
    <w:rsid w:val="00850C13"/>
    <w:rsid w:val="00850FC3"/>
    <w:rsid w:val="00851E1C"/>
    <w:rsid w:val="00853E26"/>
    <w:rsid w:val="008556C1"/>
    <w:rsid w:val="008566DE"/>
    <w:rsid w:val="008569B9"/>
    <w:rsid w:val="00856EAD"/>
    <w:rsid w:val="00860F50"/>
    <w:rsid w:val="0086307A"/>
    <w:rsid w:val="00864256"/>
    <w:rsid w:val="00864BBC"/>
    <w:rsid w:val="00865244"/>
    <w:rsid w:val="0086539E"/>
    <w:rsid w:val="00865EC2"/>
    <w:rsid w:val="008662A3"/>
    <w:rsid w:val="008669D1"/>
    <w:rsid w:val="008675ED"/>
    <w:rsid w:val="00867E4B"/>
    <w:rsid w:val="00870370"/>
    <w:rsid w:val="008712EC"/>
    <w:rsid w:val="0087138C"/>
    <w:rsid w:val="0087147A"/>
    <w:rsid w:val="0087243D"/>
    <w:rsid w:val="00874A42"/>
    <w:rsid w:val="00875642"/>
    <w:rsid w:val="00880888"/>
    <w:rsid w:val="0088258A"/>
    <w:rsid w:val="008826FD"/>
    <w:rsid w:val="00883EA2"/>
    <w:rsid w:val="00883F07"/>
    <w:rsid w:val="0088570E"/>
    <w:rsid w:val="00886EEE"/>
    <w:rsid w:val="0088704B"/>
    <w:rsid w:val="008878FD"/>
    <w:rsid w:val="00887A7A"/>
    <w:rsid w:val="008911EE"/>
    <w:rsid w:val="00891CEB"/>
    <w:rsid w:val="008947AC"/>
    <w:rsid w:val="00894AE1"/>
    <w:rsid w:val="008957F0"/>
    <w:rsid w:val="008959D8"/>
    <w:rsid w:val="00895BEB"/>
    <w:rsid w:val="008975C9"/>
    <w:rsid w:val="00897FA3"/>
    <w:rsid w:val="008A0EAC"/>
    <w:rsid w:val="008A16C4"/>
    <w:rsid w:val="008A3B4E"/>
    <w:rsid w:val="008A4448"/>
    <w:rsid w:val="008A7810"/>
    <w:rsid w:val="008A782A"/>
    <w:rsid w:val="008B2855"/>
    <w:rsid w:val="008B2A1D"/>
    <w:rsid w:val="008B35F5"/>
    <w:rsid w:val="008B3F01"/>
    <w:rsid w:val="008B48AB"/>
    <w:rsid w:val="008B56F4"/>
    <w:rsid w:val="008B58D8"/>
    <w:rsid w:val="008B6EA2"/>
    <w:rsid w:val="008C005B"/>
    <w:rsid w:val="008C0456"/>
    <w:rsid w:val="008C20F3"/>
    <w:rsid w:val="008C31FD"/>
    <w:rsid w:val="008C342B"/>
    <w:rsid w:val="008C3ED3"/>
    <w:rsid w:val="008C685F"/>
    <w:rsid w:val="008C7015"/>
    <w:rsid w:val="008C7306"/>
    <w:rsid w:val="008C7601"/>
    <w:rsid w:val="008C7D80"/>
    <w:rsid w:val="008D00D3"/>
    <w:rsid w:val="008D3773"/>
    <w:rsid w:val="008D4F79"/>
    <w:rsid w:val="008D5480"/>
    <w:rsid w:val="008D619D"/>
    <w:rsid w:val="008D686C"/>
    <w:rsid w:val="008D6ED2"/>
    <w:rsid w:val="008D7328"/>
    <w:rsid w:val="008E06EF"/>
    <w:rsid w:val="008E358B"/>
    <w:rsid w:val="008E49B0"/>
    <w:rsid w:val="008E67FC"/>
    <w:rsid w:val="008E6862"/>
    <w:rsid w:val="008E688C"/>
    <w:rsid w:val="008F18E4"/>
    <w:rsid w:val="008F190D"/>
    <w:rsid w:val="008F2188"/>
    <w:rsid w:val="008F2F3B"/>
    <w:rsid w:val="008F3843"/>
    <w:rsid w:val="008F3C15"/>
    <w:rsid w:val="008F4451"/>
    <w:rsid w:val="008F5769"/>
    <w:rsid w:val="008F66D8"/>
    <w:rsid w:val="008F6901"/>
    <w:rsid w:val="008F698B"/>
    <w:rsid w:val="008F7687"/>
    <w:rsid w:val="00900AB1"/>
    <w:rsid w:val="00904803"/>
    <w:rsid w:val="00904879"/>
    <w:rsid w:val="009048D2"/>
    <w:rsid w:val="009065F0"/>
    <w:rsid w:val="00906C6B"/>
    <w:rsid w:val="009075B6"/>
    <w:rsid w:val="00907A14"/>
    <w:rsid w:val="00907BBF"/>
    <w:rsid w:val="0091060B"/>
    <w:rsid w:val="00911145"/>
    <w:rsid w:val="00911A0C"/>
    <w:rsid w:val="0091207D"/>
    <w:rsid w:val="00915060"/>
    <w:rsid w:val="00920D94"/>
    <w:rsid w:val="00921860"/>
    <w:rsid w:val="00922799"/>
    <w:rsid w:val="00922EFE"/>
    <w:rsid w:val="009239A2"/>
    <w:rsid w:val="0092581B"/>
    <w:rsid w:val="009262CD"/>
    <w:rsid w:val="00930B84"/>
    <w:rsid w:val="00931FFE"/>
    <w:rsid w:val="009321F7"/>
    <w:rsid w:val="00932705"/>
    <w:rsid w:val="009336BB"/>
    <w:rsid w:val="009364AA"/>
    <w:rsid w:val="00937356"/>
    <w:rsid w:val="00943170"/>
    <w:rsid w:val="00947552"/>
    <w:rsid w:val="009478C9"/>
    <w:rsid w:val="00947F3C"/>
    <w:rsid w:val="00950CA9"/>
    <w:rsid w:val="009517FB"/>
    <w:rsid w:val="00951B00"/>
    <w:rsid w:val="0095392E"/>
    <w:rsid w:val="00956807"/>
    <w:rsid w:val="009572A6"/>
    <w:rsid w:val="00961C9D"/>
    <w:rsid w:val="00962847"/>
    <w:rsid w:val="009630CC"/>
    <w:rsid w:val="00963E1C"/>
    <w:rsid w:val="009656B0"/>
    <w:rsid w:val="00965710"/>
    <w:rsid w:val="00967613"/>
    <w:rsid w:val="00967D28"/>
    <w:rsid w:val="00971457"/>
    <w:rsid w:val="00971A0E"/>
    <w:rsid w:val="009724AC"/>
    <w:rsid w:val="00973225"/>
    <w:rsid w:val="00973C14"/>
    <w:rsid w:val="00973DDC"/>
    <w:rsid w:val="00973EDE"/>
    <w:rsid w:val="009748F1"/>
    <w:rsid w:val="00974DAF"/>
    <w:rsid w:val="00975A1D"/>
    <w:rsid w:val="00975B66"/>
    <w:rsid w:val="0097608A"/>
    <w:rsid w:val="00977AB9"/>
    <w:rsid w:val="00980161"/>
    <w:rsid w:val="00981E32"/>
    <w:rsid w:val="009832DD"/>
    <w:rsid w:val="009837DC"/>
    <w:rsid w:val="009841F0"/>
    <w:rsid w:val="00985C02"/>
    <w:rsid w:val="00985C77"/>
    <w:rsid w:val="00986849"/>
    <w:rsid w:val="00986D96"/>
    <w:rsid w:val="0099021D"/>
    <w:rsid w:val="00991332"/>
    <w:rsid w:val="00992284"/>
    <w:rsid w:val="00993729"/>
    <w:rsid w:val="0099594E"/>
    <w:rsid w:val="00995D41"/>
    <w:rsid w:val="00997805"/>
    <w:rsid w:val="00997FFD"/>
    <w:rsid w:val="009A0938"/>
    <w:rsid w:val="009A0E93"/>
    <w:rsid w:val="009A1169"/>
    <w:rsid w:val="009A183B"/>
    <w:rsid w:val="009A21E3"/>
    <w:rsid w:val="009A31D2"/>
    <w:rsid w:val="009A35B9"/>
    <w:rsid w:val="009A4FB5"/>
    <w:rsid w:val="009A57AB"/>
    <w:rsid w:val="009A7AB9"/>
    <w:rsid w:val="009B0D5D"/>
    <w:rsid w:val="009B12D8"/>
    <w:rsid w:val="009B1409"/>
    <w:rsid w:val="009B3617"/>
    <w:rsid w:val="009B470F"/>
    <w:rsid w:val="009B672B"/>
    <w:rsid w:val="009B7084"/>
    <w:rsid w:val="009C026E"/>
    <w:rsid w:val="009C0978"/>
    <w:rsid w:val="009C10D9"/>
    <w:rsid w:val="009C13E8"/>
    <w:rsid w:val="009C53C7"/>
    <w:rsid w:val="009C597F"/>
    <w:rsid w:val="009C7348"/>
    <w:rsid w:val="009D0023"/>
    <w:rsid w:val="009D04BF"/>
    <w:rsid w:val="009D095F"/>
    <w:rsid w:val="009D0F17"/>
    <w:rsid w:val="009D1081"/>
    <w:rsid w:val="009D1102"/>
    <w:rsid w:val="009D2CB7"/>
    <w:rsid w:val="009D55CB"/>
    <w:rsid w:val="009D622B"/>
    <w:rsid w:val="009D7642"/>
    <w:rsid w:val="009D7B72"/>
    <w:rsid w:val="009D7E81"/>
    <w:rsid w:val="009E00EA"/>
    <w:rsid w:val="009E378E"/>
    <w:rsid w:val="009E44B3"/>
    <w:rsid w:val="009E59AC"/>
    <w:rsid w:val="009E6298"/>
    <w:rsid w:val="009E7D6B"/>
    <w:rsid w:val="009F08BB"/>
    <w:rsid w:val="009F1249"/>
    <w:rsid w:val="009F1300"/>
    <w:rsid w:val="009F2505"/>
    <w:rsid w:val="009F28F8"/>
    <w:rsid w:val="009F320B"/>
    <w:rsid w:val="009F5536"/>
    <w:rsid w:val="009F6E0F"/>
    <w:rsid w:val="009F7275"/>
    <w:rsid w:val="00A00CC1"/>
    <w:rsid w:val="00A013CC"/>
    <w:rsid w:val="00A01C2E"/>
    <w:rsid w:val="00A01D8B"/>
    <w:rsid w:val="00A028C5"/>
    <w:rsid w:val="00A02A4F"/>
    <w:rsid w:val="00A0449C"/>
    <w:rsid w:val="00A048F3"/>
    <w:rsid w:val="00A11499"/>
    <w:rsid w:val="00A11F1D"/>
    <w:rsid w:val="00A12404"/>
    <w:rsid w:val="00A13916"/>
    <w:rsid w:val="00A1510E"/>
    <w:rsid w:val="00A173B2"/>
    <w:rsid w:val="00A17740"/>
    <w:rsid w:val="00A17D17"/>
    <w:rsid w:val="00A200E7"/>
    <w:rsid w:val="00A205E4"/>
    <w:rsid w:val="00A228BB"/>
    <w:rsid w:val="00A22BF4"/>
    <w:rsid w:val="00A22C72"/>
    <w:rsid w:val="00A22CD7"/>
    <w:rsid w:val="00A23B7B"/>
    <w:rsid w:val="00A23CBC"/>
    <w:rsid w:val="00A23E7C"/>
    <w:rsid w:val="00A2418B"/>
    <w:rsid w:val="00A24A76"/>
    <w:rsid w:val="00A24F5C"/>
    <w:rsid w:val="00A26942"/>
    <w:rsid w:val="00A30192"/>
    <w:rsid w:val="00A317C6"/>
    <w:rsid w:val="00A31D33"/>
    <w:rsid w:val="00A330A6"/>
    <w:rsid w:val="00A33D6C"/>
    <w:rsid w:val="00A33DF8"/>
    <w:rsid w:val="00A340C7"/>
    <w:rsid w:val="00A34375"/>
    <w:rsid w:val="00A352A4"/>
    <w:rsid w:val="00A3678D"/>
    <w:rsid w:val="00A375FB"/>
    <w:rsid w:val="00A37B4A"/>
    <w:rsid w:val="00A41393"/>
    <w:rsid w:val="00A41579"/>
    <w:rsid w:val="00A45120"/>
    <w:rsid w:val="00A45A01"/>
    <w:rsid w:val="00A46012"/>
    <w:rsid w:val="00A479CE"/>
    <w:rsid w:val="00A47CFE"/>
    <w:rsid w:val="00A502AF"/>
    <w:rsid w:val="00A51EF1"/>
    <w:rsid w:val="00A5548C"/>
    <w:rsid w:val="00A5610C"/>
    <w:rsid w:val="00A56E57"/>
    <w:rsid w:val="00A61576"/>
    <w:rsid w:val="00A61891"/>
    <w:rsid w:val="00A625FF"/>
    <w:rsid w:val="00A63B37"/>
    <w:rsid w:val="00A63BAF"/>
    <w:rsid w:val="00A63CDF"/>
    <w:rsid w:val="00A64828"/>
    <w:rsid w:val="00A64866"/>
    <w:rsid w:val="00A65FEE"/>
    <w:rsid w:val="00A661FA"/>
    <w:rsid w:val="00A71469"/>
    <w:rsid w:val="00A72E23"/>
    <w:rsid w:val="00A73175"/>
    <w:rsid w:val="00A73B04"/>
    <w:rsid w:val="00A73BC2"/>
    <w:rsid w:val="00A76CCD"/>
    <w:rsid w:val="00A77771"/>
    <w:rsid w:val="00A80CA1"/>
    <w:rsid w:val="00A81BE9"/>
    <w:rsid w:val="00A81FEE"/>
    <w:rsid w:val="00A82A74"/>
    <w:rsid w:val="00A830C5"/>
    <w:rsid w:val="00A83DBC"/>
    <w:rsid w:val="00A84161"/>
    <w:rsid w:val="00A84ABE"/>
    <w:rsid w:val="00A85C7C"/>
    <w:rsid w:val="00A8601F"/>
    <w:rsid w:val="00A87242"/>
    <w:rsid w:val="00A92F5D"/>
    <w:rsid w:val="00A93A2D"/>
    <w:rsid w:val="00A940F1"/>
    <w:rsid w:val="00A94621"/>
    <w:rsid w:val="00A95573"/>
    <w:rsid w:val="00A95AF4"/>
    <w:rsid w:val="00A95FE6"/>
    <w:rsid w:val="00A960F5"/>
    <w:rsid w:val="00A96193"/>
    <w:rsid w:val="00A96796"/>
    <w:rsid w:val="00A97D65"/>
    <w:rsid w:val="00AA1E4A"/>
    <w:rsid w:val="00AA23BC"/>
    <w:rsid w:val="00AA265B"/>
    <w:rsid w:val="00AA386B"/>
    <w:rsid w:val="00AA42F4"/>
    <w:rsid w:val="00AA6532"/>
    <w:rsid w:val="00AA6F77"/>
    <w:rsid w:val="00AA70DF"/>
    <w:rsid w:val="00AA76EA"/>
    <w:rsid w:val="00AA7F15"/>
    <w:rsid w:val="00AB2DA2"/>
    <w:rsid w:val="00AB2F4C"/>
    <w:rsid w:val="00AB3AFA"/>
    <w:rsid w:val="00AB5529"/>
    <w:rsid w:val="00AB5FDE"/>
    <w:rsid w:val="00AB6098"/>
    <w:rsid w:val="00AC0805"/>
    <w:rsid w:val="00AC2069"/>
    <w:rsid w:val="00AC3066"/>
    <w:rsid w:val="00AC3BD1"/>
    <w:rsid w:val="00AC6142"/>
    <w:rsid w:val="00AC6695"/>
    <w:rsid w:val="00AC6A64"/>
    <w:rsid w:val="00AC7EAE"/>
    <w:rsid w:val="00AD126F"/>
    <w:rsid w:val="00AD1F13"/>
    <w:rsid w:val="00AD4877"/>
    <w:rsid w:val="00AD49E0"/>
    <w:rsid w:val="00AD5D6E"/>
    <w:rsid w:val="00AD64B1"/>
    <w:rsid w:val="00AE080D"/>
    <w:rsid w:val="00AE0EC6"/>
    <w:rsid w:val="00AE1987"/>
    <w:rsid w:val="00AE2D10"/>
    <w:rsid w:val="00AE2E48"/>
    <w:rsid w:val="00AE2F4B"/>
    <w:rsid w:val="00AE3E31"/>
    <w:rsid w:val="00AE6411"/>
    <w:rsid w:val="00AE6814"/>
    <w:rsid w:val="00AE7F08"/>
    <w:rsid w:val="00AF01BB"/>
    <w:rsid w:val="00AF0313"/>
    <w:rsid w:val="00AF0EFD"/>
    <w:rsid w:val="00AF1460"/>
    <w:rsid w:val="00AF4A74"/>
    <w:rsid w:val="00AF53C5"/>
    <w:rsid w:val="00AF675F"/>
    <w:rsid w:val="00AF72F9"/>
    <w:rsid w:val="00AF7CB7"/>
    <w:rsid w:val="00B000B3"/>
    <w:rsid w:val="00B00141"/>
    <w:rsid w:val="00B01265"/>
    <w:rsid w:val="00B019FD"/>
    <w:rsid w:val="00B04114"/>
    <w:rsid w:val="00B04444"/>
    <w:rsid w:val="00B04B3C"/>
    <w:rsid w:val="00B05481"/>
    <w:rsid w:val="00B06137"/>
    <w:rsid w:val="00B065B4"/>
    <w:rsid w:val="00B06DEA"/>
    <w:rsid w:val="00B11478"/>
    <w:rsid w:val="00B11E80"/>
    <w:rsid w:val="00B145F1"/>
    <w:rsid w:val="00B14664"/>
    <w:rsid w:val="00B15DE6"/>
    <w:rsid w:val="00B23208"/>
    <w:rsid w:val="00B241ED"/>
    <w:rsid w:val="00B24811"/>
    <w:rsid w:val="00B24827"/>
    <w:rsid w:val="00B252EC"/>
    <w:rsid w:val="00B266F8"/>
    <w:rsid w:val="00B267CF"/>
    <w:rsid w:val="00B27168"/>
    <w:rsid w:val="00B3065C"/>
    <w:rsid w:val="00B318FC"/>
    <w:rsid w:val="00B32482"/>
    <w:rsid w:val="00B33AFA"/>
    <w:rsid w:val="00B346D6"/>
    <w:rsid w:val="00B353AE"/>
    <w:rsid w:val="00B3554A"/>
    <w:rsid w:val="00B372F1"/>
    <w:rsid w:val="00B37771"/>
    <w:rsid w:val="00B40F43"/>
    <w:rsid w:val="00B423EB"/>
    <w:rsid w:val="00B43363"/>
    <w:rsid w:val="00B513C5"/>
    <w:rsid w:val="00B51FF3"/>
    <w:rsid w:val="00B5432B"/>
    <w:rsid w:val="00B54CEB"/>
    <w:rsid w:val="00B562E6"/>
    <w:rsid w:val="00B56D46"/>
    <w:rsid w:val="00B56E0E"/>
    <w:rsid w:val="00B60D62"/>
    <w:rsid w:val="00B61BF5"/>
    <w:rsid w:val="00B6237E"/>
    <w:rsid w:val="00B63885"/>
    <w:rsid w:val="00B64A32"/>
    <w:rsid w:val="00B64E8E"/>
    <w:rsid w:val="00B67CB9"/>
    <w:rsid w:val="00B67FA1"/>
    <w:rsid w:val="00B702F6"/>
    <w:rsid w:val="00B70858"/>
    <w:rsid w:val="00B72303"/>
    <w:rsid w:val="00B75772"/>
    <w:rsid w:val="00B77795"/>
    <w:rsid w:val="00B7781C"/>
    <w:rsid w:val="00B77C6E"/>
    <w:rsid w:val="00B8063D"/>
    <w:rsid w:val="00B8077C"/>
    <w:rsid w:val="00B811C8"/>
    <w:rsid w:val="00B82323"/>
    <w:rsid w:val="00B8236C"/>
    <w:rsid w:val="00B82C36"/>
    <w:rsid w:val="00B83F0C"/>
    <w:rsid w:val="00B86661"/>
    <w:rsid w:val="00B87F77"/>
    <w:rsid w:val="00B903E6"/>
    <w:rsid w:val="00B91C98"/>
    <w:rsid w:val="00B92468"/>
    <w:rsid w:val="00B926DB"/>
    <w:rsid w:val="00B92E30"/>
    <w:rsid w:val="00B934BE"/>
    <w:rsid w:val="00B93A03"/>
    <w:rsid w:val="00B94438"/>
    <w:rsid w:val="00B9509E"/>
    <w:rsid w:val="00B95856"/>
    <w:rsid w:val="00B95B9D"/>
    <w:rsid w:val="00B95ED5"/>
    <w:rsid w:val="00B95FE4"/>
    <w:rsid w:val="00B9630A"/>
    <w:rsid w:val="00B963C1"/>
    <w:rsid w:val="00B96ACB"/>
    <w:rsid w:val="00B97815"/>
    <w:rsid w:val="00BA028B"/>
    <w:rsid w:val="00BA0AC9"/>
    <w:rsid w:val="00BA0C58"/>
    <w:rsid w:val="00BA1661"/>
    <w:rsid w:val="00BA20D9"/>
    <w:rsid w:val="00BA31F1"/>
    <w:rsid w:val="00BA3A61"/>
    <w:rsid w:val="00BA4BC7"/>
    <w:rsid w:val="00BA516A"/>
    <w:rsid w:val="00BA7077"/>
    <w:rsid w:val="00BA782F"/>
    <w:rsid w:val="00BB0D33"/>
    <w:rsid w:val="00BB27A0"/>
    <w:rsid w:val="00BB47D1"/>
    <w:rsid w:val="00BB4B11"/>
    <w:rsid w:val="00BB52C7"/>
    <w:rsid w:val="00BB533B"/>
    <w:rsid w:val="00BB7E44"/>
    <w:rsid w:val="00BC0177"/>
    <w:rsid w:val="00BC1120"/>
    <w:rsid w:val="00BC16DF"/>
    <w:rsid w:val="00BC2BB8"/>
    <w:rsid w:val="00BC73AC"/>
    <w:rsid w:val="00BD1299"/>
    <w:rsid w:val="00BD2714"/>
    <w:rsid w:val="00BD2AB8"/>
    <w:rsid w:val="00BD2ED9"/>
    <w:rsid w:val="00BD4553"/>
    <w:rsid w:val="00BD68AF"/>
    <w:rsid w:val="00BE0365"/>
    <w:rsid w:val="00BE34C4"/>
    <w:rsid w:val="00BE4849"/>
    <w:rsid w:val="00BE679E"/>
    <w:rsid w:val="00BF065A"/>
    <w:rsid w:val="00BF267E"/>
    <w:rsid w:val="00BF3B51"/>
    <w:rsid w:val="00BF3B9B"/>
    <w:rsid w:val="00BF4FEC"/>
    <w:rsid w:val="00BF5A37"/>
    <w:rsid w:val="00BF74C4"/>
    <w:rsid w:val="00C0251C"/>
    <w:rsid w:val="00C02854"/>
    <w:rsid w:val="00C04E78"/>
    <w:rsid w:val="00C04EB9"/>
    <w:rsid w:val="00C10A6A"/>
    <w:rsid w:val="00C10CC7"/>
    <w:rsid w:val="00C10D57"/>
    <w:rsid w:val="00C1235F"/>
    <w:rsid w:val="00C12ED4"/>
    <w:rsid w:val="00C13230"/>
    <w:rsid w:val="00C14C2C"/>
    <w:rsid w:val="00C15E92"/>
    <w:rsid w:val="00C16AEC"/>
    <w:rsid w:val="00C17EA9"/>
    <w:rsid w:val="00C2130B"/>
    <w:rsid w:val="00C21447"/>
    <w:rsid w:val="00C21F3D"/>
    <w:rsid w:val="00C2297B"/>
    <w:rsid w:val="00C23156"/>
    <w:rsid w:val="00C246B8"/>
    <w:rsid w:val="00C24CD6"/>
    <w:rsid w:val="00C253DB"/>
    <w:rsid w:val="00C25403"/>
    <w:rsid w:val="00C26EDB"/>
    <w:rsid w:val="00C27818"/>
    <w:rsid w:val="00C30B40"/>
    <w:rsid w:val="00C354FF"/>
    <w:rsid w:val="00C3650E"/>
    <w:rsid w:val="00C36AD1"/>
    <w:rsid w:val="00C372AE"/>
    <w:rsid w:val="00C3762A"/>
    <w:rsid w:val="00C46316"/>
    <w:rsid w:val="00C53B84"/>
    <w:rsid w:val="00C54838"/>
    <w:rsid w:val="00C5565A"/>
    <w:rsid w:val="00C600A2"/>
    <w:rsid w:val="00C61316"/>
    <w:rsid w:val="00C62006"/>
    <w:rsid w:val="00C62A4F"/>
    <w:rsid w:val="00C64398"/>
    <w:rsid w:val="00C645CD"/>
    <w:rsid w:val="00C70703"/>
    <w:rsid w:val="00C710D8"/>
    <w:rsid w:val="00C71A19"/>
    <w:rsid w:val="00C727A2"/>
    <w:rsid w:val="00C7568A"/>
    <w:rsid w:val="00C75D8B"/>
    <w:rsid w:val="00C769F6"/>
    <w:rsid w:val="00C772D0"/>
    <w:rsid w:val="00C8299D"/>
    <w:rsid w:val="00C83ADE"/>
    <w:rsid w:val="00C83C0C"/>
    <w:rsid w:val="00C85CC7"/>
    <w:rsid w:val="00C862B2"/>
    <w:rsid w:val="00C86CF8"/>
    <w:rsid w:val="00C90617"/>
    <w:rsid w:val="00C9102C"/>
    <w:rsid w:val="00C9261A"/>
    <w:rsid w:val="00C928DD"/>
    <w:rsid w:val="00C93A65"/>
    <w:rsid w:val="00C94198"/>
    <w:rsid w:val="00C94742"/>
    <w:rsid w:val="00C94882"/>
    <w:rsid w:val="00C958D4"/>
    <w:rsid w:val="00C960DB"/>
    <w:rsid w:val="00C96D4B"/>
    <w:rsid w:val="00CA0160"/>
    <w:rsid w:val="00CA0D77"/>
    <w:rsid w:val="00CA0E6A"/>
    <w:rsid w:val="00CA1B1C"/>
    <w:rsid w:val="00CA231A"/>
    <w:rsid w:val="00CA3CC9"/>
    <w:rsid w:val="00CA720E"/>
    <w:rsid w:val="00CB1814"/>
    <w:rsid w:val="00CB1A44"/>
    <w:rsid w:val="00CB28BD"/>
    <w:rsid w:val="00CB4C40"/>
    <w:rsid w:val="00CB4C7F"/>
    <w:rsid w:val="00CB5BD3"/>
    <w:rsid w:val="00CB6836"/>
    <w:rsid w:val="00CB69FF"/>
    <w:rsid w:val="00CC134C"/>
    <w:rsid w:val="00CC1D89"/>
    <w:rsid w:val="00CC1E3A"/>
    <w:rsid w:val="00CC2DE9"/>
    <w:rsid w:val="00CC2EA7"/>
    <w:rsid w:val="00CC2EE6"/>
    <w:rsid w:val="00CC3502"/>
    <w:rsid w:val="00CC36B1"/>
    <w:rsid w:val="00CC409C"/>
    <w:rsid w:val="00CC5AE8"/>
    <w:rsid w:val="00CC701C"/>
    <w:rsid w:val="00CC757B"/>
    <w:rsid w:val="00CC7799"/>
    <w:rsid w:val="00CD141F"/>
    <w:rsid w:val="00CD35E7"/>
    <w:rsid w:val="00CD38E2"/>
    <w:rsid w:val="00CD44EA"/>
    <w:rsid w:val="00CD5798"/>
    <w:rsid w:val="00CD7759"/>
    <w:rsid w:val="00CD7E1B"/>
    <w:rsid w:val="00CE05B0"/>
    <w:rsid w:val="00CE1E12"/>
    <w:rsid w:val="00CE3BC9"/>
    <w:rsid w:val="00CE3E59"/>
    <w:rsid w:val="00CE4791"/>
    <w:rsid w:val="00CE4E2E"/>
    <w:rsid w:val="00CE4E35"/>
    <w:rsid w:val="00CE56FF"/>
    <w:rsid w:val="00CF1467"/>
    <w:rsid w:val="00CF15CC"/>
    <w:rsid w:val="00CF2326"/>
    <w:rsid w:val="00CF2673"/>
    <w:rsid w:val="00CF7943"/>
    <w:rsid w:val="00D00545"/>
    <w:rsid w:val="00D008BE"/>
    <w:rsid w:val="00D01465"/>
    <w:rsid w:val="00D01A81"/>
    <w:rsid w:val="00D024C7"/>
    <w:rsid w:val="00D05E4D"/>
    <w:rsid w:val="00D063F8"/>
    <w:rsid w:val="00D11C7A"/>
    <w:rsid w:val="00D121F9"/>
    <w:rsid w:val="00D13BB7"/>
    <w:rsid w:val="00D15205"/>
    <w:rsid w:val="00D15ACD"/>
    <w:rsid w:val="00D17E7C"/>
    <w:rsid w:val="00D2181F"/>
    <w:rsid w:val="00D230EE"/>
    <w:rsid w:val="00D231F4"/>
    <w:rsid w:val="00D235FC"/>
    <w:rsid w:val="00D2523C"/>
    <w:rsid w:val="00D27275"/>
    <w:rsid w:val="00D272D9"/>
    <w:rsid w:val="00D27381"/>
    <w:rsid w:val="00D302F9"/>
    <w:rsid w:val="00D30524"/>
    <w:rsid w:val="00D3401E"/>
    <w:rsid w:val="00D352B3"/>
    <w:rsid w:val="00D379B0"/>
    <w:rsid w:val="00D404FF"/>
    <w:rsid w:val="00D40E0F"/>
    <w:rsid w:val="00D410AE"/>
    <w:rsid w:val="00D42664"/>
    <w:rsid w:val="00D43C27"/>
    <w:rsid w:val="00D43EA5"/>
    <w:rsid w:val="00D44903"/>
    <w:rsid w:val="00D456BB"/>
    <w:rsid w:val="00D46020"/>
    <w:rsid w:val="00D46470"/>
    <w:rsid w:val="00D50737"/>
    <w:rsid w:val="00D50786"/>
    <w:rsid w:val="00D50997"/>
    <w:rsid w:val="00D510A7"/>
    <w:rsid w:val="00D51BD9"/>
    <w:rsid w:val="00D552F7"/>
    <w:rsid w:val="00D566F4"/>
    <w:rsid w:val="00D56B4C"/>
    <w:rsid w:val="00D57074"/>
    <w:rsid w:val="00D601C7"/>
    <w:rsid w:val="00D616CA"/>
    <w:rsid w:val="00D62BCD"/>
    <w:rsid w:val="00D6304C"/>
    <w:rsid w:val="00D641F7"/>
    <w:rsid w:val="00D66091"/>
    <w:rsid w:val="00D66BF3"/>
    <w:rsid w:val="00D676A6"/>
    <w:rsid w:val="00D70BD8"/>
    <w:rsid w:val="00D71188"/>
    <w:rsid w:val="00D71502"/>
    <w:rsid w:val="00D7289E"/>
    <w:rsid w:val="00D72B8D"/>
    <w:rsid w:val="00D73DDE"/>
    <w:rsid w:val="00D73F29"/>
    <w:rsid w:val="00D741EC"/>
    <w:rsid w:val="00D74856"/>
    <w:rsid w:val="00D766E0"/>
    <w:rsid w:val="00D80788"/>
    <w:rsid w:val="00D81971"/>
    <w:rsid w:val="00D81BF5"/>
    <w:rsid w:val="00D839C7"/>
    <w:rsid w:val="00D84A42"/>
    <w:rsid w:val="00D87E44"/>
    <w:rsid w:val="00D911D2"/>
    <w:rsid w:val="00D912C8"/>
    <w:rsid w:val="00D93C1F"/>
    <w:rsid w:val="00D94796"/>
    <w:rsid w:val="00D95DE8"/>
    <w:rsid w:val="00D962D9"/>
    <w:rsid w:val="00D96D03"/>
    <w:rsid w:val="00D97384"/>
    <w:rsid w:val="00D974FF"/>
    <w:rsid w:val="00D97AD4"/>
    <w:rsid w:val="00D97E2F"/>
    <w:rsid w:val="00DA001A"/>
    <w:rsid w:val="00DA03B5"/>
    <w:rsid w:val="00DA0665"/>
    <w:rsid w:val="00DA49EA"/>
    <w:rsid w:val="00DA5B0C"/>
    <w:rsid w:val="00DA5D27"/>
    <w:rsid w:val="00DA615B"/>
    <w:rsid w:val="00DA6191"/>
    <w:rsid w:val="00DA677C"/>
    <w:rsid w:val="00DA6C0F"/>
    <w:rsid w:val="00DA6E27"/>
    <w:rsid w:val="00DA7181"/>
    <w:rsid w:val="00DB101D"/>
    <w:rsid w:val="00DB2A2F"/>
    <w:rsid w:val="00DC1B36"/>
    <w:rsid w:val="00DC216C"/>
    <w:rsid w:val="00DC2813"/>
    <w:rsid w:val="00DC65EC"/>
    <w:rsid w:val="00DC7041"/>
    <w:rsid w:val="00DC7AB5"/>
    <w:rsid w:val="00DD07A7"/>
    <w:rsid w:val="00DD0A3C"/>
    <w:rsid w:val="00DD0E5C"/>
    <w:rsid w:val="00DD1DC7"/>
    <w:rsid w:val="00DD234E"/>
    <w:rsid w:val="00DD3075"/>
    <w:rsid w:val="00DD33A3"/>
    <w:rsid w:val="00DD3FD5"/>
    <w:rsid w:val="00DD40F8"/>
    <w:rsid w:val="00DD7173"/>
    <w:rsid w:val="00DE36B4"/>
    <w:rsid w:val="00DE4BFA"/>
    <w:rsid w:val="00DE5E09"/>
    <w:rsid w:val="00DE7FF8"/>
    <w:rsid w:val="00DF1504"/>
    <w:rsid w:val="00DF1805"/>
    <w:rsid w:val="00DF7523"/>
    <w:rsid w:val="00DF7F19"/>
    <w:rsid w:val="00E003BD"/>
    <w:rsid w:val="00E008FD"/>
    <w:rsid w:val="00E0370C"/>
    <w:rsid w:val="00E07746"/>
    <w:rsid w:val="00E10D72"/>
    <w:rsid w:val="00E1125F"/>
    <w:rsid w:val="00E11B97"/>
    <w:rsid w:val="00E12DDE"/>
    <w:rsid w:val="00E13377"/>
    <w:rsid w:val="00E13D3A"/>
    <w:rsid w:val="00E15B7D"/>
    <w:rsid w:val="00E169DF"/>
    <w:rsid w:val="00E16BBC"/>
    <w:rsid w:val="00E2085A"/>
    <w:rsid w:val="00E22185"/>
    <w:rsid w:val="00E235BA"/>
    <w:rsid w:val="00E238E4"/>
    <w:rsid w:val="00E23BA2"/>
    <w:rsid w:val="00E23C15"/>
    <w:rsid w:val="00E23C22"/>
    <w:rsid w:val="00E23D5C"/>
    <w:rsid w:val="00E24319"/>
    <w:rsid w:val="00E24844"/>
    <w:rsid w:val="00E251E9"/>
    <w:rsid w:val="00E27F1F"/>
    <w:rsid w:val="00E30FAC"/>
    <w:rsid w:val="00E31383"/>
    <w:rsid w:val="00E316AE"/>
    <w:rsid w:val="00E32544"/>
    <w:rsid w:val="00E351B5"/>
    <w:rsid w:val="00E35C83"/>
    <w:rsid w:val="00E36C15"/>
    <w:rsid w:val="00E37388"/>
    <w:rsid w:val="00E42FB7"/>
    <w:rsid w:val="00E43D35"/>
    <w:rsid w:val="00E4431B"/>
    <w:rsid w:val="00E44AED"/>
    <w:rsid w:val="00E455EF"/>
    <w:rsid w:val="00E459B2"/>
    <w:rsid w:val="00E45F1B"/>
    <w:rsid w:val="00E4668D"/>
    <w:rsid w:val="00E508DF"/>
    <w:rsid w:val="00E527EF"/>
    <w:rsid w:val="00E52D6D"/>
    <w:rsid w:val="00E54191"/>
    <w:rsid w:val="00E544F6"/>
    <w:rsid w:val="00E54EDA"/>
    <w:rsid w:val="00E60325"/>
    <w:rsid w:val="00E64310"/>
    <w:rsid w:val="00E66DDE"/>
    <w:rsid w:val="00E66F59"/>
    <w:rsid w:val="00E67AC9"/>
    <w:rsid w:val="00E70A79"/>
    <w:rsid w:val="00E71454"/>
    <w:rsid w:val="00E73776"/>
    <w:rsid w:val="00E7686C"/>
    <w:rsid w:val="00E76D7C"/>
    <w:rsid w:val="00E805A9"/>
    <w:rsid w:val="00E80927"/>
    <w:rsid w:val="00E8098D"/>
    <w:rsid w:val="00E81BA9"/>
    <w:rsid w:val="00E82CE9"/>
    <w:rsid w:val="00E831FB"/>
    <w:rsid w:val="00E853F2"/>
    <w:rsid w:val="00E877BA"/>
    <w:rsid w:val="00E90915"/>
    <w:rsid w:val="00E93998"/>
    <w:rsid w:val="00E94D99"/>
    <w:rsid w:val="00E95490"/>
    <w:rsid w:val="00E96F54"/>
    <w:rsid w:val="00EA0956"/>
    <w:rsid w:val="00EA0B82"/>
    <w:rsid w:val="00EA2663"/>
    <w:rsid w:val="00EA45C8"/>
    <w:rsid w:val="00EA7F5A"/>
    <w:rsid w:val="00EB0090"/>
    <w:rsid w:val="00EB092F"/>
    <w:rsid w:val="00EB154C"/>
    <w:rsid w:val="00EB1724"/>
    <w:rsid w:val="00EB3278"/>
    <w:rsid w:val="00EB4526"/>
    <w:rsid w:val="00EB5EDC"/>
    <w:rsid w:val="00EB61F1"/>
    <w:rsid w:val="00EC10E0"/>
    <w:rsid w:val="00EC2340"/>
    <w:rsid w:val="00EC28A1"/>
    <w:rsid w:val="00EC47AC"/>
    <w:rsid w:val="00ED135E"/>
    <w:rsid w:val="00ED2910"/>
    <w:rsid w:val="00ED4A16"/>
    <w:rsid w:val="00ED56AC"/>
    <w:rsid w:val="00ED6076"/>
    <w:rsid w:val="00ED6743"/>
    <w:rsid w:val="00EE3704"/>
    <w:rsid w:val="00EE64B6"/>
    <w:rsid w:val="00EE78D9"/>
    <w:rsid w:val="00EF49F8"/>
    <w:rsid w:val="00EF5C91"/>
    <w:rsid w:val="00EF6427"/>
    <w:rsid w:val="00EF652F"/>
    <w:rsid w:val="00EF6FDD"/>
    <w:rsid w:val="00F0105C"/>
    <w:rsid w:val="00F014B1"/>
    <w:rsid w:val="00F018D4"/>
    <w:rsid w:val="00F027A0"/>
    <w:rsid w:val="00F05FC7"/>
    <w:rsid w:val="00F075AD"/>
    <w:rsid w:val="00F076CD"/>
    <w:rsid w:val="00F0774B"/>
    <w:rsid w:val="00F07943"/>
    <w:rsid w:val="00F07F64"/>
    <w:rsid w:val="00F1146B"/>
    <w:rsid w:val="00F13DE8"/>
    <w:rsid w:val="00F13E9A"/>
    <w:rsid w:val="00F1461B"/>
    <w:rsid w:val="00F15B56"/>
    <w:rsid w:val="00F164D8"/>
    <w:rsid w:val="00F166B5"/>
    <w:rsid w:val="00F17C0F"/>
    <w:rsid w:val="00F22575"/>
    <w:rsid w:val="00F23B23"/>
    <w:rsid w:val="00F24F39"/>
    <w:rsid w:val="00F255C8"/>
    <w:rsid w:val="00F25B3E"/>
    <w:rsid w:val="00F26147"/>
    <w:rsid w:val="00F27D1F"/>
    <w:rsid w:val="00F30ACE"/>
    <w:rsid w:val="00F3119A"/>
    <w:rsid w:val="00F31652"/>
    <w:rsid w:val="00F3186A"/>
    <w:rsid w:val="00F32A8D"/>
    <w:rsid w:val="00F32DC3"/>
    <w:rsid w:val="00F332F9"/>
    <w:rsid w:val="00F34E4F"/>
    <w:rsid w:val="00F35728"/>
    <w:rsid w:val="00F35B16"/>
    <w:rsid w:val="00F35EB4"/>
    <w:rsid w:val="00F3605F"/>
    <w:rsid w:val="00F36A76"/>
    <w:rsid w:val="00F36AD7"/>
    <w:rsid w:val="00F37677"/>
    <w:rsid w:val="00F4122A"/>
    <w:rsid w:val="00F41B43"/>
    <w:rsid w:val="00F437B6"/>
    <w:rsid w:val="00F511E7"/>
    <w:rsid w:val="00F54BD3"/>
    <w:rsid w:val="00F55D49"/>
    <w:rsid w:val="00F56987"/>
    <w:rsid w:val="00F601FE"/>
    <w:rsid w:val="00F609A0"/>
    <w:rsid w:val="00F61520"/>
    <w:rsid w:val="00F621E5"/>
    <w:rsid w:val="00F62CB5"/>
    <w:rsid w:val="00F63335"/>
    <w:rsid w:val="00F64453"/>
    <w:rsid w:val="00F71886"/>
    <w:rsid w:val="00F729E3"/>
    <w:rsid w:val="00F72C51"/>
    <w:rsid w:val="00F730A9"/>
    <w:rsid w:val="00F745E7"/>
    <w:rsid w:val="00F76595"/>
    <w:rsid w:val="00F80F9F"/>
    <w:rsid w:val="00F81587"/>
    <w:rsid w:val="00F82A6E"/>
    <w:rsid w:val="00F82DE9"/>
    <w:rsid w:val="00F8334F"/>
    <w:rsid w:val="00F8341A"/>
    <w:rsid w:val="00F85FB8"/>
    <w:rsid w:val="00F87636"/>
    <w:rsid w:val="00F916E2"/>
    <w:rsid w:val="00F925C9"/>
    <w:rsid w:val="00F9331E"/>
    <w:rsid w:val="00F965F0"/>
    <w:rsid w:val="00F967B6"/>
    <w:rsid w:val="00F967DF"/>
    <w:rsid w:val="00F973CC"/>
    <w:rsid w:val="00F97A24"/>
    <w:rsid w:val="00FA0C20"/>
    <w:rsid w:val="00FA18E3"/>
    <w:rsid w:val="00FA6D80"/>
    <w:rsid w:val="00FA70E8"/>
    <w:rsid w:val="00FA7E23"/>
    <w:rsid w:val="00FB16AE"/>
    <w:rsid w:val="00FB2A53"/>
    <w:rsid w:val="00FB39C9"/>
    <w:rsid w:val="00FB5AA9"/>
    <w:rsid w:val="00FB5B1D"/>
    <w:rsid w:val="00FB6623"/>
    <w:rsid w:val="00FB6799"/>
    <w:rsid w:val="00FB6C31"/>
    <w:rsid w:val="00FC250C"/>
    <w:rsid w:val="00FC2514"/>
    <w:rsid w:val="00FC30D7"/>
    <w:rsid w:val="00FC34D0"/>
    <w:rsid w:val="00FC4A12"/>
    <w:rsid w:val="00FC6AAC"/>
    <w:rsid w:val="00FC6B02"/>
    <w:rsid w:val="00FC7477"/>
    <w:rsid w:val="00FC7BF1"/>
    <w:rsid w:val="00FD14C7"/>
    <w:rsid w:val="00FD50FB"/>
    <w:rsid w:val="00FD73CF"/>
    <w:rsid w:val="00FD7596"/>
    <w:rsid w:val="00FD7D45"/>
    <w:rsid w:val="00FD7EA5"/>
    <w:rsid w:val="00FE1BD7"/>
    <w:rsid w:val="00FE46DA"/>
    <w:rsid w:val="00FE47CE"/>
    <w:rsid w:val="00FE4B78"/>
    <w:rsid w:val="00FE4D94"/>
    <w:rsid w:val="00FE7435"/>
    <w:rsid w:val="00FF016C"/>
    <w:rsid w:val="00FF0224"/>
    <w:rsid w:val="00FF16F7"/>
    <w:rsid w:val="00FF4635"/>
    <w:rsid w:val="00FF7239"/>
    <w:rsid w:val="017875B8"/>
    <w:rsid w:val="018E6AAB"/>
    <w:rsid w:val="01B21234"/>
    <w:rsid w:val="02116D6A"/>
    <w:rsid w:val="02261B5E"/>
    <w:rsid w:val="022976E0"/>
    <w:rsid w:val="02683323"/>
    <w:rsid w:val="02C31B82"/>
    <w:rsid w:val="02CD511A"/>
    <w:rsid w:val="02E73EC0"/>
    <w:rsid w:val="02FC1DDA"/>
    <w:rsid w:val="02FC46A7"/>
    <w:rsid w:val="032258E3"/>
    <w:rsid w:val="03442F63"/>
    <w:rsid w:val="0352591F"/>
    <w:rsid w:val="03543B08"/>
    <w:rsid w:val="03623BA5"/>
    <w:rsid w:val="036A5165"/>
    <w:rsid w:val="03742584"/>
    <w:rsid w:val="0390639A"/>
    <w:rsid w:val="03F020F3"/>
    <w:rsid w:val="04331A22"/>
    <w:rsid w:val="04594638"/>
    <w:rsid w:val="04733F6C"/>
    <w:rsid w:val="04BE0075"/>
    <w:rsid w:val="04F12037"/>
    <w:rsid w:val="04FB7844"/>
    <w:rsid w:val="05182A8A"/>
    <w:rsid w:val="053023CE"/>
    <w:rsid w:val="05696BBA"/>
    <w:rsid w:val="05805CAD"/>
    <w:rsid w:val="05813B1F"/>
    <w:rsid w:val="05EC4CC6"/>
    <w:rsid w:val="066B5CCB"/>
    <w:rsid w:val="074F059D"/>
    <w:rsid w:val="077A2996"/>
    <w:rsid w:val="07BB0F81"/>
    <w:rsid w:val="07EF7DD3"/>
    <w:rsid w:val="08124591"/>
    <w:rsid w:val="082766A7"/>
    <w:rsid w:val="083049EA"/>
    <w:rsid w:val="089962F6"/>
    <w:rsid w:val="08A073E0"/>
    <w:rsid w:val="08FE782C"/>
    <w:rsid w:val="090B446F"/>
    <w:rsid w:val="09101424"/>
    <w:rsid w:val="09381139"/>
    <w:rsid w:val="096A702E"/>
    <w:rsid w:val="097F0A0B"/>
    <w:rsid w:val="098074CF"/>
    <w:rsid w:val="0A0A0D6A"/>
    <w:rsid w:val="0A1D3680"/>
    <w:rsid w:val="0A29244B"/>
    <w:rsid w:val="0A3974C0"/>
    <w:rsid w:val="0A541351"/>
    <w:rsid w:val="0A5E1FAE"/>
    <w:rsid w:val="0A7C47EC"/>
    <w:rsid w:val="0ACE7EA3"/>
    <w:rsid w:val="0B075DA0"/>
    <w:rsid w:val="0B1F420C"/>
    <w:rsid w:val="0B410025"/>
    <w:rsid w:val="0B4C6ADA"/>
    <w:rsid w:val="0B8A2354"/>
    <w:rsid w:val="0B954986"/>
    <w:rsid w:val="0B9D70E5"/>
    <w:rsid w:val="0BD148C8"/>
    <w:rsid w:val="0BEC1075"/>
    <w:rsid w:val="0C345C5D"/>
    <w:rsid w:val="0C4147F7"/>
    <w:rsid w:val="0C48668C"/>
    <w:rsid w:val="0C5F6229"/>
    <w:rsid w:val="0C62695D"/>
    <w:rsid w:val="0CE27916"/>
    <w:rsid w:val="0D04280C"/>
    <w:rsid w:val="0D122E63"/>
    <w:rsid w:val="0D177856"/>
    <w:rsid w:val="0D321554"/>
    <w:rsid w:val="0D3346DE"/>
    <w:rsid w:val="0D800561"/>
    <w:rsid w:val="0DA10D0E"/>
    <w:rsid w:val="0DB43531"/>
    <w:rsid w:val="0DCC27BC"/>
    <w:rsid w:val="0DE30D3E"/>
    <w:rsid w:val="0DE6534B"/>
    <w:rsid w:val="0E827FBF"/>
    <w:rsid w:val="0E953AB5"/>
    <w:rsid w:val="0EAE40CE"/>
    <w:rsid w:val="0EE05F30"/>
    <w:rsid w:val="0EFD6A37"/>
    <w:rsid w:val="0F066F03"/>
    <w:rsid w:val="0F0A3E18"/>
    <w:rsid w:val="0F103190"/>
    <w:rsid w:val="0F6B6119"/>
    <w:rsid w:val="0F8722C5"/>
    <w:rsid w:val="0FAE55BC"/>
    <w:rsid w:val="0FC47C44"/>
    <w:rsid w:val="0FF419B0"/>
    <w:rsid w:val="0FFC53E7"/>
    <w:rsid w:val="10012247"/>
    <w:rsid w:val="105163F2"/>
    <w:rsid w:val="10BB33AB"/>
    <w:rsid w:val="110918AB"/>
    <w:rsid w:val="113F01FC"/>
    <w:rsid w:val="115D5194"/>
    <w:rsid w:val="116272A0"/>
    <w:rsid w:val="11AB62ED"/>
    <w:rsid w:val="12083713"/>
    <w:rsid w:val="120D4AF7"/>
    <w:rsid w:val="123B61FD"/>
    <w:rsid w:val="12766D94"/>
    <w:rsid w:val="12A12440"/>
    <w:rsid w:val="12DE08AC"/>
    <w:rsid w:val="12EC1E15"/>
    <w:rsid w:val="139C183F"/>
    <w:rsid w:val="13F617A7"/>
    <w:rsid w:val="13F8386C"/>
    <w:rsid w:val="14042531"/>
    <w:rsid w:val="14527DA8"/>
    <w:rsid w:val="146B0A25"/>
    <w:rsid w:val="14716ECD"/>
    <w:rsid w:val="1486120C"/>
    <w:rsid w:val="149466CE"/>
    <w:rsid w:val="14A64411"/>
    <w:rsid w:val="1513734D"/>
    <w:rsid w:val="151713F7"/>
    <w:rsid w:val="15AE5D8C"/>
    <w:rsid w:val="15CC05BF"/>
    <w:rsid w:val="16060C6B"/>
    <w:rsid w:val="16084B30"/>
    <w:rsid w:val="16125031"/>
    <w:rsid w:val="165C5D10"/>
    <w:rsid w:val="16670475"/>
    <w:rsid w:val="1682695F"/>
    <w:rsid w:val="16B43FEF"/>
    <w:rsid w:val="16BB7F02"/>
    <w:rsid w:val="16F167B6"/>
    <w:rsid w:val="17606960"/>
    <w:rsid w:val="17663F3F"/>
    <w:rsid w:val="177B2F1E"/>
    <w:rsid w:val="178C3588"/>
    <w:rsid w:val="17CC2D59"/>
    <w:rsid w:val="17D04394"/>
    <w:rsid w:val="17DF2AB8"/>
    <w:rsid w:val="180809F6"/>
    <w:rsid w:val="18137D24"/>
    <w:rsid w:val="189C3241"/>
    <w:rsid w:val="18E67DA9"/>
    <w:rsid w:val="192A34F9"/>
    <w:rsid w:val="193A2AC2"/>
    <w:rsid w:val="199F2018"/>
    <w:rsid w:val="19AA60BB"/>
    <w:rsid w:val="19AF6D95"/>
    <w:rsid w:val="19D10C3A"/>
    <w:rsid w:val="1A256C1F"/>
    <w:rsid w:val="1A3B555D"/>
    <w:rsid w:val="1A4732B7"/>
    <w:rsid w:val="1A4E23BE"/>
    <w:rsid w:val="1AB0686D"/>
    <w:rsid w:val="1ABF29D7"/>
    <w:rsid w:val="1ADE572C"/>
    <w:rsid w:val="1B151BE3"/>
    <w:rsid w:val="1B2217A3"/>
    <w:rsid w:val="1B34337C"/>
    <w:rsid w:val="1B3D6038"/>
    <w:rsid w:val="1B690FEE"/>
    <w:rsid w:val="1B77379E"/>
    <w:rsid w:val="1BEC0389"/>
    <w:rsid w:val="1C507B02"/>
    <w:rsid w:val="1C970297"/>
    <w:rsid w:val="1D1D15ED"/>
    <w:rsid w:val="1D223C19"/>
    <w:rsid w:val="1D3A1FD8"/>
    <w:rsid w:val="1D7D5AD7"/>
    <w:rsid w:val="1D8753FA"/>
    <w:rsid w:val="1D8A60BC"/>
    <w:rsid w:val="1DB579E3"/>
    <w:rsid w:val="1DBD1D18"/>
    <w:rsid w:val="1DC84AD6"/>
    <w:rsid w:val="1DD2288D"/>
    <w:rsid w:val="1E6C25DF"/>
    <w:rsid w:val="1E7828DC"/>
    <w:rsid w:val="1E9A20FC"/>
    <w:rsid w:val="1ED21570"/>
    <w:rsid w:val="1EE6312D"/>
    <w:rsid w:val="1EEC1C7A"/>
    <w:rsid w:val="1F0559BE"/>
    <w:rsid w:val="1F4F54E5"/>
    <w:rsid w:val="1F613F3D"/>
    <w:rsid w:val="1F62215B"/>
    <w:rsid w:val="1F700C60"/>
    <w:rsid w:val="1F7C3B5B"/>
    <w:rsid w:val="1FB05326"/>
    <w:rsid w:val="1FB90C74"/>
    <w:rsid w:val="20286924"/>
    <w:rsid w:val="202E7D8B"/>
    <w:rsid w:val="20462310"/>
    <w:rsid w:val="204B2C2A"/>
    <w:rsid w:val="207C5751"/>
    <w:rsid w:val="20A21E92"/>
    <w:rsid w:val="20A7185C"/>
    <w:rsid w:val="20C359E2"/>
    <w:rsid w:val="20CD281D"/>
    <w:rsid w:val="20EF5FD3"/>
    <w:rsid w:val="210B156D"/>
    <w:rsid w:val="210D63CA"/>
    <w:rsid w:val="211C35D3"/>
    <w:rsid w:val="21210833"/>
    <w:rsid w:val="21235005"/>
    <w:rsid w:val="214649AB"/>
    <w:rsid w:val="21504F11"/>
    <w:rsid w:val="21B36B39"/>
    <w:rsid w:val="21BA0DE4"/>
    <w:rsid w:val="21C048A0"/>
    <w:rsid w:val="22006CF9"/>
    <w:rsid w:val="225D22FA"/>
    <w:rsid w:val="22644859"/>
    <w:rsid w:val="226D5D67"/>
    <w:rsid w:val="22736EB5"/>
    <w:rsid w:val="228F5FEA"/>
    <w:rsid w:val="229701F9"/>
    <w:rsid w:val="22C75826"/>
    <w:rsid w:val="22D27F33"/>
    <w:rsid w:val="22DD7BDB"/>
    <w:rsid w:val="236C6451"/>
    <w:rsid w:val="23775858"/>
    <w:rsid w:val="23A267ED"/>
    <w:rsid w:val="23E11B19"/>
    <w:rsid w:val="23F57F69"/>
    <w:rsid w:val="240560ED"/>
    <w:rsid w:val="24074860"/>
    <w:rsid w:val="24133C42"/>
    <w:rsid w:val="24144634"/>
    <w:rsid w:val="242116D3"/>
    <w:rsid w:val="2424588A"/>
    <w:rsid w:val="24454E90"/>
    <w:rsid w:val="247F1A15"/>
    <w:rsid w:val="2494635D"/>
    <w:rsid w:val="249D3CF3"/>
    <w:rsid w:val="24E950BA"/>
    <w:rsid w:val="24EA00CC"/>
    <w:rsid w:val="251407A6"/>
    <w:rsid w:val="25446C9F"/>
    <w:rsid w:val="254D1AC1"/>
    <w:rsid w:val="256D019E"/>
    <w:rsid w:val="25AD1EF1"/>
    <w:rsid w:val="25BD43C9"/>
    <w:rsid w:val="25CC2FAC"/>
    <w:rsid w:val="25E07901"/>
    <w:rsid w:val="25ED1950"/>
    <w:rsid w:val="261B6E84"/>
    <w:rsid w:val="26571D73"/>
    <w:rsid w:val="26616602"/>
    <w:rsid w:val="267F3368"/>
    <w:rsid w:val="268B4D5A"/>
    <w:rsid w:val="26AE7A20"/>
    <w:rsid w:val="27083551"/>
    <w:rsid w:val="27980AD0"/>
    <w:rsid w:val="280800B8"/>
    <w:rsid w:val="28791C92"/>
    <w:rsid w:val="28850E33"/>
    <w:rsid w:val="28860A40"/>
    <w:rsid w:val="28F0566D"/>
    <w:rsid w:val="28F070FF"/>
    <w:rsid w:val="28F10EAE"/>
    <w:rsid w:val="28F3687D"/>
    <w:rsid w:val="28FC2377"/>
    <w:rsid w:val="28FE2098"/>
    <w:rsid w:val="2909602D"/>
    <w:rsid w:val="295A2C3C"/>
    <w:rsid w:val="29640017"/>
    <w:rsid w:val="29725C58"/>
    <w:rsid w:val="298F4920"/>
    <w:rsid w:val="299402D8"/>
    <w:rsid w:val="299756B5"/>
    <w:rsid w:val="299F075B"/>
    <w:rsid w:val="29A7369C"/>
    <w:rsid w:val="29C57BF6"/>
    <w:rsid w:val="29CA39C6"/>
    <w:rsid w:val="29EA31D2"/>
    <w:rsid w:val="2A06031F"/>
    <w:rsid w:val="2A160917"/>
    <w:rsid w:val="2A4C3159"/>
    <w:rsid w:val="2A50233B"/>
    <w:rsid w:val="2A625618"/>
    <w:rsid w:val="2A6C1D98"/>
    <w:rsid w:val="2A6C4925"/>
    <w:rsid w:val="2AA31608"/>
    <w:rsid w:val="2B1A39AF"/>
    <w:rsid w:val="2B305B1F"/>
    <w:rsid w:val="2B465E43"/>
    <w:rsid w:val="2B497EB6"/>
    <w:rsid w:val="2B741D4A"/>
    <w:rsid w:val="2B7B46F4"/>
    <w:rsid w:val="2BA2146A"/>
    <w:rsid w:val="2BB570B2"/>
    <w:rsid w:val="2BD24C4D"/>
    <w:rsid w:val="2BDB6C64"/>
    <w:rsid w:val="2BEB1DE9"/>
    <w:rsid w:val="2CA03837"/>
    <w:rsid w:val="2CBC034F"/>
    <w:rsid w:val="2CD031D3"/>
    <w:rsid w:val="2D146635"/>
    <w:rsid w:val="2D346FE7"/>
    <w:rsid w:val="2D4B40CB"/>
    <w:rsid w:val="2D541E2A"/>
    <w:rsid w:val="2D6366F2"/>
    <w:rsid w:val="2D6E0581"/>
    <w:rsid w:val="2D7853A6"/>
    <w:rsid w:val="2E286B08"/>
    <w:rsid w:val="2E406FFD"/>
    <w:rsid w:val="2E5500BB"/>
    <w:rsid w:val="2E5924B8"/>
    <w:rsid w:val="2E943B65"/>
    <w:rsid w:val="2EB14451"/>
    <w:rsid w:val="2F0A7CE7"/>
    <w:rsid w:val="2F2442BF"/>
    <w:rsid w:val="2F837A4C"/>
    <w:rsid w:val="2F8B0825"/>
    <w:rsid w:val="2F9E43FB"/>
    <w:rsid w:val="2FD5450F"/>
    <w:rsid w:val="2FD76F58"/>
    <w:rsid w:val="2FDE6590"/>
    <w:rsid w:val="2FEE49AD"/>
    <w:rsid w:val="300562DB"/>
    <w:rsid w:val="3011493E"/>
    <w:rsid w:val="30525EE4"/>
    <w:rsid w:val="306F7BD6"/>
    <w:rsid w:val="30701A25"/>
    <w:rsid w:val="30806446"/>
    <w:rsid w:val="308D3CA9"/>
    <w:rsid w:val="30C10451"/>
    <w:rsid w:val="30DE545D"/>
    <w:rsid w:val="31553A36"/>
    <w:rsid w:val="315E5EF3"/>
    <w:rsid w:val="31681E86"/>
    <w:rsid w:val="3168763C"/>
    <w:rsid w:val="31AE0A75"/>
    <w:rsid w:val="31B724DE"/>
    <w:rsid w:val="31BB0FC1"/>
    <w:rsid w:val="31CF7974"/>
    <w:rsid w:val="31DB0513"/>
    <w:rsid w:val="31F045BA"/>
    <w:rsid w:val="324315FB"/>
    <w:rsid w:val="32743B67"/>
    <w:rsid w:val="327F76DE"/>
    <w:rsid w:val="32853A15"/>
    <w:rsid w:val="32A4525F"/>
    <w:rsid w:val="32F767FC"/>
    <w:rsid w:val="32FF3618"/>
    <w:rsid w:val="33476206"/>
    <w:rsid w:val="337E4226"/>
    <w:rsid w:val="338B3895"/>
    <w:rsid w:val="33CD2F4C"/>
    <w:rsid w:val="34021F43"/>
    <w:rsid w:val="34166A12"/>
    <w:rsid w:val="342C2B24"/>
    <w:rsid w:val="34607072"/>
    <w:rsid w:val="34CB6BC9"/>
    <w:rsid w:val="34D20605"/>
    <w:rsid w:val="34D30F75"/>
    <w:rsid w:val="34D31A6D"/>
    <w:rsid w:val="34E41200"/>
    <w:rsid w:val="355D1E5B"/>
    <w:rsid w:val="356C64B0"/>
    <w:rsid w:val="35CA3C5A"/>
    <w:rsid w:val="35DE11F8"/>
    <w:rsid w:val="35EF6063"/>
    <w:rsid w:val="362902B9"/>
    <w:rsid w:val="362A141E"/>
    <w:rsid w:val="36944D68"/>
    <w:rsid w:val="369D07B7"/>
    <w:rsid w:val="36A8418E"/>
    <w:rsid w:val="36CD61F1"/>
    <w:rsid w:val="36DC2D89"/>
    <w:rsid w:val="36EE2C96"/>
    <w:rsid w:val="37074A98"/>
    <w:rsid w:val="3752241F"/>
    <w:rsid w:val="37951068"/>
    <w:rsid w:val="37CB4212"/>
    <w:rsid w:val="380D566D"/>
    <w:rsid w:val="38213953"/>
    <w:rsid w:val="38557057"/>
    <w:rsid w:val="387615F1"/>
    <w:rsid w:val="38AB7C3E"/>
    <w:rsid w:val="38C82BD9"/>
    <w:rsid w:val="38FE634C"/>
    <w:rsid w:val="393954D1"/>
    <w:rsid w:val="393A1234"/>
    <w:rsid w:val="39421864"/>
    <w:rsid w:val="397D3044"/>
    <w:rsid w:val="39B8490B"/>
    <w:rsid w:val="39C3314D"/>
    <w:rsid w:val="39EB7693"/>
    <w:rsid w:val="3A3A1775"/>
    <w:rsid w:val="3A5C5A56"/>
    <w:rsid w:val="3A5F49FA"/>
    <w:rsid w:val="3A775CE5"/>
    <w:rsid w:val="3A795EB0"/>
    <w:rsid w:val="3A7A05B8"/>
    <w:rsid w:val="3AB158DC"/>
    <w:rsid w:val="3AC807AC"/>
    <w:rsid w:val="3ACF5AE4"/>
    <w:rsid w:val="3AF46337"/>
    <w:rsid w:val="3B10021E"/>
    <w:rsid w:val="3B401390"/>
    <w:rsid w:val="3B692D06"/>
    <w:rsid w:val="3B774F06"/>
    <w:rsid w:val="3B951C63"/>
    <w:rsid w:val="3BE45D68"/>
    <w:rsid w:val="3C275088"/>
    <w:rsid w:val="3C3E2F61"/>
    <w:rsid w:val="3C4C04CE"/>
    <w:rsid w:val="3C6D73A0"/>
    <w:rsid w:val="3CC677BB"/>
    <w:rsid w:val="3CFB6AC5"/>
    <w:rsid w:val="3DB3064F"/>
    <w:rsid w:val="3DD117E5"/>
    <w:rsid w:val="3E0F7723"/>
    <w:rsid w:val="3E175A62"/>
    <w:rsid w:val="3E54255D"/>
    <w:rsid w:val="3E641245"/>
    <w:rsid w:val="3E794D73"/>
    <w:rsid w:val="3E906743"/>
    <w:rsid w:val="3EC828C4"/>
    <w:rsid w:val="3ECE1604"/>
    <w:rsid w:val="3ED91840"/>
    <w:rsid w:val="3F745D73"/>
    <w:rsid w:val="3FB20BFF"/>
    <w:rsid w:val="3FBA3F20"/>
    <w:rsid w:val="3FE45BCB"/>
    <w:rsid w:val="3FF6421D"/>
    <w:rsid w:val="3FFA1DB9"/>
    <w:rsid w:val="403D352D"/>
    <w:rsid w:val="40487038"/>
    <w:rsid w:val="40771B36"/>
    <w:rsid w:val="40845CC2"/>
    <w:rsid w:val="408C6D03"/>
    <w:rsid w:val="40B23015"/>
    <w:rsid w:val="40C46581"/>
    <w:rsid w:val="40F66719"/>
    <w:rsid w:val="41072DEF"/>
    <w:rsid w:val="41557D0E"/>
    <w:rsid w:val="417846D6"/>
    <w:rsid w:val="41916E73"/>
    <w:rsid w:val="41A07546"/>
    <w:rsid w:val="420F706C"/>
    <w:rsid w:val="42203AA0"/>
    <w:rsid w:val="423A6DB8"/>
    <w:rsid w:val="425D1EA8"/>
    <w:rsid w:val="429278C8"/>
    <w:rsid w:val="42A15B87"/>
    <w:rsid w:val="42C2667A"/>
    <w:rsid w:val="42F241AC"/>
    <w:rsid w:val="43121783"/>
    <w:rsid w:val="432043CF"/>
    <w:rsid w:val="43403A87"/>
    <w:rsid w:val="43616DE3"/>
    <w:rsid w:val="43705D26"/>
    <w:rsid w:val="437B6136"/>
    <w:rsid w:val="43BC68E3"/>
    <w:rsid w:val="43C63AEA"/>
    <w:rsid w:val="444E6CED"/>
    <w:rsid w:val="448E51D1"/>
    <w:rsid w:val="45006BF3"/>
    <w:rsid w:val="451B25A2"/>
    <w:rsid w:val="45562C6D"/>
    <w:rsid w:val="459E0AE6"/>
    <w:rsid w:val="45B03ABB"/>
    <w:rsid w:val="45F82FD2"/>
    <w:rsid w:val="45FE713F"/>
    <w:rsid w:val="46251BDF"/>
    <w:rsid w:val="463E54FB"/>
    <w:rsid w:val="46473353"/>
    <w:rsid w:val="46745F49"/>
    <w:rsid w:val="46933495"/>
    <w:rsid w:val="469A6CD9"/>
    <w:rsid w:val="47715185"/>
    <w:rsid w:val="47802B10"/>
    <w:rsid w:val="47941C85"/>
    <w:rsid w:val="479A09A9"/>
    <w:rsid w:val="47E84901"/>
    <w:rsid w:val="48027041"/>
    <w:rsid w:val="485B70B0"/>
    <w:rsid w:val="48725487"/>
    <w:rsid w:val="489456FF"/>
    <w:rsid w:val="489F3899"/>
    <w:rsid w:val="48A87A38"/>
    <w:rsid w:val="48AD3356"/>
    <w:rsid w:val="48BE096F"/>
    <w:rsid w:val="48C41256"/>
    <w:rsid w:val="48DB0A7E"/>
    <w:rsid w:val="48FF7E8E"/>
    <w:rsid w:val="492C2817"/>
    <w:rsid w:val="49571DEB"/>
    <w:rsid w:val="49601137"/>
    <w:rsid w:val="49D2423C"/>
    <w:rsid w:val="49EF506D"/>
    <w:rsid w:val="49FD5D49"/>
    <w:rsid w:val="4A02310C"/>
    <w:rsid w:val="4A1677EB"/>
    <w:rsid w:val="4AA25E6D"/>
    <w:rsid w:val="4AD95CA1"/>
    <w:rsid w:val="4AE8308B"/>
    <w:rsid w:val="4AFE062C"/>
    <w:rsid w:val="4B155B0E"/>
    <w:rsid w:val="4B2A091B"/>
    <w:rsid w:val="4B355817"/>
    <w:rsid w:val="4B514A26"/>
    <w:rsid w:val="4B5722BA"/>
    <w:rsid w:val="4B6B5C96"/>
    <w:rsid w:val="4B6D02BA"/>
    <w:rsid w:val="4B76654F"/>
    <w:rsid w:val="4BA203A0"/>
    <w:rsid w:val="4BBC2DF1"/>
    <w:rsid w:val="4BE35869"/>
    <w:rsid w:val="4C1706F0"/>
    <w:rsid w:val="4C861240"/>
    <w:rsid w:val="4C8E1988"/>
    <w:rsid w:val="4C944912"/>
    <w:rsid w:val="4CB2619D"/>
    <w:rsid w:val="4CF6126C"/>
    <w:rsid w:val="4CF66797"/>
    <w:rsid w:val="4D067472"/>
    <w:rsid w:val="4D0905EE"/>
    <w:rsid w:val="4D0F700A"/>
    <w:rsid w:val="4D3627F6"/>
    <w:rsid w:val="4D414F43"/>
    <w:rsid w:val="4D5611BA"/>
    <w:rsid w:val="4D5A22AF"/>
    <w:rsid w:val="4D672C48"/>
    <w:rsid w:val="4D720545"/>
    <w:rsid w:val="4DAF79E7"/>
    <w:rsid w:val="4DB3044F"/>
    <w:rsid w:val="4DBF3ACD"/>
    <w:rsid w:val="4E041C8D"/>
    <w:rsid w:val="4E0E09CE"/>
    <w:rsid w:val="4EA056A9"/>
    <w:rsid w:val="4EB70B85"/>
    <w:rsid w:val="4EC619C4"/>
    <w:rsid w:val="4EF713CD"/>
    <w:rsid w:val="4F096A6D"/>
    <w:rsid w:val="4F122423"/>
    <w:rsid w:val="4F1D0FF8"/>
    <w:rsid w:val="4F2346E1"/>
    <w:rsid w:val="4F2E3F7C"/>
    <w:rsid w:val="4F877231"/>
    <w:rsid w:val="4F8A1332"/>
    <w:rsid w:val="4FA41C56"/>
    <w:rsid w:val="4FBE6B10"/>
    <w:rsid w:val="4FDE7E85"/>
    <w:rsid w:val="4FEB08B0"/>
    <w:rsid w:val="4FF54B1E"/>
    <w:rsid w:val="501D2273"/>
    <w:rsid w:val="50632F24"/>
    <w:rsid w:val="50683213"/>
    <w:rsid w:val="50B631BE"/>
    <w:rsid w:val="510E100C"/>
    <w:rsid w:val="513C4CEF"/>
    <w:rsid w:val="51485DFA"/>
    <w:rsid w:val="514D4BE8"/>
    <w:rsid w:val="51517A8F"/>
    <w:rsid w:val="51785DEA"/>
    <w:rsid w:val="51AB667D"/>
    <w:rsid w:val="51B0576F"/>
    <w:rsid w:val="51D916D7"/>
    <w:rsid w:val="51DF6158"/>
    <w:rsid w:val="51E32AE0"/>
    <w:rsid w:val="51F61669"/>
    <w:rsid w:val="51F75B6F"/>
    <w:rsid w:val="51FE7A2A"/>
    <w:rsid w:val="52173073"/>
    <w:rsid w:val="52327A39"/>
    <w:rsid w:val="524C60A5"/>
    <w:rsid w:val="525667C2"/>
    <w:rsid w:val="52C20AC6"/>
    <w:rsid w:val="52EF4A23"/>
    <w:rsid w:val="532D47A6"/>
    <w:rsid w:val="534F3FE0"/>
    <w:rsid w:val="53D84646"/>
    <w:rsid w:val="5405367C"/>
    <w:rsid w:val="54332267"/>
    <w:rsid w:val="54374CF6"/>
    <w:rsid w:val="543D18C5"/>
    <w:rsid w:val="5442370E"/>
    <w:rsid w:val="544C4D9A"/>
    <w:rsid w:val="54533B5A"/>
    <w:rsid w:val="545A326C"/>
    <w:rsid w:val="54722652"/>
    <w:rsid w:val="548F4C2E"/>
    <w:rsid w:val="54983C81"/>
    <w:rsid w:val="549C623C"/>
    <w:rsid w:val="549E739B"/>
    <w:rsid w:val="54D14FDF"/>
    <w:rsid w:val="555000D4"/>
    <w:rsid w:val="556B43C9"/>
    <w:rsid w:val="5584150A"/>
    <w:rsid w:val="558C5D9E"/>
    <w:rsid w:val="55DC664D"/>
    <w:rsid w:val="55F21429"/>
    <w:rsid w:val="56147ED1"/>
    <w:rsid w:val="56BB26FD"/>
    <w:rsid w:val="56CB662A"/>
    <w:rsid w:val="56DC2F3C"/>
    <w:rsid w:val="573B2146"/>
    <w:rsid w:val="578137B9"/>
    <w:rsid w:val="57961D00"/>
    <w:rsid w:val="57A57FA1"/>
    <w:rsid w:val="57AF1607"/>
    <w:rsid w:val="57F136D5"/>
    <w:rsid w:val="58140BA7"/>
    <w:rsid w:val="58197697"/>
    <w:rsid w:val="58425209"/>
    <w:rsid w:val="58606D73"/>
    <w:rsid w:val="58653D04"/>
    <w:rsid w:val="586B18A3"/>
    <w:rsid w:val="58782077"/>
    <w:rsid w:val="589B3367"/>
    <w:rsid w:val="58E20AC2"/>
    <w:rsid w:val="58EE0B5E"/>
    <w:rsid w:val="58F05B12"/>
    <w:rsid w:val="590F4266"/>
    <w:rsid w:val="592538D3"/>
    <w:rsid w:val="595341F6"/>
    <w:rsid w:val="5978399D"/>
    <w:rsid w:val="597C07A9"/>
    <w:rsid w:val="59AB1C5E"/>
    <w:rsid w:val="59BC359F"/>
    <w:rsid w:val="5A0D6F37"/>
    <w:rsid w:val="5A2E7971"/>
    <w:rsid w:val="5A38689C"/>
    <w:rsid w:val="5A50567B"/>
    <w:rsid w:val="5AB61704"/>
    <w:rsid w:val="5ABA2240"/>
    <w:rsid w:val="5AD1720B"/>
    <w:rsid w:val="5AE827EA"/>
    <w:rsid w:val="5AF767AC"/>
    <w:rsid w:val="5AFA6539"/>
    <w:rsid w:val="5B700676"/>
    <w:rsid w:val="5B821C7D"/>
    <w:rsid w:val="5B8A32EF"/>
    <w:rsid w:val="5BA0624C"/>
    <w:rsid w:val="5BAA262B"/>
    <w:rsid w:val="5BC22908"/>
    <w:rsid w:val="5BDE32B3"/>
    <w:rsid w:val="5C1A7772"/>
    <w:rsid w:val="5C204D47"/>
    <w:rsid w:val="5C2A530C"/>
    <w:rsid w:val="5C335AB8"/>
    <w:rsid w:val="5C3F7E9C"/>
    <w:rsid w:val="5C49139B"/>
    <w:rsid w:val="5C8B6A6D"/>
    <w:rsid w:val="5CAE592A"/>
    <w:rsid w:val="5CAF7795"/>
    <w:rsid w:val="5CC535C2"/>
    <w:rsid w:val="5CCA744B"/>
    <w:rsid w:val="5CDA4640"/>
    <w:rsid w:val="5CE95EDD"/>
    <w:rsid w:val="5D1B552C"/>
    <w:rsid w:val="5D710E63"/>
    <w:rsid w:val="5D8368E0"/>
    <w:rsid w:val="5DA44F0C"/>
    <w:rsid w:val="5DD24187"/>
    <w:rsid w:val="5DD75BC1"/>
    <w:rsid w:val="5DF9639D"/>
    <w:rsid w:val="5E0D5482"/>
    <w:rsid w:val="5E1A1566"/>
    <w:rsid w:val="5E5B7777"/>
    <w:rsid w:val="5E762D5A"/>
    <w:rsid w:val="5E7F6CC1"/>
    <w:rsid w:val="5E8662EE"/>
    <w:rsid w:val="5E9B618F"/>
    <w:rsid w:val="5EFC66AF"/>
    <w:rsid w:val="5F217668"/>
    <w:rsid w:val="5F5D2E4C"/>
    <w:rsid w:val="5F8F395A"/>
    <w:rsid w:val="5FD103FC"/>
    <w:rsid w:val="5FD94448"/>
    <w:rsid w:val="5FDD02DC"/>
    <w:rsid w:val="6039232E"/>
    <w:rsid w:val="604638E0"/>
    <w:rsid w:val="60493C22"/>
    <w:rsid w:val="60714D8A"/>
    <w:rsid w:val="60AC441A"/>
    <w:rsid w:val="60AF2656"/>
    <w:rsid w:val="60BD5056"/>
    <w:rsid w:val="60DC1509"/>
    <w:rsid w:val="61117DCE"/>
    <w:rsid w:val="614E01AC"/>
    <w:rsid w:val="617900F9"/>
    <w:rsid w:val="61856EA7"/>
    <w:rsid w:val="618D4CCF"/>
    <w:rsid w:val="61C3168D"/>
    <w:rsid w:val="623F3850"/>
    <w:rsid w:val="6240538D"/>
    <w:rsid w:val="62455932"/>
    <w:rsid w:val="624E4921"/>
    <w:rsid w:val="6270764B"/>
    <w:rsid w:val="627F66EE"/>
    <w:rsid w:val="628766CD"/>
    <w:rsid w:val="62910899"/>
    <w:rsid w:val="62C274C3"/>
    <w:rsid w:val="62F515A9"/>
    <w:rsid w:val="63275E87"/>
    <w:rsid w:val="63332B2D"/>
    <w:rsid w:val="63344581"/>
    <w:rsid w:val="636447A9"/>
    <w:rsid w:val="63833AB2"/>
    <w:rsid w:val="63A20716"/>
    <w:rsid w:val="63A2535F"/>
    <w:rsid w:val="63B83A85"/>
    <w:rsid w:val="63CA088E"/>
    <w:rsid w:val="64362234"/>
    <w:rsid w:val="643904FB"/>
    <w:rsid w:val="64802C7A"/>
    <w:rsid w:val="650165B4"/>
    <w:rsid w:val="65327AEB"/>
    <w:rsid w:val="653C41ED"/>
    <w:rsid w:val="65CF76C7"/>
    <w:rsid w:val="65F10B2A"/>
    <w:rsid w:val="662F5919"/>
    <w:rsid w:val="66330A91"/>
    <w:rsid w:val="66552943"/>
    <w:rsid w:val="665910E9"/>
    <w:rsid w:val="6664570A"/>
    <w:rsid w:val="66665F1F"/>
    <w:rsid w:val="666C694A"/>
    <w:rsid w:val="66CF417E"/>
    <w:rsid w:val="66DD6333"/>
    <w:rsid w:val="67195E8F"/>
    <w:rsid w:val="67354D97"/>
    <w:rsid w:val="67390CF6"/>
    <w:rsid w:val="67527731"/>
    <w:rsid w:val="676C4141"/>
    <w:rsid w:val="676E4DE6"/>
    <w:rsid w:val="677160F5"/>
    <w:rsid w:val="677F24EB"/>
    <w:rsid w:val="67856A56"/>
    <w:rsid w:val="67965FAB"/>
    <w:rsid w:val="67BE0620"/>
    <w:rsid w:val="67D11CF6"/>
    <w:rsid w:val="67F528CC"/>
    <w:rsid w:val="680824D2"/>
    <w:rsid w:val="6833282B"/>
    <w:rsid w:val="687044E2"/>
    <w:rsid w:val="68C46DD6"/>
    <w:rsid w:val="68EA0A1D"/>
    <w:rsid w:val="692D4D0F"/>
    <w:rsid w:val="693B2076"/>
    <w:rsid w:val="694D2CB2"/>
    <w:rsid w:val="697702A5"/>
    <w:rsid w:val="698349D3"/>
    <w:rsid w:val="69A007E3"/>
    <w:rsid w:val="69BF7EAA"/>
    <w:rsid w:val="6A0347C0"/>
    <w:rsid w:val="6A0C4BCD"/>
    <w:rsid w:val="6A117D05"/>
    <w:rsid w:val="6A513DA8"/>
    <w:rsid w:val="6A59784D"/>
    <w:rsid w:val="6A905324"/>
    <w:rsid w:val="6AEA2665"/>
    <w:rsid w:val="6B223C5F"/>
    <w:rsid w:val="6B68041F"/>
    <w:rsid w:val="6BD97F0E"/>
    <w:rsid w:val="6BFD0A61"/>
    <w:rsid w:val="6C18054B"/>
    <w:rsid w:val="6C2C07D0"/>
    <w:rsid w:val="6C473395"/>
    <w:rsid w:val="6C7F2F47"/>
    <w:rsid w:val="6C8F6DD5"/>
    <w:rsid w:val="6C987377"/>
    <w:rsid w:val="6CAA6BAB"/>
    <w:rsid w:val="6CCC7015"/>
    <w:rsid w:val="6CE25CC6"/>
    <w:rsid w:val="6D196049"/>
    <w:rsid w:val="6D6F202E"/>
    <w:rsid w:val="6D7417E0"/>
    <w:rsid w:val="6D9442AF"/>
    <w:rsid w:val="6DBD2BF7"/>
    <w:rsid w:val="6DED4DAE"/>
    <w:rsid w:val="6E1B1FC6"/>
    <w:rsid w:val="6E260993"/>
    <w:rsid w:val="6E475E9C"/>
    <w:rsid w:val="6E5702EE"/>
    <w:rsid w:val="6E9565AD"/>
    <w:rsid w:val="6F1C08FE"/>
    <w:rsid w:val="6F2B7EAB"/>
    <w:rsid w:val="6F3365AD"/>
    <w:rsid w:val="6F3B1506"/>
    <w:rsid w:val="6F401041"/>
    <w:rsid w:val="6F440DA6"/>
    <w:rsid w:val="6F471A15"/>
    <w:rsid w:val="6F6F417D"/>
    <w:rsid w:val="6F9B06DB"/>
    <w:rsid w:val="6FD146A6"/>
    <w:rsid w:val="703540B4"/>
    <w:rsid w:val="70586CA4"/>
    <w:rsid w:val="70867024"/>
    <w:rsid w:val="7088487B"/>
    <w:rsid w:val="709E13F4"/>
    <w:rsid w:val="709E1FCB"/>
    <w:rsid w:val="70B27E0B"/>
    <w:rsid w:val="70BE3A0A"/>
    <w:rsid w:val="70CE595E"/>
    <w:rsid w:val="70D8364F"/>
    <w:rsid w:val="7109361B"/>
    <w:rsid w:val="712F6C55"/>
    <w:rsid w:val="7135553A"/>
    <w:rsid w:val="716401C6"/>
    <w:rsid w:val="717A1FB4"/>
    <w:rsid w:val="71A234B0"/>
    <w:rsid w:val="720E76D7"/>
    <w:rsid w:val="72145B3F"/>
    <w:rsid w:val="727147ED"/>
    <w:rsid w:val="72765A4B"/>
    <w:rsid w:val="72834520"/>
    <w:rsid w:val="72AC3B93"/>
    <w:rsid w:val="72D90031"/>
    <w:rsid w:val="72E96729"/>
    <w:rsid w:val="72F64761"/>
    <w:rsid w:val="731576EF"/>
    <w:rsid w:val="73393C9D"/>
    <w:rsid w:val="737E630D"/>
    <w:rsid w:val="739D2305"/>
    <w:rsid w:val="73A26371"/>
    <w:rsid w:val="73B64B9D"/>
    <w:rsid w:val="73B96564"/>
    <w:rsid w:val="73F37A80"/>
    <w:rsid w:val="74092950"/>
    <w:rsid w:val="743371EC"/>
    <w:rsid w:val="7463241F"/>
    <w:rsid w:val="74A437D7"/>
    <w:rsid w:val="74EF5AF1"/>
    <w:rsid w:val="750C13F1"/>
    <w:rsid w:val="751C1020"/>
    <w:rsid w:val="75286E5D"/>
    <w:rsid w:val="75336204"/>
    <w:rsid w:val="753C164E"/>
    <w:rsid w:val="75410AD5"/>
    <w:rsid w:val="755E031A"/>
    <w:rsid w:val="75BE53B5"/>
    <w:rsid w:val="7663724A"/>
    <w:rsid w:val="76A42E28"/>
    <w:rsid w:val="76F341EC"/>
    <w:rsid w:val="77051B54"/>
    <w:rsid w:val="772204D1"/>
    <w:rsid w:val="773604E8"/>
    <w:rsid w:val="773C2EEC"/>
    <w:rsid w:val="776F0000"/>
    <w:rsid w:val="777962D0"/>
    <w:rsid w:val="777A05E8"/>
    <w:rsid w:val="77900175"/>
    <w:rsid w:val="77B07F61"/>
    <w:rsid w:val="77D43567"/>
    <w:rsid w:val="781E5301"/>
    <w:rsid w:val="781E6E5A"/>
    <w:rsid w:val="7860416B"/>
    <w:rsid w:val="78763961"/>
    <w:rsid w:val="78C16218"/>
    <w:rsid w:val="78DD24E8"/>
    <w:rsid w:val="793D0C2E"/>
    <w:rsid w:val="798F11FB"/>
    <w:rsid w:val="79AD2796"/>
    <w:rsid w:val="79C43F46"/>
    <w:rsid w:val="79DB6C86"/>
    <w:rsid w:val="79E47CC9"/>
    <w:rsid w:val="7A500BF8"/>
    <w:rsid w:val="7A581DA8"/>
    <w:rsid w:val="7A7C67DA"/>
    <w:rsid w:val="7A972DAF"/>
    <w:rsid w:val="7AA84AE8"/>
    <w:rsid w:val="7AC150F4"/>
    <w:rsid w:val="7B084AD9"/>
    <w:rsid w:val="7B13430B"/>
    <w:rsid w:val="7B5619DA"/>
    <w:rsid w:val="7B686E0E"/>
    <w:rsid w:val="7C1B10CB"/>
    <w:rsid w:val="7C4566AB"/>
    <w:rsid w:val="7C917A9A"/>
    <w:rsid w:val="7CE3670A"/>
    <w:rsid w:val="7CE85CC4"/>
    <w:rsid w:val="7D092986"/>
    <w:rsid w:val="7D257D65"/>
    <w:rsid w:val="7D414E6C"/>
    <w:rsid w:val="7D683DB8"/>
    <w:rsid w:val="7DA07678"/>
    <w:rsid w:val="7DB06B3D"/>
    <w:rsid w:val="7DC43DC8"/>
    <w:rsid w:val="7DD04F7C"/>
    <w:rsid w:val="7DF2712A"/>
    <w:rsid w:val="7E6A0FDB"/>
    <w:rsid w:val="7E9F084F"/>
    <w:rsid w:val="7EA12904"/>
    <w:rsid w:val="7EB232FD"/>
    <w:rsid w:val="7EEE66AB"/>
    <w:rsid w:val="7F280519"/>
    <w:rsid w:val="7F4D5EC4"/>
    <w:rsid w:val="7F6E2B04"/>
    <w:rsid w:val="7F8D034E"/>
    <w:rsid w:val="7F94688B"/>
    <w:rsid w:val="7FAF7B3A"/>
    <w:rsid w:val="7FB85873"/>
    <w:rsid w:val="7FC00155"/>
    <w:rsid w:val="7FDC0680"/>
    <w:rsid w:val="7FDE1762"/>
    <w:rsid w:val="7FE11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ocked="1"/>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nhideWhenUsed="0"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semiHidden="0"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nhideWhenUsed="0" w:uiPriority="99" w:semiHidden="0" w:name="Salutation"/>
    <w:lsdException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24"/>
    <w:qFormat/>
    <w:uiPriority w:val="9"/>
    <w:pPr>
      <w:keepNext/>
      <w:tabs>
        <w:tab w:val="left" w:pos="720"/>
        <w:tab w:val="left" w:pos="2700"/>
      </w:tabs>
      <w:spacing w:line="400" w:lineRule="exact"/>
      <w:jc w:val="center"/>
      <w:outlineLvl w:val="0"/>
    </w:pPr>
    <w:rPr>
      <w:b/>
      <w:bCs/>
      <w:kern w:val="44"/>
      <w:sz w:val="44"/>
      <w:szCs w:val="44"/>
    </w:rPr>
  </w:style>
  <w:style w:type="paragraph" w:styleId="3">
    <w:name w:val="heading 3"/>
    <w:basedOn w:val="1"/>
    <w:next w:val="1"/>
    <w:qFormat/>
    <w:locked/>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locked/>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5">
    <w:name w:val="Document Map"/>
    <w:basedOn w:val="1"/>
    <w:link w:val="25"/>
    <w:semiHidden/>
    <w:uiPriority w:val="99"/>
    <w:rPr>
      <w:rFonts w:ascii="宋体"/>
      <w:sz w:val="18"/>
      <w:szCs w:val="18"/>
    </w:rPr>
  </w:style>
  <w:style w:type="paragraph" w:styleId="6">
    <w:name w:val="annotation text"/>
    <w:basedOn w:val="1"/>
    <w:link w:val="26"/>
    <w:semiHidden/>
    <w:uiPriority w:val="99"/>
    <w:pPr>
      <w:jc w:val="left"/>
    </w:pPr>
    <w:rPr>
      <w:kern w:val="0"/>
      <w:sz w:val="20"/>
    </w:rPr>
  </w:style>
  <w:style w:type="paragraph" w:styleId="7">
    <w:name w:val="Salutation"/>
    <w:basedOn w:val="1"/>
    <w:next w:val="1"/>
    <w:link w:val="27"/>
    <w:uiPriority w:val="99"/>
    <w:rPr>
      <w:kern w:val="0"/>
      <w:sz w:val="20"/>
    </w:rPr>
  </w:style>
  <w:style w:type="paragraph" w:styleId="8">
    <w:name w:val="Body Text Indent"/>
    <w:basedOn w:val="1"/>
    <w:link w:val="28"/>
    <w:uiPriority w:val="99"/>
    <w:pPr>
      <w:spacing w:line="400" w:lineRule="exact"/>
      <w:ind w:left="420" w:firstLine="420"/>
    </w:pPr>
    <w:rPr>
      <w:kern w:val="0"/>
      <w:sz w:val="20"/>
    </w:rPr>
  </w:style>
  <w:style w:type="paragraph" w:styleId="9">
    <w:name w:val="Plain Text"/>
    <w:basedOn w:val="1"/>
    <w:link w:val="29"/>
    <w:uiPriority w:val="99"/>
    <w:rPr>
      <w:rFonts w:ascii="宋体" w:hAnsi="Courier New"/>
    </w:rPr>
  </w:style>
  <w:style w:type="paragraph" w:styleId="10">
    <w:name w:val="Date"/>
    <w:basedOn w:val="1"/>
    <w:next w:val="1"/>
    <w:link w:val="30"/>
    <w:uiPriority w:val="99"/>
    <w:pPr>
      <w:ind w:left="100" w:leftChars="2500"/>
    </w:pPr>
    <w:rPr>
      <w:kern w:val="0"/>
      <w:sz w:val="20"/>
    </w:rPr>
  </w:style>
  <w:style w:type="paragraph" w:styleId="11">
    <w:name w:val="Balloon Text"/>
    <w:basedOn w:val="1"/>
    <w:link w:val="31"/>
    <w:semiHidden/>
    <w:uiPriority w:val="99"/>
    <w:rPr>
      <w:sz w:val="18"/>
      <w:szCs w:val="18"/>
    </w:rPr>
  </w:style>
  <w:style w:type="paragraph" w:styleId="12">
    <w:name w:val="footer"/>
    <w:basedOn w:val="1"/>
    <w:link w:val="32"/>
    <w:uiPriority w:val="99"/>
    <w:pPr>
      <w:tabs>
        <w:tab w:val="center" w:pos="4153"/>
        <w:tab w:val="right" w:pos="8306"/>
      </w:tabs>
      <w:snapToGrid w:val="0"/>
      <w:jc w:val="left"/>
    </w:pPr>
    <w:rPr>
      <w:sz w:val="18"/>
      <w:szCs w:val="18"/>
    </w:rPr>
  </w:style>
  <w:style w:type="paragraph" w:styleId="13">
    <w:name w:val="header"/>
    <w:basedOn w:val="1"/>
    <w:link w:val="33"/>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4"/>
    <w:qFormat/>
    <w:locked/>
    <w:uiPriority w:val="0"/>
    <w:pPr>
      <w:spacing w:before="240" w:after="60" w:line="312" w:lineRule="auto"/>
      <w:jc w:val="center"/>
      <w:outlineLvl w:val="1"/>
    </w:pPr>
    <w:rPr>
      <w:rFonts w:ascii="Cambria" w:hAnsi="Cambria"/>
      <w:b/>
      <w:bCs/>
      <w:kern w:val="28"/>
      <w:sz w:val="32"/>
      <w:szCs w:val="32"/>
    </w:rPr>
  </w:style>
  <w:style w:type="paragraph" w:styleId="15">
    <w:name w:val="Normal (Web)"/>
    <w:basedOn w:val="1"/>
    <w:uiPriority w:val="99"/>
    <w:pPr>
      <w:widowControl/>
      <w:spacing w:before="100" w:beforeAutospacing="1" w:after="100" w:afterAutospacing="1"/>
      <w:jc w:val="left"/>
    </w:pPr>
    <w:rPr>
      <w:rFonts w:ascii="宋体" w:hAnsi="宋体" w:cs="宋体"/>
      <w:color w:val="000000"/>
      <w:kern w:val="0"/>
      <w:sz w:val="24"/>
      <w:szCs w:val="24"/>
    </w:rPr>
  </w:style>
  <w:style w:type="paragraph" w:styleId="16">
    <w:name w:val="Title"/>
    <w:basedOn w:val="1"/>
    <w:next w:val="1"/>
    <w:link w:val="35"/>
    <w:qFormat/>
    <w:locked/>
    <w:uiPriority w:val="0"/>
    <w:pPr>
      <w:spacing w:before="240" w:after="60"/>
      <w:jc w:val="center"/>
      <w:outlineLvl w:val="0"/>
    </w:pPr>
    <w:rPr>
      <w:rFonts w:ascii="Cambria" w:hAnsi="Cambria"/>
      <w:b/>
      <w:bCs/>
      <w:sz w:val="32"/>
      <w:szCs w:val="32"/>
    </w:rPr>
  </w:style>
  <w:style w:type="paragraph" w:styleId="17">
    <w:name w:val="annotation subject"/>
    <w:basedOn w:val="6"/>
    <w:next w:val="6"/>
    <w:link w:val="36"/>
    <w:unhideWhenUsed/>
    <w:uiPriority w:val="99"/>
    <w:rPr>
      <w:b/>
      <w:bCs/>
      <w:kern w:val="2"/>
      <w:sz w:val="21"/>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uiPriority w:val="99"/>
  </w:style>
  <w:style w:type="character" w:styleId="22">
    <w:name w:val="Hyperlink"/>
    <w:unhideWhenUsed/>
    <w:uiPriority w:val="99"/>
    <w:rPr>
      <w:color w:val="0000FF"/>
      <w:u w:val="single"/>
    </w:rPr>
  </w:style>
  <w:style w:type="character" w:styleId="23">
    <w:name w:val="annotation reference"/>
    <w:semiHidden/>
    <w:uiPriority w:val="99"/>
    <w:rPr>
      <w:sz w:val="21"/>
      <w:szCs w:val="21"/>
    </w:rPr>
  </w:style>
  <w:style w:type="character" w:customStyle="1" w:styleId="24">
    <w:name w:val="标题 1 字符"/>
    <w:link w:val="2"/>
    <w:uiPriority w:val="9"/>
    <w:rPr>
      <w:b/>
      <w:bCs/>
      <w:kern w:val="44"/>
      <w:sz w:val="44"/>
      <w:szCs w:val="44"/>
    </w:rPr>
  </w:style>
  <w:style w:type="character" w:customStyle="1" w:styleId="25">
    <w:name w:val="文档结构图 字符"/>
    <w:link w:val="5"/>
    <w:locked/>
    <w:uiPriority w:val="99"/>
    <w:rPr>
      <w:rFonts w:ascii="宋体" w:cs="宋体"/>
      <w:kern w:val="2"/>
      <w:sz w:val="18"/>
      <w:szCs w:val="18"/>
    </w:rPr>
  </w:style>
  <w:style w:type="character" w:customStyle="1" w:styleId="26">
    <w:name w:val="批注文字 字符"/>
    <w:link w:val="6"/>
    <w:semiHidden/>
    <w:uiPriority w:val="99"/>
    <w:rPr>
      <w:szCs w:val="21"/>
    </w:rPr>
  </w:style>
  <w:style w:type="character" w:customStyle="1" w:styleId="27">
    <w:name w:val="称呼 字符"/>
    <w:link w:val="7"/>
    <w:semiHidden/>
    <w:uiPriority w:val="99"/>
    <w:rPr>
      <w:szCs w:val="21"/>
    </w:rPr>
  </w:style>
  <w:style w:type="character" w:customStyle="1" w:styleId="28">
    <w:name w:val="正文文本缩进 字符"/>
    <w:link w:val="8"/>
    <w:semiHidden/>
    <w:uiPriority w:val="99"/>
    <w:rPr>
      <w:szCs w:val="21"/>
    </w:rPr>
  </w:style>
  <w:style w:type="character" w:customStyle="1" w:styleId="29">
    <w:name w:val="纯文本 字符"/>
    <w:link w:val="9"/>
    <w:locked/>
    <w:uiPriority w:val="99"/>
    <w:rPr>
      <w:rFonts w:ascii="宋体" w:hAnsi="Courier New" w:cs="宋体"/>
      <w:kern w:val="2"/>
      <w:sz w:val="21"/>
      <w:szCs w:val="21"/>
    </w:rPr>
  </w:style>
  <w:style w:type="character" w:customStyle="1" w:styleId="30">
    <w:name w:val="日期 字符"/>
    <w:link w:val="10"/>
    <w:semiHidden/>
    <w:uiPriority w:val="99"/>
    <w:rPr>
      <w:szCs w:val="21"/>
    </w:rPr>
  </w:style>
  <w:style w:type="character" w:customStyle="1" w:styleId="31">
    <w:name w:val="批注框文本 字符"/>
    <w:link w:val="11"/>
    <w:locked/>
    <w:uiPriority w:val="99"/>
    <w:rPr>
      <w:kern w:val="2"/>
      <w:sz w:val="18"/>
      <w:szCs w:val="18"/>
    </w:rPr>
  </w:style>
  <w:style w:type="character" w:customStyle="1" w:styleId="32">
    <w:name w:val="页脚 字符"/>
    <w:link w:val="12"/>
    <w:locked/>
    <w:uiPriority w:val="99"/>
    <w:rPr>
      <w:kern w:val="2"/>
      <w:sz w:val="18"/>
      <w:szCs w:val="18"/>
    </w:rPr>
  </w:style>
  <w:style w:type="character" w:customStyle="1" w:styleId="33">
    <w:name w:val="页眉 字符"/>
    <w:link w:val="13"/>
    <w:locked/>
    <w:uiPriority w:val="99"/>
    <w:rPr>
      <w:kern w:val="2"/>
      <w:sz w:val="18"/>
      <w:szCs w:val="18"/>
    </w:rPr>
  </w:style>
  <w:style w:type="character" w:customStyle="1" w:styleId="34">
    <w:name w:val="副标题 字符"/>
    <w:link w:val="14"/>
    <w:uiPriority w:val="0"/>
    <w:rPr>
      <w:rFonts w:ascii="Cambria" w:hAnsi="Cambria" w:cs="Times New Roman"/>
      <w:b/>
      <w:bCs/>
      <w:kern w:val="28"/>
      <w:sz w:val="32"/>
      <w:szCs w:val="32"/>
    </w:rPr>
  </w:style>
  <w:style w:type="character" w:customStyle="1" w:styleId="35">
    <w:name w:val="标题 字符"/>
    <w:link w:val="16"/>
    <w:uiPriority w:val="0"/>
    <w:rPr>
      <w:rFonts w:ascii="Cambria" w:hAnsi="Cambria" w:cs="Times New Roman"/>
      <w:b/>
      <w:bCs/>
      <w:kern w:val="2"/>
      <w:sz w:val="32"/>
      <w:szCs w:val="32"/>
    </w:rPr>
  </w:style>
  <w:style w:type="character" w:customStyle="1" w:styleId="36">
    <w:name w:val="批注主题 字符"/>
    <w:link w:val="17"/>
    <w:semiHidden/>
    <w:uiPriority w:val="99"/>
    <w:rPr>
      <w:b/>
      <w:bCs/>
      <w:kern w:val="2"/>
      <w:sz w:val="21"/>
      <w:szCs w:val="21"/>
    </w:rPr>
  </w:style>
  <w:style w:type="paragraph" w:customStyle="1" w:styleId="37">
    <w:name w:val="_Style 1"/>
    <w:basedOn w:val="1"/>
    <w:qFormat/>
    <w:uiPriority w:val="99"/>
    <w:pPr>
      <w:ind w:firstLine="420" w:firstLineChars="200"/>
    </w:pPr>
  </w:style>
  <w:style w:type="paragraph" w:styleId="38">
    <w:name w:val="List Paragraph"/>
    <w:basedOn w:val="1"/>
    <w:qFormat/>
    <w:uiPriority w:val="99"/>
    <w:pPr>
      <w:ind w:firstLine="420" w:firstLineChars="200"/>
    </w:pPr>
  </w:style>
  <w:style w:type="paragraph" w:customStyle="1" w:styleId="39">
    <w:name w:val="reader-word-layer"/>
    <w:basedOn w:val="1"/>
    <w:uiPriority w:val="99"/>
    <w:pPr>
      <w:widowControl/>
      <w:spacing w:before="100" w:beforeAutospacing="1" w:after="100" w:afterAutospacing="1"/>
      <w:jc w:val="left"/>
    </w:pPr>
    <w:rPr>
      <w:rFonts w:ascii="宋体" w:hAnsi="宋体" w:cs="宋体"/>
      <w:kern w:val="0"/>
      <w:sz w:val="24"/>
      <w:szCs w:val="24"/>
    </w:rPr>
  </w:style>
  <w:style w:type="paragraph" w:customStyle="1" w:styleId="40">
    <w:name w:val="Normal"/>
    <w:uiPriority w:val="0"/>
    <w:pPr>
      <w:jc w:val="both"/>
    </w:pPr>
    <w:rPr>
      <w:kern w:val="2"/>
      <w:sz w:val="21"/>
      <w:szCs w:val="21"/>
      <w:lang w:val="en-US" w:eastAsia="zh-CN" w:bidi="ar-SA"/>
    </w:rPr>
  </w:style>
  <w:style w:type="paragraph" w:customStyle="1" w:styleId="41">
    <w:name w:val="在表格内文字"/>
    <w:basedOn w:val="1"/>
    <w:uiPriority w:val="99"/>
    <w:rPr>
      <w:rFonts w:eastAsia="楷体"/>
    </w:rPr>
  </w:style>
  <w:style w:type="paragraph" w:customStyle="1" w:styleId="42">
    <w:name w:val="List Paragraph"/>
    <w:basedOn w:val="1"/>
    <w:qFormat/>
    <w:uiPriority w:val="99"/>
    <w:pPr>
      <w:ind w:firstLine="420" w:firstLineChars="200"/>
    </w:pPr>
  </w:style>
  <w:style w:type="table" w:customStyle="1" w:styleId="43">
    <w:name w:val="Table Normal"/>
    <w:unhideWhenUsed/>
    <w:qFormat/>
    <w:uiPriority w:val="2"/>
    <w:pPr>
      <w:widowControl w:val="0"/>
      <w:autoSpaceDE w:val="0"/>
      <w:autoSpaceDN w:val="0"/>
    </w:pPr>
    <w:rPr>
      <w:rFonts w:ascii="等线" w:hAnsi="等线" w:eastAsia="等线"/>
      <w:sz w:val="22"/>
      <w:szCs w:val="22"/>
      <w:lang w:val="en-US" w:eastAsia="en-US" w:bidi="ar-SA"/>
    </w:rPr>
    <w:tblPr>
      <w:tblStyle w:val="18"/>
      <w:tblCellMar>
        <w:top w:w="0" w:type="dxa"/>
        <w:left w:w="0" w:type="dxa"/>
        <w:bottom w:w="0" w:type="dxa"/>
        <w:right w:w="0" w:type="dxa"/>
      </w:tblCellMar>
    </w:tblPr>
  </w:style>
  <w:style w:type="paragraph" w:customStyle="1" w:styleId="44">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45">
    <w:name w:val="font41"/>
    <w:basedOn w:val="20"/>
    <w:qFormat/>
    <w:uiPriority w:val="0"/>
    <w:rPr>
      <w:rFonts w:hint="eastAsia" w:ascii="宋体" w:hAnsi="宋体" w:eastAsia="宋体" w:cs="宋体"/>
      <w:color w:val="000000"/>
      <w:sz w:val="21"/>
      <w:szCs w:val="21"/>
      <w:u w:val="none"/>
    </w:rPr>
  </w:style>
  <w:style w:type="character" w:customStyle="1" w:styleId="46">
    <w:name w:val="font91"/>
    <w:basedOn w:val="20"/>
    <w:qFormat/>
    <w:uiPriority w:val="0"/>
    <w:rPr>
      <w:rFonts w:hint="default" w:ascii="Times New Roman" w:hAnsi="Times New Roman" w:cs="Times New Roman"/>
      <w:color w:val="000000"/>
      <w:sz w:val="21"/>
      <w:szCs w:val="21"/>
      <w:u w:val="none"/>
    </w:rPr>
  </w:style>
  <w:style w:type="paragraph" w:customStyle="1" w:styleId="47">
    <w:name w:val="其他"/>
    <w:basedOn w:val="1"/>
    <w:qFormat/>
    <w:uiPriority w:val="0"/>
    <w:pPr>
      <w:widowControl w:val="0"/>
      <w:shd w:val="clear" w:color="auto" w:fill="auto"/>
      <w:spacing w:line="275" w:lineRule="exact"/>
    </w:pPr>
    <w:rPr>
      <w:rFonts w:ascii="宋体" w:hAnsi="宋体" w:eastAsia="宋体" w:cs="宋体"/>
      <w:sz w:val="20"/>
      <w:szCs w:val="20"/>
      <w:u w:val="none"/>
      <w:lang w:val="zh-CN" w:eastAsia="zh-CN" w:bidi="zh-CN"/>
    </w:rPr>
  </w:style>
  <w:style w:type="paragraph" w:customStyle="1" w:styleId="48">
    <w:name w:val="正文首行缩进 2 字符"/>
    <w:basedOn w:val="1"/>
    <w:qFormat/>
    <w:uiPriority w:val="0"/>
    <w:pPr>
      <w:autoSpaceDE w:val="0"/>
      <w:autoSpaceDN w:val="0"/>
      <w:adjustRightInd w:val="0"/>
      <w:snapToGrid w:val="0"/>
      <w:spacing w:line="312" w:lineRule="atLeast"/>
      <w:ind w:firstLine="200" w:firstLineChars="200"/>
      <w:textAlignment w:val="center"/>
    </w:pPr>
    <w:rPr>
      <w:rFonts w:cs="宋体"/>
      <w:kern w:val="0"/>
      <w:szCs w:val="21"/>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ujs</Company>
  <Pages>1</Pages>
  <Words>939</Words>
  <Characters>981</Characters>
  <Lines>158</Lines>
  <Paragraphs>44</Paragraphs>
  <TotalTime>2</TotalTime>
  <ScaleCrop>false</ScaleCrop>
  <LinksUpToDate>false</LinksUpToDate>
  <CharactersWithSpaces>985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2025-08-04T17:55:00Z</dcterms:created>
  <dc:creator>USER</dc:creator>
  <cp:lastModifiedBy>极简</cp:lastModifiedBy>
  <cp:lastPrinted>2025-07-11T12:55:00Z</cp:lastPrinted>
  <dcterms:modified xsi:type="dcterms:W3CDTF">2026-09-04T08:44:58Z</dcterms:modified>
  <dc:title>附件一：教学大纲格式及示例</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eyJoZGlkIjoiMzRiMTRkMTg1NzNmNjk2ODVmYzY5MDViZWJiZGZkMDEiLCJ1c2VySWQiOiIyNzQ0MTkyMzEifQ==</vt:lpwstr>
  </property>
  <property fmtid="{D5CDD505-2E9C-101B-9397-08002B2CF9AE}" pid="4" name="ICV">
    <vt:lpwstr>FDB5E62EB1EF4D5792DEA6080E64D6D4_13</vt:lpwstr>
  </property>
</Properties>
</file>