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eastAsia="黑体" w:hint="eastAsia"/>
          <w:b/>
          <w:sz w:val="32"/>
          <w:lang w:eastAsia="zh-CN"/>
        </w:rPr>
        <w:t>《物联网技术基础》课程教学大纲</w:t>
      </w:r>
    </w:p>
    <w:p>
      <w:pPr>
        <w:keepNext/>
        <w:spacing w:before="140" w:after="60"/>
      </w:pPr>
      <w:r>
        <w:rPr>
          <w:rFonts w:ascii="Times New Roman" w:hAnsi="Times New Roman" w:cs="Times New Roman" w:eastAsia="黑体" w:hint="eastAsia"/>
          <w:b/>
          <w:sz w:val="28"/>
          <w:lang w:eastAsia="zh-CN"/>
        </w:rPr>
        <w:t>一、课程基本信息</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1634"/>
        <w:gridCol w:w="1215"/>
        <w:gridCol w:w="1104"/>
        <w:gridCol w:w="477"/>
        <w:gridCol w:w="627"/>
        <w:gridCol w:w="1033"/>
        <w:gridCol w:w="1033"/>
      </w:tblGrid>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课程名称（中英文）</w:t>
            </w:r>
          </w:p>
        </w:tc>
        <w:tc>
          <w:tcPr>
            <w:tcW w:type="dxa" w:w="7123"/>
            <w:vAlign w:val="center"/>
            <w:gridSpan w:val="7"/>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物联网技术基础  Fundamentals of Internet of Things Technology</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课程代码</w:t>
            </w:r>
          </w:p>
        </w:tc>
        <w:tc>
          <w:tcPr>
            <w:tcW w:type="dxa" w:w="2849"/>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25JD32414</w:t>
            </w:r>
          </w:p>
        </w:tc>
        <w:tc>
          <w:tcPr>
            <w:tcW w:type="dxa" w:w="1581"/>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课程类别</w:t>
            </w:r>
          </w:p>
        </w:tc>
        <w:tc>
          <w:tcPr>
            <w:tcW w:type="dxa" w:w="2693"/>
            <w:vAlign w:val="center"/>
            <w:gridSpan w:val="3"/>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专业类</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课程性质</w:t>
            </w:r>
          </w:p>
        </w:tc>
        <w:tc>
          <w:tcPr>
            <w:tcW w:type="dxa" w:w="2849"/>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选修课</w:t>
            </w:r>
          </w:p>
        </w:tc>
        <w:tc>
          <w:tcPr>
            <w:tcW w:type="dxa" w:w="1581"/>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授课语言</w:t>
            </w:r>
          </w:p>
        </w:tc>
        <w:tc>
          <w:tcPr>
            <w:tcW w:type="dxa" w:w="2693"/>
            <w:vAlign w:val="center"/>
            <w:gridSpan w:val="3"/>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中文</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授课学期</w:t>
            </w:r>
          </w:p>
        </w:tc>
        <w:tc>
          <w:tcPr>
            <w:tcW w:type="dxa" w:w="2849"/>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第5学期</w:t>
            </w:r>
          </w:p>
        </w:tc>
        <w:tc>
          <w:tcPr>
            <w:tcW w:type="dxa" w:w="2208"/>
            <w:vAlign w:val="center"/>
            <w:gridSpan w:val="3"/>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学分</w:t>
            </w:r>
          </w:p>
        </w:tc>
        <w:tc>
          <w:tcPr>
            <w:tcW w:type="dxa" w:w="2066"/>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2</w:t>
            </w:r>
          </w:p>
        </w:tc>
      </w:tr>
      <w:tr>
        <w:tc>
          <w:tcPr>
            <w:tcW w:type="dxa" w:w="1931"/>
            <w:vAlign w:val="center"/>
            <w:vMerge w:val="restart"/>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课程学时及分配</w:t>
            </w:r>
          </w:p>
        </w:tc>
        <w:tc>
          <w:tcPr>
            <w:tcW w:type="dxa" w:w="163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总学时</w:t>
            </w:r>
          </w:p>
        </w:tc>
        <w:tc>
          <w:tcPr>
            <w:tcW w:type="dxa" w:w="1215"/>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理论</w:t>
            </w:r>
          </w:p>
        </w:tc>
        <w:tc>
          <w:tcPr>
            <w:tcW w:type="dxa" w:w="110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实践</w:t>
            </w:r>
          </w:p>
        </w:tc>
        <w:tc>
          <w:tcPr>
            <w:tcW w:type="dxa" w:w="1104"/>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实验</w:t>
            </w:r>
          </w:p>
        </w:tc>
        <w:tc>
          <w:tcPr>
            <w:tcW w:type="dxa" w:w="1033"/>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上机</w:t>
            </w:r>
          </w:p>
        </w:tc>
        <w:tc>
          <w:tcPr>
            <w:tcW w:type="dxa" w:w="1033"/>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项目式</w:t>
            </w:r>
          </w:p>
        </w:tc>
      </w:tr>
      <w:tr>
        <w:tc>
          <w:tcPr>
            <w:tcW w:type="dxa" w:w="1931"/>
            <w:vAlign w:val="center"/>
            <w:vMerge/>
            <w:tcMar>
              <w:top w:w="65" w:type="dxa"/>
              <w:bottom w:w="65" w:type="dxa"/>
              <w:start w:w="65" w:type="dxa"/>
              <w:end w:w="65" w:type="dxa"/>
            </w:tcMar>
          </w:tcPr>
          <w:p/>
        </w:tc>
        <w:tc>
          <w:tcPr>
            <w:tcW w:type="dxa" w:w="163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7"/>
                <w:lang w:eastAsia="zh-CN"/>
              </w:rPr>
              <w:t>32</w:t>
            </w:r>
          </w:p>
        </w:tc>
        <w:tc>
          <w:tcPr>
            <w:tcW w:type="dxa" w:w="1215"/>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7"/>
                <w:lang w:eastAsia="zh-CN"/>
              </w:rPr>
              <w:t>32</w:t>
            </w:r>
          </w:p>
        </w:tc>
        <w:tc>
          <w:tcPr>
            <w:tcW w:type="dxa" w:w="110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7"/>
                <w:lang w:eastAsia="zh-CN"/>
              </w:rPr>
              <w:t>0</w:t>
            </w:r>
          </w:p>
        </w:tc>
        <w:tc>
          <w:tcPr>
            <w:tcW w:type="dxa" w:w="1104"/>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7"/>
                <w:lang w:eastAsia="zh-CN"/>
              </w:rPr>
              <w:t>0</w:t>
            </w:r>
          </w:p>
        </w:tc>
        <w:tc>
          <w:tcPr>
            <w:tcW w:type="dxa" w:w="1033"/>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7"/>
                <w:lang w:eastAsia="zh-CN"/>
              </w:rPr>
              <w:t>0</w:t>
            </w:r>
          </w:p>
        </w:tc>
        <w:tc>
          <w:tcPr>
            <w:tcW w:type="dxa" w:w="1033"/>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7"/>
                <w:lang w:eastAsia="zh-CN"/>
              </w:rPr>
              <w:t>0</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适用专业</w:t>
            </w:r>
          </w:p>
        </w:tc>
        <w:tc>
          <w:tcPr>
            <w:tcW w:type="dxa" w:w="7123"/>
            <w:vAlign w:val="center"/>
            <w:gridSpan w:val="7"/>
            <w:tcMar>
              <w:top w:w="65" w:type="dxa"/>
              <w:bottom w:w="65" w:type="dxa"/>
              <w:start w:w="65" w:type="dxa"/>
              <w:end w:w="65" w:type="dxa"/>
            </w:tcMar>
          </w:tcPr>
          <w:p>
            <w:pPr>
              <w:spacing w:before="0" w:after="0" w:line="252" w:lineRule="auto"/>
              <w:jc w:val="left"/>
            </w:pPr>
            <w:r/>
            <w:r>
              <w:rPr>
                <w:rFonts w:ascii="Times New Roman" w:hAnsi="Times New Roman" w:cs="Times New Roman" w:eastAsia="宋体" w:hint="eastAsia"/>
                <w:b w:val="0"/>
                <w:sz w:val="17"/>
                <w:lang w:eastAsia="zh-CN"/>
              </w:rPr>
              <w:t>智能制造工程</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授课学院</w:t>
            </w:r>
          </w:p>
        </w:tc>
        <w:tc>
          <w:tcPr>
            <w:tcW w:type="dxa" w:w="7123"/>
            <w:vAlign w:val="center"/>
            <w:gridSpan w:val="7"/>
            <w:tcMar>
              <w:top w:w="65" w:type="dxa"/>
              <w:bottom w:w="65" w:type="dxa"/>
              <w:start w:w="65" w:type="dxa"/>
              <w:end w:w="65" w:type="dxa"/>
            </w:tcMar>
          </w:tcPr>
          <w:p>
            <w:pPr>
              <w:spacing w:before="0" w:after="0" w:line="252" w:lineRule="auto"/>
              <w:jc w:val="left"/>
            </w:pPr>
            <w:r/>
            <w:r>
              <w:rPr>
                <w:rFonts w:ascii="Times New Roman" w:hAnsi="Times New Roman" w:cs="Times New Roman" w:eastAsia="宋体" w:hint="eastAsia"/>
                <w:b w:val="0"/>
                <w:sz w:val="17"/>
                <w:lang w:eastAsia="zh-CN"/>
              </w:rPr>
              <w:t>机械与动力工程学院</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先修课程</w:t>
            </w:r>
          </w:p>
        </w:tc>
        <w:tc>
          <w:tcPr>
            <w:tcW w:type="dxa" w:w="7123"/>
            <w:vAlign w:val="center"/>
            <w:gridSpan w:val="7"/>
            <w:tcMar>
              <w:top w:w="65" w:type="dxa"/>
              <w:bottom w:w="65" w:type="dxa"/>
              <w:start w:w="65" w:type="dxa"/>
              <w:end w:w="65" w:type="dxa"/>
            </w:tcMar>
          </w:tcPr>
          <w:p>
            <w:pPr>
              <w:spacing w:before="0" w:after="0" w:line="252" w:lineRule="auto"/>
              <w:jc w:val="left"/>
            </w:pPr>
            <w:r/>
            <w:r>
              <w:rPr>
                <w:rFonts w:ascii="Times New Roman" w:hAnsi="Times New Roman" w:cs="Times New Roman" w:eastAsia="宋体" w:hint="eastAsia"/>
                <w:b w:val="0"/>
                <w:sz w:val="17"/>
                <w:lang w:eastAsia="zh-CN"/>
              </w:rPr>
              <w:t>电工电子技术（A）、程序设计基础（C&amp;C++）Ⅱ、工程建模与科学计算可视化基础（Python）、微机原理及接口技术</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后续课程</w:t>
            </w:r>
          </w:p>
        </w:tc>
        <w:tc>
          <w:tcPr>
            <w:tcW w:type="dxa" w:w="7123"/>
            <w:vAlign w:val="center"/>
            <w:gridSpan w:val="7"/>
            <w:tcMar>
              <w:top w:w="65" w:type="dxa"/>
              <w:bottom w:w="65" w:type="dxa"/>
              <w:start w:w="65" w:type="dxa"/>
              <w:end w:w="65" w:type="dxa"/>
            </w:tcMar>
          </w:tcPr>
          <w:p>
            <w:pPr>
              <w:spacing w:before="0" w:after="0" w:line="252" w:lineRule="auto"/>
              <w:jc w:val="left"/>
            </w:pPr>
            <w:r/>
            <w:r>
              <w:rPr>
                <w:rFonts w:ascii="Times New Roman" w:hAnsi="Times New Roman" w:cs="Times New Roman" w:eastAsia="宋体" w:hint="eastAsia"/>
                <w:b w:val="0"/>
                <w:sz w:val="17"/>
                <w:lang w:eastAsia="zh-CN"/>
              </w:rPr>
              <w:t>工业网络技术及应用、智能制造装备、智能生产计划管理（MES/ERP）、毕业设计（论文）</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课程简介</w:t>
            </w:r>
          </w:p>
        </w:tc>
        <w:tc>
          <w:tcPr>
            <w:tcW w:type="dxa" w:w="7123"/>
            <w:vAlign w:val="center"/>
            <w:gridSpan w:val="7"/>
            <w:tcMar>
              <w:top w:w="65" w:type="dxa"/>
              <w:bottom w:w="65" w:type="dxa"/>
              <w:start w:w="65" w:type="dxa"/>
              <w:end w:w="65" w:type="dxa"/>
            </w:tcMar>
          </w:tcPr>
          <w:p>
            <w:pPr>
              <w:spacing w:before="0" w:after="0" w:line="247" w:lineRule="auto"/>
            </w:pPr>
            <w:r/>
            <w:r>
              <w:rPr>
                <w:rFonts w:ascii="Times New Roman" w:hAnsi="Times New Roman" w:cs="Times New Roman" w:eastAsia="宋体" w:hint="eastAsia"/>
                <w:b/>
                <w:sz w:val="17"/>
                <w:lang w:eastAsia="zh-CN"/>
              </w:rPr>
              <w:t>课程基本定位</w:t>
              <w:br/>
            </w:r>
            <w:r>
              <w:rPr>
                <w:rFonts w:ascii="Times New Roman" w:hAnsi="Times New Roman" w:cs="Times New Roman" w:eastAsia="宋体" w:hint="eastAsia"/>
                <w:b w:val="0"/>
                <w:sz w:val="17"/>
                <w:lang w:eastAsia="zh-CN"/>
              </w:rPr>
              <w:t>本课程是智能制造工程专业的专业选修课，位于第五学期专业选修课程组，面向智能装备、生产现场与工业数据互联需求，系统讲授物联网的体系结构、感知与识别、无线与有线连接、网络与应用协议、边缘/云平台、工业物联网集成及安全。课程以“设备感知—可靠连接—数据传输—边缘处理—平台服务—制造应用—安全治理”为主线，重点解释传感器、RFID、无线传感器网络、IPv6/6LoWPAN、Wi-Fi、蓝牙、Zigbee/Thread、LoRaWAN、NB-IoT/蜂窝物联、MQTT、CoAP、HTTP、工业网关、OPC UA、边缘计算与云平台之间的角色与边界，使学生建立面向智能制造场景的端—边—网—云系统观。</w:t>
            </w:r>
          </w:p>
          <w:p>
            <w:pPr>
              <w:spacing w:before="0" w:after="0" w:line="247" w:lineRule="auto"/>
            </w:pPr>
            <w:r>
              <w:rPr>
                <w:rFonts w:ascii="Times New Roman" w:hAnsi="Times New Roman" w:cs="Times New Roman" w:eastAsia="宋体" w:hint="eastAsia"/>
                <w:b/>
                <w:sz w:val="17"/>
                <w:lang w:eastAsia="zh-CN"/>
              </w:rPr>
              <w:t>核心学习结果</w:t>
              <w:br/>
            </w:r>
            <w:r>
              <w:rPr>
                <w:rFonts w:ascii="Times New Roman" w:hAnsi="Times New Roman" w:cs="Times New Roman" w:eastAsia="宋体" w:hint="eastAsia"/>
                <w:b w:val="0"/>
                <w:sz w:val="17"/>
                <w:lang w:eastAsia="zh-CN"/>
              </w:rPr>
              <w:t>通过本课程的学习，学生能够说明物联网三层/四层及端—边—云架构，识别智能制造物联网系统中的设备、标识、传感、通信、平台、应用和安全模块；能够根据采样频率、数据量、覆盖范围、功耗、时延、可靠性和成本比较典型连接技术；能够分析MQTT、CoAP、HTTP及工业互操作协议的消息与数据流，建立设备模型、主题/资源、数据点和事件规则；能够设计面向设备状态监测、能耗管理、仓储物流或质量追溯的物联网方案，完成架构图、协议选择、数据流、接口、边缘/云分工和安全风险说明；能够依据数据与技术资料评价方案的适用性、限制和改进方向。</w:t>
            </w:r>
          </w:p>
          <w:p>
            <w:pPr>
              <w:spacing w:before="0" w:after="0" w:line="247" w:lineRule="auto"/>
            </w:pPr>
            <w:r>
              <w:rPr>
                <w:rFonts w:ascii="Times New Roman" w:hAnsi="Times New Roman" w:cs="Times New Roman" w:eastAsia="宋体" w:hint="eastAsia"/>
                <w:b/>
                <w:sz w:val="17"/>
                <w:lang w:eastAsia="zh-CN"/>
              </w:rPr>
              <w:t>主要教学方法</w:t>
              <w:br/>
            </w:r>
            <w:r>
              <w:rPr>
                <w:rFonts w:ascii="Times New Roman" w:hAnsi="Times New Roman" w:cs="Times New Roman" w:eastAsia="宋体" w:hint="eastAsia"/>
                <w:b w:val="0"/>
                <w:sz w:val="17"/>
                <w:lang w:eastAsia="zh-CN"/>
              </w:rPr>
              <w:t>课程采用“体系讲授—协议图解—报文/数据演示—制造案例—方案评审”的教学方式。由于培养方案规定本课程32学时均为理论学时，不另设实验或上机章节；课堂中使用传感器数据样例、Wireshark报文、MQTT客户端/代理、Node-RED或等价平台、Python设备模拟器及工业网关案例进行教师演示和短时分析，不把工具操作替代为独立实践学时。学生通过单元案例作业和期末综合考查形成可评审的物联网系统方案，所有技术选择必须说明指标、证据、安全边界和适用条件。</w:t>
            </w:r>
          </w:p>
        </w:tc>
      </w:tr>
      <w:tr>
        <w:tc>
          <w:tcPr>
            <w:tcW w:type="dxa" w:w="1931"/>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8"/>
                <w:lang w:eastAsia="zh-CN"/>
              </w:rPr>
              <w:t>大纲更新时间</w:t>
            </w:r>
          </w:p>
        </w:tc>
        <w:tc>
          <w:tcPr>
            <w:tcW w:type="dxa" w:w="7123"/>
            <w:vAlign w:val="center"/>
            <w:gridSpan w:val="7"/>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val="0"/>
                <w:sz w:val="18"/>
                <w:lang w:eastAsia="zh-CN"/>
              </w:rPr>
              <w:t>2026年9月</w:t>
            </w:r>
          </w:p>
        </w:tc>
      </w:tr>
    </w:tbl>
    <w:p/>
    <w:p>
      <w:pPr>
        <w:keepNext/>
        <w:spacing w:before="140" w:after="60"/>
      </w:pPr>
      <w:r>
        <w:rPr>
          <w:rFonts w:ascii="Times New Roman" w:hAnsi="Times New Roman" w:cs="Times New Roman" w:eastAsia="黑体" w:hint="eastAsia"/>
          <w:b/>
          <w:sz w:val="28"/>
          <w:lang w:eastAsia="zh-CN"/>
        </w:rPr>
        <w:t>二、课程目标</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50"/>
        <w:gridCol w:w="4650"/>
        <w:gridCol w:w="3354"/>
      </w:tblGrid>
      <w:tr>
        <w:trPr>
          <w:tblHeader w:val="true"/>
        </w:trPr>
        <w:tc>
          <w:tcPr>
            <w:tcW w:type="dxa" w:w="105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课程总目标</w:t>
            </w:r>
          </w:p>
        </w:tc>
        <w:tc>
          <w:tcPr>
            <w:tcW w:type="dxa" w:w="465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课程子目标（参考学校定位、培养目标、毕业要求）</w:t>
            </w:r>
          </w:p>
        </w:tc>
        <w:tc>
          <w:tcPr>
            <w:tcW w:type="dxa" w:w="335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达成方法</w:t>
            </w:r>
          </w:p>
        </w:tc>
      </w:tr>
      <w:tr>
        <w:trPr/>
        <w:tc>
          <w:tcPr>
            <w:tcW w:type="dxa" w:w="1050"/>
            <w:vMerge w:val="restart"/>
          </w:tcPr>
          <w:p>
            <w:pPr>
              <w:spacing w:before="0" w:after="0" w:line="240" w:lineRule="auto"/>
              <w:jc w:val="center"/>
            </w:pPr>
            <w:r/>
            <w:r>
              <w:rPr>
                <w:rFonts w:ascii="Times New Roman" w:hAnsi="Times New Roman" w:cs="Times New Roman" w:eastAsia="宋体" w:hint="eastAsia"/>
                <w:b/>
                <w:sz w:val="18"/>
                <w:lang w:eastAsia="zh-CN"/>
              </w:rPr>
              <w:t>1.知识</w:t>
            </w: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1.1 理解物联网的概念、发展、体系结构和标准化对象，掌握感知层、网络层、平台/处理层、应用层以及端—边—云协同的基本职责，理解物联网与互联网、工业互联网、信息物理系统的联系和区别。</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通过智能制造设备联网全景图和典型系统数据流，建立从物理对象到数字服务的整体框架，并对不同架构表述进行比较。</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1.2 掌握常见传感器、执行器、RFID/EPC、二维码、定位与无线传感器网络的基本原理，理解采样、量程、精度、分辨率、校准、功耗和数据质量等关键概念。</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结合温度、振动、电流、位置和身份识别案例，从被测对象、传感链、数据字段和误差来源分析感知方案。</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1.3 掌握物联网连接与组网基础，理解TCP/IP、IPv6/6LoWPAN、Wi-Fi、蓝牙、Zigbee/Thread、LoRaWAN、NB-IoT/蜂窝物联等技术的基本特点和典型适用场景。</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以距离、速率、功耗、时延、可靠性、拓扑和成本为维度建立连接技术比较矩阵，分析制造现场的覆盖和干扰约束。</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1.4 掌握MQTT、CoAP、HTTP等应用层协议的消息模型、主题/资源、服务质量和请求响应特点，理解设备模型、数据点、事件、规则引擎、边缘计算、云平台和数据存储的基本作用。</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通过报文、主题树、资源路径和端—边—云数据流程图讲解消息流，比较不同协议和平台架构对可靠性与扩展性的影响。</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1.5 理解工业物联网与智能制造集成中的网关、协议转换、OPC UA、Modbus TCP、设备管理、时序数据、数字孪生和制造系统接口，掌握互操作、时钟/语义一致性和故障隔离的基本思想。</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以机床、机器人、能耗表计和仓储物流设备为对象，分析现场数据如何经过网关进入边缘/平台并服务于监测、追溯和维护。</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1.6 掌握物联网安全的基本目标和分层风险，理解身份认证、访问控制、加密、密钥、固件更新、数据隐私、网络分区和安全运维等基础措施，了解物联网方案评价与技术演进。</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通过弱口令、伪造设备、明文传输、越权访问和不安全升级等案例，建立威胁—资产—控制措施—剩余风险分析链。</w:t>
            </w:r>
          </w:p>
        </w:tc>
      </w:tr>
      <w:tr>
        <w:trPr/>
        <w:tc>
          <w:tcPr>
            <w:tcW w:type="dxa" w:w="1050"/>
            <w:vMerge w:val="restart"/>
          </w:tcPr>
          <w:p>
            <w:pPr>
              <w:spacing w:before="0" w:after="0" w:line="240" w:lineRule="auto"/>
              <w:jc w:val="center"/>
            </w:pPr>
            <w:r/>
            <w:r>
              <w:rPr>
                <w:rFonts w:ascii="Times New Roman" w:hAnsi="Times New Roman" w:cs="Times New Roman" w:eastAsia="宋体" w:hint="eastAsia"/>
                <w:b/>
                <w:sz w:val="18"/>
                <w:lang w:eastAsia="zh-CN"/>
              </w:rPr>
              <w:t>2.能力</w:t>
            </w: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2.1 能够从智能制造应用需求中识别对象、数据、事件、控制动作、网络和平台角色，绘制物联网系统架构图、数据流图和主要接口关系。</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通过设备状态监测和质量追溯案例完成需求—对象—数据—服务映射，并使用结构化图表进行评审。</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2.2 能够依据测量对象和工程指标选择传感、识别或定位方式，设计基本采集链和数据字段，分析误差、采样、校准与数据质量问题。</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设置多种传感方案比较任务，要求从量程、精度、安装、功耗、维护和成本等方面形成选择依据。</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2.3 能够根据覆盖、速率、功耗、时延、可靠性、节点数量和现场环境选择连接与组网技术，说明拓扑、地址、网关和故障场景。</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通过无线/有线混合制造现场案例建立技术选型表，分析干扰、链路中断、网络拥塞和漫游等边界。</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2.4 能够设计MQTT主题、CoAP资源或HTTP接口，建立设备模型、数据点、事件与命令，分析消息方向、QoS、缓存、离线重连和端—边—云处理分工。</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使用协议时序图、主题树、JSON样例和教师演示数据完成接口设计，检查命名、单位、时间戳和异常处理。</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2.5 能够针对典型智能制造场景设计工业网关与平台集成方案，说明现场协议、协议转换、OPC UA/平台接口、数据存储、规则、告警和可视化之间的关系。</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以设备综合效率、能耗监测、仓储物流或预测维护为题完成端到端方案，进行接口和故障传播评审。</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2.6 能够识别物联网系统中的主要资产、威胁和薄弱环节，提出身份、访问、通信、设备、数据和运维安全措施，并综合评价方案的可行性、限制和改进方向。</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在综合考查中提交安全清单、分层控制措施和风险说明，通过个人问答核验技术选择与责任边界。</w:t>
            </w:r>
          </w:p>
        </w:tc>
      </w:tr>
      <w:tr>
        <w:trPr/>
        <w:tc>
          <w:tcPr>
            <w:tcW w:type="dxa" w:w="1050"/>
            <w:vMerge w:val="restart"/>
          </w:tcPr>
          <w:p>
            <w:pPr>
              <w:spacing w:before="0" w:after="0" w:line="240" w:lineRule="auto"/>
              <w:jc w:val="center"/>
            </w:pPr>
            <w:r/>
            <w:r>
              <w:rPr>
                <w:rFonts w:ascii="Times New Roman" w:hAnsi="Times New Roman" w:cs="Times New Roman" w:eastAsia="宋体" w:hint="eastAsia"/>
                <w:b/>
                <w:sz w:val="18"/>
                <w:lang w:eastAsia="zh-CN"/>
              </w:rPr>
              <w:t>3.素质</w:t>
            </w: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3.1 形成从物理对象、数据、网络、平台到业务闭环理解物联网系统的整体工程观，重视需求、接口和边界的一致性。</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通过端—边—网—云架构复盘和跨模块接口评审，训练系统化表达与协同意识。</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3.2 形成尊重测量数据和校准证据的科学态度，理解传感误差、丢包、时间戳和数据清洗对工程结论的影响。</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在感知与数据案例中区分原始测量、传输数据、平台结果和业务结论，要求说明误差来源和复核方法。</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3.3 形成依据场景指标选择连接技术和协议的理性意识，避免以热点、带宽或单一参数替代综合工程权衡。</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使用统一评价维度开展方案对比，要求说明成本、功耗、可靠性和维护性的取舍。</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3.4 形成接口命名、数据单位、时间、版本和文档规范意识，能够使用架构图、主题表、数据字典和时序图进行技术沟通。</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单元作业与综合考查采用标准化模板，图表、字段、协议和版本必须可追溯。</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3.5 树立设备、网络、数据与人员安全责任意识，理解物联网连接扩大攻击面和隐私风险，能够遵守最小权限、分区隔离和安全更新等基本规范。</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通过安全事件案例和威胁建模，把安全控制和人工处置写入系统方案而非作为附加说明。</w:t>
            </w:r>
          </w:p>
        </w:tc>
      </w:tr>
      <w:tr>
        <w:trPr/>
        <w:tc>
          <w:tcPr>
            <w:tcW w:type="dxa" w:w="1050"/>
            <w:vMerge/>
          </w:tcPr>
          <w:p/>
        </w:tc>
        <w:tc>
          <w:tcPr>
            <w:tcW w:type="dxa" w:w="4650"/>
          </w:tcPr>
          <w:p>
            <w:pPr>
              <w:spacing w:before="0" w:after="0" w:line="240" w:lineRule="auto"/>
              <w:jc w:val="left"/>
            </w:pPr>
            <w:r/>
            <w:r>
              <w:rPr>
                <w:rFonts w:ascii="Times New Roman" w:hAnsi="Times New Roman" w:cs="Times New Roman" w:eastAsia="宋体" w:hint="eastAsia"/>
                <w:b w:val="0"/>
                <w:sz w:val="16"/>
                <w:lang w:eastAsia="zh-CN"/>
              </w:rPr>
              <w:t>3.6 形成自主检索、持续学习和技术迁移意识，能够阅读协议、标准和平台资料，判断技术版本、适用条件与局限，对工具或智能助手给出的结论承担验证责任。</w:t>
            </w:r>
          </w:p>
        </w:tc>
        <w:tc>
          <w:tcPr>
            <w:tcW w:type="dxa" w:w="3354"/>
          </w:tcPr>
          <w:p>
            <w:pPr>
              <w:spacing w:before="0" w:after="0" w:line="240" w:lineRule="auto"/>
              <w:jc w:val="left"/>
            </w:pPr>
            <w:r/>
            <w:r>
              <w:rPr>
                <w:rFonts w:ascii="Times New Roman" w:hAnsi="Times New Roman" w:cs="Times New Roman" w:eastAsia="宋体" w:hint="eastAsia"/>
                <w:b w:val="0"/>
                <w:sz w:val="16"/>
                <w:lang w:eastAsia="zh-CN"/>
              </w:rPr>
              <w:t>安排技术资料阅读和版本比较任务，要求引用来源、说明变更并通过事实与推理复核结论。</w:t>
            </w:r>
          </w:p>
        </w:tc>
      </w:tr>
    </w:tbl>
    <w:p/>
    <w:p>
      <w:pPr>
        <w:keepNext/>
        <w:spacing w:before="140" w:after="60"/>
      </w:pPr>
      <w:r>
        <w:rPr>
          <w:rFonts w:ascii="Times New Roman" w:hAnsi="Times New Roman" w:cs="Times New Roman" w:eastAsia="黑体" w:hint="eastAsia"/>
          <w:b/>
          <w:sz w:val="28"/>
          <w:lang w:eastAsia="zh-CN"/>
        </w:rPr>
        <w:t>三、理论教学环节及基本要求</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900"/>
        <w:gridCol w:w="600"/>
        <w:gridCol w:w="1000"/>
        <w:gridCol w:w="3000"/>
        <w:gridCol w:w="1254"/>
      </w:tblGrid>
      <w:tr>
        <w:trPr>
          <w:tblHeader w:val="true"/>
        </w:trPr>
        <w:tc>
          <w:tcPr>
            <w:tcW w:type="dxa" w:w="13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单元标题</w:t>
            </w:r>
          </w:p>
        </w:tc>
        <w:tc>
          <w:tcPr>
            <w:tcW w:type="dxa" w:w="19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教学内容</w:t>
            </w:r>
          </w:p>
        </w:tc>
        <w:tc>
          <w:tcPr>
            <w:tcW w:type="dxa" w:w="6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学时</w:t>
            </w:r>
          </w:p>
        </w:tc>
        <w:tc>
          <w:tcPr>
            <w:tcW w:type="dxa" w:w="4000"/>
            <w:vAlign w:val="center"/>
            <w:gridSpan w:val="2"/>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课程要求</w:t>
            </w:r>
          </w:p>
        </w:tc>
        <w:tc>
          <w:tcPr>
            <w:tcW w:type="dxa" w:w="125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7"/>
                <w:lang w:eastAsia="zh-CN"/>
              </w:rPr>
              <w:t>课程目标</w:t>
            </w:r>
          </w:p>
        </w:tc>
      </w:tr>
      <w:tr>
        <w:trPr/>
        <w:tc>
          <w:tcPr>
            <w:tcW w:type="dxa" w:w="1300"/>
            <w:vMerge w:val="restart"/>
          </w:tcPr>
          <w:p>
            <w:pPr>
              <w:spacing w:before="0" w:after="0" w:line="240" w:lineRule="auto"/>
              <w:jc w:val="center"/>
            </w:pPr>
            <w:r/>
            <w:r>
              <w:rPr>
                <w:rFonts w:ascii="Times New Roman" w:hAnsi="Times New Roman" w:cs="Times New Roman" w:eastAsia="宋体" w:hint="eastAsia"/>
                <w:b/>
                <w:sz w:val="16"/>
                <w:lang w:eastAsia="zh-CN"/>
              </w:rPr>
              <w:t>第一单元 物联网概念、体系结构与标准化</w:t>
            </w:r>
          </w:p>
        </w:tc>
        <w:tc>
          <w:tcPr>
            <w:tcW w:type="dxa" w:w="1900"/>
            <w:vMerge w:val="restart"/>
          </w:tcPr>
          <w:p>
            <w:pPr>
              <w:spacing w:before="0" w:after="0" w:line="240" w:lineRule="auto"/>
              <w:jc w:val="left"/>
            </w:pPr>
            <w:r/>
            <w:r>
              <w:rPr>
                <w:rFonts w:ascii="Times New Roman" w:hAnsi="Times New Roman" w:cs="Times New Roman" w:eastAsia="宋体" w:hint="eastAsia"/>
                <w:b w:val="0"/>
                <w:sz w:val="16"/>
                <w:lang w:eastAsia="zh-CN"/>
              </w:rPr>
              <w:t>物联网起源与发展；物理对象、数字身份与服务；三层/四层体系；端—边—云；物联网、互联网、工业互联网和CPS关系；关键指标；标准化对象；智能制造物联网案例全景</w:t>
            </w:r>
          </w:p>
        </w:tc>
        <w:tc>
          <w:tcPr>
            <w:tcW w:type="dxa" w:w="600"/>
            <w:vMerge w:val="restart"/>
          </w:tcPr>
          <w:p>
            <w:pPr>
              <w:spacing w:before="0" w:after="0" w:line="240" w:lineRule="auto"/>
              <w:jc w:val="center"/>
            </w:pPr>
            <w:r/>
            <w:r>
              <w:rPr>
                <w:rFonts w:ascii="Times New Roman" w:hAnsi="Times New Roman" w:cs="Times New Roman" w:eastAsia="宋体" w:hint="eastAsia"/>
                <w:b w:val="0"/>
                <w:sz w:val="16"/>
                <w:lang w:eastAsia="zh-CN"/>
              </w:rPr>
              <w:t>4</w:t>
            </w:r>
          </w:p>
        </w:tc>
        <w:tc>
          <w:tcPr>
            <w:tcW w:type="dxa" w:w="1000"/>
          </w:tcPr>
          <w:p>
            <w:pPr>
              <w:spacing w:before="0" w:after="0" w:line="240" w:lineRule="auto"/>
              <w:jc w:val="center"/>
            </w:pPr>
            <w:r/>
            <w:r>
              <w:rPr>
                <w:rFonts w:ascii="Times New Roman" w:hAnsi="Times New Roman" w:cs="Times New Roman" w:eastAsia="宋体" w:hint="eastAsia"/>
                <w:b/>
                <w:sz w:val="16"/>
                <w:lang w:eastAsia="zh-CN"/>
              </w:rPr>
              <w:t>思政融入点</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结合我国物联网产业、工业数字化和标准建设，培养核心技术学习、标准意识和服务制造强国的责任感。</w:t>
            </w:r>
          </w:p>
        </w:tc>
        <w:tc>
          <w:tcPr>
            <w:tcW w:type="dxa" w:w="1254"/>
            <w:vMerge w:val="restart"/>
          </w:tcPr>
          <w:p>
            <w:pPr>
              <w:spacing w:before="0" w:after="0" w:line="240" w:lineRule="auto"/>
              <w:jc w:val="center"/>
            </w:pPr>
            <w:r/>
            <w:r>
              <w:rPr>
                <w:rFonts w:ascii="Times New Roman" w:hAnsi="Times New Roman" w:cs="Times New Roman" w:eastAsia="宋体" w:hint="eastAsia"/>
                <w:b w:val="0"/>
                <w:sz w:val="16"/>
                <w:lang w:eastAsia="zh-CN"/>
              </w:rPr>
              <w:t>目标 1.1，2.1，3.1</w:t>
            </w: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预期学习成果</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知识层面：理解物联网概念、体系和技术边界。</w:t>
              <w:br/>
              <w:t>能力层面：能够识别端、边、网、云和应用角色并绘制数据流。</w:t>
              <w:br/>
              <w:t>素养层面：形成系统工程和标准化意识。</w:t>
            </w:r>
          </w:p>
        </w:tc>
        <w:tc>
          <w:tcPr>
            <w:tcW w:type="dxa" w:w="1254"/>
            <w:vMerge/>
          </w:tcP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教学方式</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讲授、架构图解、制造案例、概念对比、课堂讨论</w:t>
            </w:r>
          </w:p>
        </w:tc>
        <w:tc>
          <w:tcPr>
            <w:tcW w:type="dxa" w:w="1254"/>
            <w:vMerge/>
          </w:tcPr>
          <w:p/>
        </w:tc>
      </w:tr>
      <w:tr>
        <w:trPr/>
        <w:tc>
          <w:tcPr>
            <w:tcW w:type="dxa" w:w="1300"/>
            <w:vMerge w:val="restart"/>
          </w:tcPr>
          <w:p>
            <w:pPr>
              <w:spacing w:before="0" w:after="0" w:line="240" w:lineRule="auto"/>
              <w:jc w:val="center"/>
            </w:pPr>
            <w:r/>
            <w:r>
              <w:rPr>
                <w:rFonts w:ascii="Times New Roman" w:hAnsi="Times New Roman" w:cs="Times New Roman" w:eastAsia="宋体" w:hint="eastAsia"/>
                <w:b/>
                <w:sz w:val="16"/>
                <w:lang w:eastAsia="zh-CN"/>
              </w:rPr>
              <w:t>第二单元 感知、识别与设备数据</w:t>
            </w:r>
          </w:p>
        </w:tc>
        <w:tc>
          <w:tcPr>
            <w:tcW w:type="dxa" w:w="1900"/>
            <w:vMerge w:val="restart"/>
          </w:tcPr>
          <w:p>
            <w:pPr>
              <w:spacing w:before="0" w:after="0" w:line="240" w:lineRule="auto"/>
              <w:jc w:val="left"/>
            </w:pPr>
            <w:r/>
            <w:r>
              <w:rPr>
                <w:rFonts w:ascii="Times New Roman" w:hAnsi="Times New Roman" w:cs="Times New Roman" w:eastAsia="宋体" w:hint="eastAsia"/>
                <w:b w:val="0"/>
                <w:sz w:val="16"/>
                <w:lang w:eastAsia="zh-CN"/>
              </w:rPr>
              <w:t>传感器与执行器；采样、量程、精度、分辨率和校准；温度、振动、电流、位置等制造数据；RFID/EPC、二维码和定位；无线传感器网络节点与拓扑；时间戳、单位、缺失、异常和数据质量</w:t>
            </w:r>
          </w:p>
        </w:tc>
        <w:tc>
          <w:tcPr>
            <w:tcW w:type="dxa" w:w="600"/>
            <w:vMerge w:val="restart"/>
          </w:tcPr>
          <w:p>
            <w:pPr>
              <w:spacing w:before="0" w:after="0" w:line="240" w:lineRule="auto"/>
              <w:jc w:val="center"/>
            </w:pPr>
            <w:r/>
            <w:r>
              <w:rPr>
                <w:rFonts w:ascii="Times New Roman" w:hAnsi="Times New Roman" w:cs="Times New Roman" w:eastAsia="宋体" w:hint="eastAsia"/>
                <w:b w:val="0"/>
                <w:sz w:val="16"/>
                <w:lang w:eastAsia="zh-CN"/>
              </w:rPr>
              <w:t>6</w:t>
            </w:r>
          </w:p>
        </w:tc>
        <w:tc>
          <w:tcPr>
            <w:tcW w:type="dxa" w:w="1000"/>
          </w:tcPr>
          <w:p>
            <w:pPr>
              <w:spacing w:before="0" w:after="0" w:line="240" w:lineRule="auto"/>
              <w:jc w:val="center"/>
            </w:pPr>
            <w:r/>
            <w:r>
              <w:rPr>
                <w:rFonts w:ascii="Times New Roman" w:hAnsi="Times New Roman" w:cs="Times New Roman" w:eastAsia="宋体" w:hint="eastAsia"/>
                <w:b/>
                <w:sz w:val="16"/>
                <w:lang w:eastAsia="zh-CN"/>
              </w:rPr>
              <w:t>思政融入点</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通过数据失真和设备误判案例强调测量诚信、质量责任和“数据必须有来源、单位和校准依据”的工程底线。</w:t>
            </w:r>
          </w:p>
        </w:tc>
        <w:tc>
          <w:tcPr>
            <w:tcW w:type="dxa" w:w="1254"/>
            <w:vMerge w:val="restart"/>
          </w:tcPr>
          <w:p>
            <w:pPr>
              <w:spacing w:before="0" w:after="0" w:line="240" w:lineRule="auto"/>
              <w:jc w:val="center"/>
            </w:pPr>
            <w:r/>
            <w:r>
              <w:rPr>
                <w:rFonts w:ascii="Times New Roman" w:hAnsi="Times New Roman" w:cs="Times New Roman" w:eastAsia="宋体" w:hint="eastAsia"/>
                <w:b w:val="0"/>
                <w:sz w:val="16"/>
                <w:lang w:eastAsia="zh-CN"/>
              </w:rPr>
              <w:t>目标 1.2，2.2，3.2</w:t>
            </w: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预期学习成果</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知识层面：掌握感知、标识与数据质量基础。</w:t>
              <w:br/>
              <w:t>能力层面：能够选择感知方式并设计基本数据字段与采集链。</w:t>
              <w:br/>
              <w:t>素养层面：形成尊重原始数据、误差和校准证据的态度。</w:t>
            </w:r>
          </w:p>
        </w:tc>
        <w:tc>
          <w:tcPr>
            <w:tcW w:type="dxa" w:w="1254"/>
            <w:vMerge/>
          </w:tcP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教学方式</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讲授、传感案例、数据样例、识别流程、方案比较</w:t>
            </w:r>
          </w:p>
        </w:tc>
        <w:tc>
          <w:tcPr>
            <w:tcW w:type="dxa" w:w="1254"/>
            <w:vMerge/>
          </w:tcPr>
          <w:p/>
        </w:tc>
      </w:tr>
      <w:tr>
        <w:trPr/>
        <w:tc>
          <w:tcPr>
            <w:tcW w:type="dxa" w:w="1300"/>
            <w:vMerge w:val="restart"/>
          </w:tcPr>
          <w:p>
            <w:pPr>
              <w:spacing w:before="0" w:after="0" w:line="240" w:lineRule="auto"/>
              <w:jc w:val="center"/>
            </w:pPr>
            <w:r/>
            <w:r>
              <w:rPr>
                <w:rFonts w:ascii="Times New Roman" w:hAnsi="Times New Roman" w:cs="Times New Roman" w:eastAsia="宋体" w:hint="eastAsia"/>
                <w:b/>
                <w:sz w:val="16"/>
                <w:lang w:eastAsia="zh-CN"/>
              </w:rPr>
              <w:t>第三单元 连接技术、网络与组网</w:t>
            </w:r>
          </w:p>
        </w:tc>
        <w:tc>
          <w:tcPr>
            <w:tcW w:type="dxa" w:w="1900"/>
            <w:vMerge w:val="restart"/>
          </w:tcPr>
          <w:p>
            <w:pPr>
              <w:spacing w:before="0" w:after="0" w:line="240" w:lineRule="auto"/>
              <w:jc w:val="left"/>
            </w:pPr>
            <w:r/>
            <w:r>
              <w:rPr>
                <w:rFonts w:ascii="Times New Roman" w:hAnsi="Times New Roman" w:cs="Times New Roman" w:eastAsia="宋体" w:hint="eastAsia"/>
                <w:b w:val="0"/>
                <w:sz w:val="16"/>
                <w:lang w:eastAsia="zh-CN"/>
              </w:rPr>
              <w:t>TCP/IP与IPv6基础；6LoWPAN概念；Wi-Fi、蓝牙低功耗、Zigbee/Thread；LoRaWAN；NB-IoT与蜂窝物联；拓扑、寻址、网关；覆盖、速率、功耗、时延、可靠性、容量、干扰和成本；有线/无线混合接入</w:t>
            </w:r>
          </w:p>
        </w:tc>
        <w:tc>
          <w:tcPr>
            <w:tcW w:type="dxa" w:w="600"/>
            <w:vMerge w:val="restart"/>
          </w:tcPr>
          <w:p>
            <w:pPr>
              <w:spacing w:before="0" w:after="0" w:line="240" w:lineRule="auto"/>
              <w:jc w:val="center"/>
            </w:pPr>
            <w:r/>
            <w:r>
              <w:rPr>
                <w:rFonts w:ascii="Times New Roman" w:hAnsi="Times New Roman" w:cs="Times New Roman" w:eastAsia="宋体" w:hint="eastAsia"/>
                <w:b w:val="0"/>
                <w:sz w:val="16"/>
                <w:lang w:eastAsia="zh-CN"/>
              </w:rPr>
              <w:t>6</w:t>
            </w:r>
          </w:p>
        </w:tc>
        <w:tc>
          <w:tcPr>
            <w:tcW w:type="dxa" w:w="1000"/>
          </w:tcPr>
          <w:p>
            <w:pPr>
              <w:spacing w:before="0" w:after="0" w:line="240" w:lineRule="auto"/>
              <w:jc w:val="center"/>
            </w:pPr>
            <w:r/>
            <w:r>
              <w:rPr>
                <w:rFonts w:ascii="Times New Roman" w:hAnsi="Times New Roman" w:cs="Times New Roman" w:eastAsia="宋体" w:hint="eastAsia"/>
                <w:b/>
                <w:sz w:val="16"/>
                <w:lang w:eastAsia="zh-CN"/>
              </w:rPr>
              <w:t>思政融入点</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通过频谱资源、网络可靠性和生产现场干扰案例，培养遵守通信规范、节约资源和对连接失效后果负责的意识。</w:t>
            </w:r>
          </w:p>
        </w:tc>
        <w:tc>
          <w:tcPr>
            <w:tcW w:type="dxa" w:w="1254"/>
            <w:vMerge w:val="restart"/>
          </w:tcPr>
          <w:p>
            <w:pPr>
              <w:spacing w:before="0" w:after="0" w:line="240" w:lineRule="auto"/>
              <w:jc w:val="center"/>
            </w:pPr>
            <w:r/>
            <w:r>
              <w:rPr>
                <w:rFonts w:ascii="Times New Roman" w:hAnsi="Times New Roman" w:cs="Times New Roman" w:eastAsia="宋体" w:hint="eastAsia"/>
                <w:b w:val="0"/>
                <w:sz w:val="16"/>
                <w:lang w:eastAsia="zh-CN"/>
              </w:rPr>
              <w:t>目标 1.3，2.3，3.3</w:t>
            </w: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预期学习成果</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知识层面：理解主要连接技术及其适用场景。</w:t>
              <w:br/>
              <w:t>能力层面：能够基于工程指标进行组网与技术选型。</w:t>
              <w:br/>
              <w:t>素养层面：形成综合权衡、边界验证和资源责任意识。</w:t>
            </w:r>
          </w:p>
        </w:tc>
        <w:tc>
          <w:tcPr>
            <w:tcW w:type="dxa" w:w="1254"/>
            <w:vMerge/>
          </w:tcP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教学方式</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讲授、协议栈图、链路预算概念、技术选型矩阵、故障场景分析</w:t>
            </w:r>
          </w:p>
        </w:tc>
        <w:tc>
          <w:tcPr>
            <w:tcW w:type="dxa" w:w="1254"/>
            <w:vMerge/>
          </w:tcPr>
          <w:p/>
        </w:tc>
      </w:tr>
      <w:tr>
        <w:trPr/>
        <w:tc>
          <w:tcPr>
            <w:tcW w:type="dxa" w:w="1300"/>
            <w:vMerge w:val="restart"/>
          </w:tcPr>
          <w:p>
            <w:pPr>
              <w:spacing w:before="0" w:after="0" w:line="240" w:lineRule="auto"/>
              <w:jc w:val="center"/>
            </w:pPr>
            <w:r/>
            <w:r>
              <w:rPr>
                <w:rFonts w:ascii="Times New Roman" w:hAnsi="Times New Roman" w:cs="Times New Roman" w:eastAsia="宋体" w:hint="eastAsia"/>
                <w:b/>
                <w:sz w:val="16"/>
                <w:lang w:eastAsia="zh-CN"/>
              </w:rPr>
              <w:t>第四单元 应用协议、边缘计算与物联网平台</w:t>
            </w:r>
          </w:p>
        </w:tc>
        <w:tc>
          <w:tcPr>
            <w:tcW w:type="dxa" w:w="1900"/>
            <w:vMerge w:val="restart"/>
          </w:tcPr>
          <w:p>
            <w:pPr>
              <w:spacing w:before="0" w:after="0" w:line="240" w:lineRule="auto"/>
              <w:jc w:val="left"/>
            </w:pPr>
            <w:r/>
            <w:r>
              <w:rPr>
                <w:rFonts w:ascii="Times New Roman" w:hAnsi="Times New Roman" w:cs="Times New Roman" w:eastAsia="宋体" w:hint="eastAsia"/>
                <w:b w:val="0"/>
                <w:sz w:val="16"/>
                <w:lang w:eastAsia="zh-CN"/>
              </w:rPr>
              <w:t>MQTT发布/订阅、主题与QoS；CoAP资源与请求响应；HTTP/REST；JSON与数据模型；设备注册、影子/状态、命令、事件和规则；边缘网关、缓存、过滤和聚合；云平台、时序数据、可视化与告警；Python设备模拟与报文演示</w:t>
            </w:r>
          </w:p>
        </w:tc>
        <w:tc>
          <w:tcPr>
            <w:tcW w:type="dxa" w:w="600"/>
            <w:vMerge w:val="restart"/>
          </w:tcPr>
          <w:p>
            <w:pPr>
              <w:spacing w:before="0" w:after="0" w:line="240" w:lineRule="auto"/>
              <w:jc w:val="center"/>
            </w:pPr>
            <w:r/>
            <w:r>
              <w:rPr>
                <w:rFonts w:ascii="Times New Roman" w:hAnsi="Times New Roman" w:cs="Times New Roman" w:eastAsia="宋体" w:hint="eastAsia"/>
                <w:b w:val="0"/>
                <w:sz w:val="16"/>
                <w:lang w:eastAsia="zh-CN"/>
              </w:rPr>
              <w:t>6</w:t>
            </w:r>
          </w:p>
        </w:tc>
        <w:tc>
          <w:tcPr>
            <w:tcW w:type="dxa" w:w="1000"/>
          </w:tcPr>
          <w:p>
            <w:pPr>
              <w:spacing w:before="0" w:after="0" w:line="240" w:lineRule="auto"/>
              <w:jc w:val="center"/>
            </w:pPr>
            <w:r/>
            <w:r>
              <w:rPr>
                <w:rFonts w:ascii="Times New Roman" w:hAnsi="Times New Roman" w:cs="Times New Roman" w:eastAsia="宋体" w:hint="eastAsia"/>
                <w:b/>
                <w:sz w:val="16"/>
                <w:lang w:eastAsia="zh-CN"/>
              </w:rPr>
              <w:t>思政融入点</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通过数据字段歧义、离线重连和平台告警案例，培养接口契约、数据可追溯和对自动规则结果负责的意识。</w:t>
            </w:r>
          </w:p>
        </w:tc>
        <w:tc>
          <w:tcPr>
            <w:tcW w:type="dxa" w:w="1254"/>
            <w:vMerge w:val="restart"/>
          </w:tcPr>
          <w:p>
            <w:pPr>
              <w:spacing w:before="0" w:after="0" w:line="240" w:lineRule="auto"/>
              <w:jc w:val="center"/>
            </w:pPr>
            <w:r/>
            <w:r>
              <w:rPr>
                <w:rFonts w:ascii="Times New Roman" w:hAnsi="Times New Roman" w:cs="Times New Roman" w:eastAsia="宋体" w:hint="eastAsia"/>
                <w:b w:val="0"/>
                <w:sz w:val="16"/>
                <w:lang w:eastAsia="zh-CN"/>
              </w:rPr>
              <w:t>目标 1.4，2.4，3.4</w:t>
            </w: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预期学习成果</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知识层面：掌握消息协议、设备模型和端—边—云数据处理。</w:t>
              <w:br/>
              <w:t>能力层面：能够设计主题/资源、数据点、消息流和处理分工。</w:t>
              <w:br/>
              <w:t>素养层面：形成命名、单位、时间、版本和接口文档规范。</w:t>
            </w:r>
          </w:p>
        </w:tc>
        <w:tc>
          <w:tcPr>
            <w:tcW w:type="dxa" w:w="1254"/>
            <w:vMerge/>
          </w:tcP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教学方式</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讲授、报文图解、MQTT/Node-RED教师演示、主题树设计、时序图评审</w:t>
            </w:r>
          </w:p>
        </w:tc>
        <w:tc>
          <w:tcPr>
            <w:tcW w:type="dxa" w:w="1254"/>
            <w:vMerge/>
          </w:tcPr>
          <w:p/>
        </w:tc>
      </w:tr>
      <w:tr>
        <w:trPr/>
        <w:tc>
          <w:tcPr>
            <w:tcW w:type="dxa" w:w="1300"/>
            <w:vMerge w:val="restart"/>
          </w:tcPr>
          <w:p>
            <w:pPr>
              <w:spacing w:before="0" w:after="0" w:line="240" w:lineRule="auto"/>
              <w:jc w:val="center"/>
            </w:pPr>
            <w:r/>
            <w:r>
              <w:rPr>
                <w:rFonts w:ascii="Times New Roman" w:hAnsi="Times New Roman" w:cs="Times New Roman" w:eastAsia="宋体" w:hint="eastAsia"/>
                <w:b/>
                <w:sz w:val="16"/>
                <w:lang w:eastAsia="zh-CN"/>
              </w:rPr>
              <w:t>第五单元 工业物联网与智能制造集成</w:t>
            </w:r>
          </w:p>
        </w:tc>
        <w:tc>
          <w:tcPr>
            <w:tcW w:type="dxa" w:w="1900"/>
            <w:vMerge w:val="restart"/>
          </w:tcPr>
          <w:p>
            <w:pPr>
              <w:spacing w:before="0" w:after="0" w:line="240" w:lineRule="auto"/>
              <w:jc w:val="left"/>
            </w:pPr>
            <w:r/>
            <w:r>
              <w:rPr>
                <w:rFonts w:ascii="Times New Roman" w:hAnsi="Times New Roman" w:cs="Times New Roman" w:eastAsia="宋体" w:hint="eastAsia"/>
                <w:b w:val="0"/>
                <w:sz w:val="16"/>
                <w:lang w:eastAsia="zh-CN"/>
              </w:rPr>
              <w:t>工业物联网架构；现场设备与工业网关；Modbus TCP、OPC UA与协议转换；设备模型与信息语义；数据采集、时序数据库、规则与告警；设备状态监测、能耗、质量追溯、仓储物流和预测维护；数字孪生概念；与MES/平台接口；互操作与故障隔离</w:t>
            </w:r>
          </w:p>
        </w:tc>
        <w:tc>
          <w:tcPr>
            <w:tcW w:type="dxa" w:w="600"/>
            <w:vMerge w:val="restart"/>
          </w:tcPr>
          <w:p>
            <w:pPr>
              <w:spacing w:before="0" w:after="0" w:line="240" w:lineRule="auto"/>
              <w:jc w:val="center"/>
            </w:pPr>
            <w:r/>
            <w:r>
              <w:rPr>
                <w:rFonts w:ascii="Times New Roman" w:hAnsi="Times New Roman" w:cs="Times New Roman" w:eastAsia="宋体" w:hint="eastAsia"/>
                <w:b w:val="0"/>
                <w:sz w:val="16"/>
                <w:lang w:eastAsia="zh-CN"/>
              </w:rPr>
              <w:t>6</w:t>
            </w:r>
          </w:p>
        </w:tc>
        <w:tc>
          <w:tcPr>
            <w:tcW w:type="dxa" w:w="1000"/>
          </w:tcPr>
          <w:p>
            <w:pPr>
              <w:spacing w:before="0" w:after="0" w:line="240" w:lineRule="auto"/>
              <w:jc w:val="center"/>
            </w:pPr>
            <w:r/>
            <w:r>
              <w:rPr>
                <w:rFonts w:ascii="Times New Roman" w:hAnsi="Times New Roman" w:cs="Times New Roman" w:eastAsia="宋体" w:hint="eastAsia"/>
                <w:b/>
                <w:sz w:val="16"/>
                <w:lang w:eastAsia="zh-CN"/>
              </w:rPr>
              <w:t>思政融入点</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通过生产安全、设备停机和数据孤岛案例，强化标准互操作、系统可靠性、跨专业协作和面向实际价值的工程意识。</w:t>
            </w:r>
          </w:p>
        </w:tc>
        <w:tc>
          <w:tcPr>
            <w:tcW w:type="dxa" w:w="1254"/>
            <w:vMerge w:val="restart"/>
          </w:tcPr>
          <w:p>
            <w:pPr>
              <w:spacing w:before="0" w:after="0" w:line="240" w:lineRule="auto"/>
              <w:jc w:val="center"/>
            </w:pPr>
            <w:r/>
            <w:r>
              <w:rPr>
                <w:rFonts w:ascii="Times New Roman" w:hAnsi="Times New Roman" w:cs="Times New Roman" w:eastAsia="宋体" w:hint="eastAsia"/>
                <w:b w:val="0"/>
                <w:sz w:val="16"/>
                <w:lang w:eastAsia="zh-CN"/>
              </w:rPr>
              <w:t>目标 1.5，2.5，3.1，3.4</w:t>
            </w: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预期学习成果</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知识层面：理解工业网关、工业协议与制造平台集成。</w:t>
              <w:br/>
              <w:t>能力层面：能够设计制造场景的端到端物联网方案并分析故障传播。</w:t>
              <w:br/>
              <w:t>素养层面：形成接口先行、协同沟通和系统可靠性意识。</w:t>
            </w:r>
          </w:p>
        </w:tc>
        <w:tc>
          <w:tcPr>
            <w:tcW w:type="dxa" w:w="1254"/>
            <w:vMerge/>
          </w:tcP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教学方式</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讲授、制造案例、数据点表、架构/接口图、方案评审</w:t>
            </w:r>
          </w:p>
        </w:tc>
        <w:tc>
          <w:tcPr>
            <w:tcW w:type="dxa" w:w="1254"/>
            <w:vMerge/>
          </w:tcPr>
          <w:p/>
        </w:tc>
      </w:tr>
      <w:tr>
        <w:trPr/>
        <w:tc>
          <w:tcPr>
            <w:tcW w:type="dxa" w:w="1300"/>
            <w:vMerge w:val="restart"/>
          </w:tcPr>
          <w:p>
            <w:pPr>
              <w:spacing w:before="0" w:after="0" w:line="240" w:lineRule="auto"/>
              <w:jc w:val="center"/>
            </w:pPr>
            <w:r/>
            <w:r>
              <w:rPr>
                <w:rFonts w:ascii="Times New Roman" w:hAnsi="Times New Roman" w:cs="Times New Roman" w:eastAsia="宋体" w:hint="eastAsia"/>
                <w:b/>
                <w:sz w:val="16"/>
                <w:lang w:eastAsia="zh-CN"/>
              </w:rPr>
              <w:t>第六单元 物联网安全、治理与综合方案</w:t>
            </w:r>
          </w:p>
        </w:tc>
        <w:tc>
          <w:tcPr>
            <w:tcW w:type="dxa" w:w="1900"/>
            <w:vMerge w:val="restart"/>
          </w:tcPr>
          <w:p>
            <w:pPr>
              <w:spacing w:before="0" w:after="0" w:line="240" w:lineRule="auto"/>
              <w:jc w:val="left"/>
            </w:pPr>
            <w:r/>
            <w:r>
              <w:rPr>
                <w:rFonts w:ascii="Times New Roman" w:hAnsi="Times New Roman" w:cs="Times New Roman" w:eastAsia="宋体" w:hint="eastAsia"/>
                <w:b w:val="0"/>
                <w:sz w:val="16"/>
                <w:lang w:eastAsia="zh-CN"/>
              </w:rPr>
              <w:t>安全目标与资产；设备身份、认证与访问控制；通信加密与密钥；固件与安全更新；网络分区、网关和平台权限；数据隐私、日志和运维；弱口令、伪造设备、越权、拒绝服务与供应链风险；方案成本、可靠性、可维护性和技术演进评价</w:t>
            </w:r>
          </w:p>
        </w:tc>
        <w:tc>
          <w:tcPr>
            <w:tcW w:type="dxa" w:w="600"/>
            <w:vMerge w:val="restart"/>
          </w:tcPr>
          <w:p>
            <w:pPr>
              <w:spacing w:before="0" w:after="0" w:line="240" w:lineRule="auto"/>
              <w:jc w:val="center"/>
            </w:pPr>
            <w:r/>
            <w:r>
              <w:rPr>
                <w:rFonts w:ascii="Times New Roman" w:hAnsi="Times New Roman" w:cs="Times New Roman" w:eastAsia="宋体" w:hint="eastAsia"/>
                <w:b w:val="0"/>
                <w:sz w:val="16"/>
                <w:lang w:eastAsia="zh-CN"/>
              </w:rPr>
              <w:t>4</w:t>
            </w:r>
          </w:p>
        </w:tc>
        <w:tc>
          <w:tcPr>
            <w:tcW w:type="dxa" w:w="1000"/>
          </w:tcPr>
          <w:p>
            <w:pPr>
              <w:spacing w:before="0" w:after="0" w:line="240" w:lineRule="auto"/>
              <w:jc w:val="center"/>
            </w:pPr>
            <w:r/>
            <w:r>
              <w:rPr>
                <w:rFonts w:ascii="Times New Roman" w:hAnsi="Times New Roman" w:cs="Times New Roman" w:eastAsia="宋体" w:hint="eastAsia"/>
                <w:b/>
                <w:sz w:val="16"/>
                <w:lang w:eastAsia="zh-CN"/>
              </w:rPr>
              <w:t>思政融入点</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结合物联网安全、隐私和生产影响案例，培养守法合规、最小权限、风险披露和技术人员最终责任意识。</w:t>
            </w:r>
          </w:p>
        </w:tc>
        <w:tc>
          <w:tcPr>
            <w:tcW w:type="dxa" w:w="1254"/>
            <w:vMerge w:val="restart"/>
          </w:tcPr>
          <w:p>
            <w:pPr>
              <w:spacing w:before="0" w:after="0" w:line="240" w:lineRule="auto"/>
              <w:jc w:val="center"/>
            </w:pPr>
            <w:r/>
            <w:r>
              <w:rPr>
                <w:rFonts w:ascii="Times New Roman" w:hAnsi="Times New Roman" w:cs="Times New Roman" w:eastAsia="宋体" w:hint="eastAsia"/>
                <w:b w:val="0"/>
                <w:sz w:val="16"/>
                <w:lang w:eastAsia="zh-CN"/>
              </w:rPr>
              <w:t>目标 1.6，2.6，3.5，3.6</w:t>
            </w: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预期学习成果</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知识层面：掌握物联网分层风险和基础安全措施。</w:t>
              <w:br/>
              <w:t>能力层面：能够完成威胁、控制措施和剩余风险分析并综合评价方案。</w:t>
              <w:br/>
              <w:t>素养层面：形成安全、隐私、持续学习和独立验证意识。</w:t>
            </w:r>
          </w:p>
        </w:tc>
        <w:tc>
          <w:tcPr>
            <w:tcW w:type="dxa" w:w="1254"/>
            <w:vMerge/>
          </w:tcPr>
          <w:p/>
        </w:tc>
      </w:tr>
      <w:tr>
        <w:trPr/>
        <w:tc>
          <w:tcPr>
            <w:tcW w:type="dxa" w:w="1300"/>
            <w:vMerge/>
          </w:tcPr>
          <w:p/>
        </w:tc>
        <w:tc>
          <w:tcPr>
            <w:tcW w:type="dxa" w:w="1900"/>
            <w:vMerge/>
          </w:tcPr>
          <w:p/>
        </w:tc>
        <w:tc>
          <w:tcPr>
            <w:tcW w:type="dxa" w:w="600"/>
            <w:vMerge/>
          </w:tcPr>
          <w:p/>
        </w:tc>
        <w:tc>
          <w:tcPr>
            <w:tcW w:type="dxa" w:w="1000"/>
          </w:tcPr>
          <w:p>
            <w:pPr>
              <w:spacing w:before="0" w:after="0" w:line="240" w:lineRule="auto"/>
              <w:jc w:val="center"/>
            </w:pPr>
            <w:r/>
            <w:r>
              <w:rPr>
                <w:rFonts w:ascii="Times New Roman" w:hAnsi="Times New Roman" w:cs="Times New Roman" w:eastAsia="宋体" w:hint="eastAsia"/>
                <w:b/>
                <w:sz w:val="16"/>
                <w:lang w:eastAsia="zh-CN"/>
              </w:rPr>
              <w:t>教学方式</w:t>
            </w:r>
          </w:p>
        </w:tc>
        <w:tc>
          <w:tcPr>
            <w:tcW w:type="dxa" w:w="3000"/>
          </w:tcPr>
          <w:p>
            <w:pPr>
              <w:spacing w:before="0" w:after="0" w:line="240" w:lineRule="auto"/>
              <w:jc w:val="left"/>
            </w:pPr>
            <w:r/>
            <w:r>
              <w:rPr>
                <w:rFonts w:ascii="Times New Roman" w:hAnsi="Times New Roman" w:cs="Times New Roman" w:eastAsia="宋体" w:hint="eastAsia"/>
                <w:b w:val="0"/>
                <w:sz w:val="15"/>
                <w:lang w:eastAsia="zh-CN"/>
              </w:rPr>
              <w:t>讲授、安全案例、威胁建模、综合方案评审、个人答辩</w:t>
            </w:r>
          </w:p>
        </w:tc>
        <w:tc>
          <w:tcPr>
            <w:tcW w:type="dxa" w:w="1254"/>
            <w:vMerge/>
          </w:tcPr>
          <w:p/>
        </w:tc>
      </w:tr>
    </w:tbl>
    <w:p>
      <w:r>
        <w:rPr>
          <w:rFonts w:ascii="Times New Roman" w:hAnsi="Times New Roman" w:cs="Times New Roman" w:eastAsia="宋体" w:hint="eastAsia"/>
          <w:b/>
          <w:sz w:val="21"/>
          <w:lang w:eastAsia="zh-CN"/>
        </w:rPr>
        <w:t>理论总学时 32</w:t>
      </w:r>
    </w:p>
    <w:p>
      <w:pPr>
        <w:keepNext/>
        <w:spacing w:before="140" w:after="60"/>
      </w:pPr>
      <w:r>
        <w:rPr>
          <w:rFonts w:ascii="Times New Roman" w:hAnsi="Times New Roman" w:cs="Times New Roman" w:eastAsia="黑体" w:hint="eastAsia"/>
          <w:b/>
          <w:sz w:val="28"/>
          <w:lang w:eastAsia="zh-CN"/>
        </w:rPr>
        <w:t>四、课程评价</w:t>
      </w:r>
    </w:p>
    <w:p>
      <w:pPr>
        <w:keepNext/>
        <w:spacing w:before="80" w:after="40"/>
      </w:pPr>
      <w:r>
        <w:rPr>
          <w:rFonts w:ascii="Times New Roman" w:hAnsi="Times New Roman" w:cs="Times New Roman" w:eastAsia="宋体" w:hint="eastAsia"/>
          <w:b/>
          <w:sz w:val="24"/>
          <w:lang w:eastAsia="zh-CN"/>
        </w:rPr>
        <w:t>（一）考核内容、考核方式与课程目标对应关系</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700"/>
        <w:gridCol w:w="1100"/>
        <w:gridCol w:w="1100"/>
        <w:gridCol w:w="1300"/>
        <w:gridCol w:w="2654"/>
      </w:tblGrid>
      <w:tr>
        <w:trPr>
          <w:tblHeader w:val="true"/>
        </w:trPr>
        <w:tc>
          <w:tcPr>
            <w:tcW w:type="dxa" w:w="1500"/>
            <w:vAlign w:val="center"/>
            <w:vMerge w:val="restart"/>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考核内容</w:t>
            </w:r>
          </w:p>
        </w:tc>
        <w:tc>
          <w:tcPr>
            <w:tcW w:type="dxa" w:w="700"/>
            <w:vAlign w:val="center"/>
            <w:vMerge w:val="restart"/>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总学时</w:t>
            </w:r>
          </w:p>
        </w:tc>
        <w:tc>
          <w:tcPr>
            <w:tcW w:type="dxa" w:w="700"/>
            <w:vAlign w:val="center"/>
            <w:vMerge w:val="restart"/>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理论学时</w:t>
            </w:r>
          </w:p>
        </w:tc>
        <w:tc>
          <w:tcPr>
            <w:tcW w:type="dxa" w:w="3500"/>
            <w:vAlign w:val="center"/>
            <w:gridSpan w:val="3"/>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考核方式及占比（100%）</w:t>
            </w:r>
          </w:p>
        </w:tc>
        <w:tc>
          <w:tcPr>
            <w:tcW w:type="dxa" w:w="2654"/>
            <w:vAlign w:val="center"/>
            <w:vMerge w:val="restart"/>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课程目标</w:t>
            </w:r>
          </w:p>
        </w:tc>
      </w:tr>
      <w:tr>
        <w:trPr>
          <w:tblHeader w:val="true"/>
        </w:trPr>
        <w:tc>
          <w:tcPr>
            <w:tcW w:type="dxa" w:w="1500"/>
            <w:vAlign w:val="center"/>
            <w:vMerge/>
            <w:tcMar>
              <w:top w:w="65" w:type="dxa"/>
              <w:bottom w:w="65" w:type="dxa"/>
              <w:start w:w="65" w:type="dxa"/>
              <w:end w:w="65" w:type="dxa"/>
            </w:tcMar>
          </w:tcPr>
          <w:p/>
        </w:tc>
        <w:tc>
          <w:tcPr>
            <w:tcW w:type="dxa" w:w="700"/>
            <w:vAlign w:val="center"/>
            <w:vMerge/>
            <w:tcMar>
              <w:top w:w="65" w:type="dxa"/>
              <w:bottom w:w="65" w:type="dxa"/>
              <w:start w:w="65" w:type="dxa"/>
              <w:end w:w="65" w:type="dxa"/>
            </w:tcMar>
          </w:tcPr>
          <w:p/>
        </w:tc>
        <w:tc>
          <w:tcPr>
            <w:tcW w:type="dxa" w:w="700"/>
            <w:vAlign w:val="center"/>
            <w:vMerge/>
            <w:tcMar>
              <w:top w:w="65" w:type="dxa"/>
              <w:bottom w:w="65" w:type="dxa"/>
              <w:start w:w="65" w:type="dxa"/>
              <w:end w:w="65" w:type="dxa"/>
            </w:tcMar>
          </w:tcPr>
          <w:p/>
        </w:tc>
        <w:tc>
          <w:tcPr>
            <w:tcW w:type="dxa" w:w="11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平时表现（20%）</w:t>
            </w:r>
          </w:p>
        </w:tc>
        <w:tc>
          <w:tcPr>
            <w:tcW w:type="dxa" w:w="11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课程作业（30%）</w:t>
            </w:r>
          </w:p>
        </w:tc>
        <w:tc>
          <w:tcPr>
            <w:tcW w:type="dxa" w:w="13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期末考查（50%）</w:t>
            </w:r>
          </w:p>
        </w:tc>
        <w:tc>
          <w:tcPr>
            <w:tcW w:type="dxa" w:w="2654"/>
            <w:vAlign w:val="center"/>
            <w:vMerge/>
            <w:tcMar>
              <w:top w:w="65" w:type="dxa"/>
              <w:bottom w:w="65" w:type="dxa"/>
              <w:start w:w="65" w:type="dxa"/>
              <w:end w:w="65" w:type="dxa"/>
            </w:tcMar>
          </w:tcPr>
          <w:p/>
        </w:tc>
      </w:tr>
      <w:tr>
        <w:trPr>
          <w:cantSplit/>
        </w:trPr>
        <w:tc>
          <w:tcPr>
            <w:tcW w:type="dxa" w:w="1500"/>
          </w:tcPr>
          <w:p>
            <w:pPr>
              <w:spacing w:before="0" w:after="0" w:line="240" w:lineRule="auto"/>
              <w:jc w:val="center"/>
            </w:pPr>
            <w:r/>
            <w:r>
              <w:rPr>
                <w:rFonts w:ascii="Times New Roman" w:hAnsi="Times New Roman" w:cs="Times New Roman" w:eastAsia="宋体" w:hint="eastAsia"/>
                <w:b/>
                <w:sz w:val="15"/>
                <w:lang w:eastAsia="zh-CN"/>
              </w:rPr>
              <w:t>第一单元 体系结构与标准化</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4</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4</w:t>
            </w:r>
          </w:p>
        </w:tc>
        <w:tc>
          <w:tcPr>
            <w:tcW w:type="dxa" w:w="1100"/>
          </w:tcPr>
          <w:p>
            <w:pPr>
              <w:spacing w:before="0" w:after="0" w:line="240" w:lineRule="auto"/>
              <w:jc w:val="left"/>
            </w:pPr>
            <w:r/>
            <w:r>
              <w:rPr>
                <w:rFonts w:ascii="Times New Roman" w:hAnsi="Times New Roman" w:cs="Times New Roman" w:eastAsia="宋体" w:hint="eastAsia"/>
                <w:b w:val="0"/>
                <w:sz w:val="15"/>
                <w:lang w:eastAsia="zh-CN"/>
              </w:rPr>
              <w:t>平时表现不按单元划分内部占比，按照考勤、课堂参与、随堂分析、学习记录和规范性综合评价。</w:t>
            </w:r>
          </w:p>
        </w:tc>
        <w:tc>
          <w:tcPr>
            <w:tcW w:type="dxa" w:w="1100"/>
          </w:tcPr>
          <w:p>
            <w:pPr>
              <w:spacing w:before="0" w:after="0" w:line="240" w:lineRule="auto"/>
              <w:jc w:val="center"/>
            </w:pPr>
            <w:r/>
            <w:r>
              <w:rPr>
                <w:rFonts w:ascii="Times New Roman" w:hAnsi="Times New Roman" w:cs="Times New Roman" w:eastAsia="宋体" w:hint="eastAsia"/>
                <w:b w:val="0"/>
                <w:sz w:val="15"/>
                <w:lang w:eastAsia="zh-CN"/>
              </w:rPr>
              <w:t>15%</w:t>
            </w:r>
          </w:p>
        </w:tc>
        <w:tc>
          <w:tcPr>
            <w:tcW w:type="dxa" w:w="1300"/>
          </w:tcPr>
          <w:p>
            <w:pPr>
              <w:spacing w:before="0" w:after="0" w:line="240" w:lineRule="auto"/>
              <w:jc w:val="center"/>
            </w:pPr>
            <w:r/>
            <w:r>
              <w:rPr>
                <w:rFonts w:ascii="Times New Roman" w:hAnsi="Times New Roman" w:cs="Times New Roman" w:eastAsia="宋体" w:hint="eastAsia"/>
                <w:b w:val="0"/>
                <w:sz w:val="15"/>
                <w:lang w:eastAsia="zh-CN"/>
              </w:rPr>
              <w:t>10%</w:t>
            </w:r>
          </w:p>
        </w:tc>
        <w:tc>
          <w:tcPr>
            <w:tcW w:type="dxa" w:w="2654"/>
          </w:tcPr>
          <w:p>
            <w:pPr>
              <w:spacing w:before="0" w:after="0" w:line="240" w:lineRule="auto"/>
              <w:jc w:val="center"/>
            </w:pPr>
            <w:r/>
            <w:r>
              <w:rPr>
                <w:rFonts w:ascii="Times New Roman" w:hAnsi="Times New Roman" w:cs="Times New Roman" w:eastAsia="宋体" w:hint="eastAsia"/>
                <w:b w:val="0"/>
                <w:sz w:val="15"/>
                <w:lang w:eastAsia="zh-CN"/>
              </w:rPr>
              <w:t>目标 1.1，2.1，3.1</w:t>
            </w:r>
          </w:p>
        </w:tc>
      </w:tr>
      <w:tr>
        <w:trPr>
          <w:cantSplit/>
        </w:trPr>
        <w:tc>
          <w:tcPr>
            <w:tcW w:type="dxa" w:w="1500"/>
          </w:tcPr>
          <w:p>
            <w:pPr>
              <w:spacing w:before="0" w:after="0" w:line="240" w:lineRule="auto"/>
              <w:jc w:val="center"/>
            </w:pPr>
            <w:r/>
            <w:r>
              <w:rPr>
                <w:rFonts w:ascii="Times New Roman" w:hAnsi="Times New Roman" w:cs="Times New Roman" w:eastAsia="宋体" w:hint="eastAsia"/>
                <w:b/>
                <w:sz w:val="15"/>
                <w:lang w:eastAsia="zh-CN"/>
              </w:rPr>
              <w:t>第二单元 感知、识别与设备数据</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1100"/>
          </w:tcPr>
          <w:p>
            <w:pPr>
              <w:spacing w:before="0" w:after="0" w:line="240" w:lineRule="auto"/>
              <w:jc w:val="left"/>
            </w:pPr>
            <w:r/>
            <w:r>
              <w:rPr>
                <w:rFonts w:ascii="Times New Roman" w:hAnsi="Times New Roman" w:cs="Times New Roman" w:eastAsia="宋体" w:hint="eastAsia"/>
                <w:b w:val="0"/>
                <w:sz w:val="15"/>
                <w:lang w:eastAsia="zh-CN"/>
              </w:rPr>
              <w:t>—</w:t>
            </w:r>
          </w:p>
        </w:tc>
        <w:tc>
          <w:tcPr>
            <w:tcW w:type="dxa" w:w="1100"/>
          </w:tcPr>
          <w:p>
            <w:pPr>
              <w:spacing w:before="0" w:after="0" w:line="240" w:lineRule="auto"/>
              <w:jc w:val="center"/>
            </w:pPr>
            <w:r/>
            <w:r>
              <w:rPr>
                <w:rFonts w:ascii="Times New Roman" w:hAnsi="Times New Roman" w:cs="Times New Roman" w:eastAsia="宋体" w:hint="eastAsia"/>
                <w:b w:val="0"/>
                <w:sz w:val="15"/>
                <w:lang w:eastAsia="zh-CN"/>
              </w:rPr>
              <w:t>20%</w:t>
            </w:r>
          </w:p>
        </w:tc>
        <w:tc>
          <w:tcPr>
            <w:tcW w:type="dxa" w:w="1300"/>
          </w:tcPr>
          <w:p>
            <w:pPr>
              <w:spacing w:before="0" w:after="0" w:line="240" w:lineRule="auto"/>
              <w:jc w:val="center"/>
            </w:pPr>
            <w:r/>
            <w:r>
              <w:rPr>
                <w:rFonts w:ascii="Times New Roman" w:hAnsi="Times New Roman" w:cs="Times New Roman" w:eastAsia="宋体" w:hint="eastAsia"/>
                <w:b w:val="0"/>
                <w:sz w:val="15"/>
                <w:lang w:eastAsia="zh-CN"/>
              </w:rPr>
              <w:t>15%</w:t>
            </w:r>
          </w:p>
        </w:tc>
        <w:tc>
          <w:tcPr>
            <w:tcW w:type="dxa" w:w="2654"/>
          </w:tcPr>
          <w:p>
            <w:pPr>
              <w:spacing w:before="0" w:after="0" w:line="240" w:lineRule="auto"/>
              <w:jc w:val="center"/>
            </w:pPr>
            <w:r/>
            <w:r>
              <w:rPr>
                <w:rFonts w:ascii="Times New Roman" w:hAnsi="Times New Roman" w:cs="Times New Roman" w:eastAsia="宋体" w:hint="eastAsia"/>
                <w:b w:val="0"/>
                <w:sz w:val="15"/>
                <w:lang w:eastAsia="zh-CN"/>
              </w:rPr>
              <w:t>目标 1.2，2.2，3.2</w:t>
            </w:r>
          </w:p>
        </w:tc>
      </w:tr>
      <w:tr>
        <w:trPr>
          <w:cantSplit/>
        </w:trPr>
        <w:tc>
          <w:tcPr>
            <w:tcW w:type="dxa" w:w="1500"/>
          </w:tcPr>
          <w:p>
            <w:pPr>
              <w:spacing w:before="0" w:after="0" w:line="240" w:lineRule="auto"/>
              <w:jc w:val="center"/>
            </w:pPr>
            <w:r/>
            <w:r>
              <w:rPr>
                <w:rFonts w:ascii="Times New Roman" w:hAnsi="Times New Roman" w:cs="Times New Roman" w:eastAsia="宋体" w:hint="eastAsia"/>
                <w:b/>
                <w:sz w:val="15"/>
                <w:lang w:eastAsia="zh-CN"/>
              </w:rPr>
              <w:t>第三单元 连接技术与组网</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1100"/>
          </w:tcPr>
          <w:p>
            <w:pPr>
              <w:spacing w:before="0" w:after="0" w:line="240" w:lineRule="auto"/>
              <w:jc w:val="left"/>
            </w:pPr>
            <w:r/>
            <w:r>
              <w:rPr>
                <w:rFonts w:ascii="Times New Roman" w:hAnsi="Times New Roman" w:cs="Times New Roman" w:eastAsia="宋体" w:hint="eastAsia"/>
                <w:b w:val="0"/>
                <w:sz w:val="15"/>
                <w:lang w:eastAsia="zh-CN"/>
              </w:rPr>
              <w:t>—</w:t>
            </w:r>
          </w:p>
        </w:tc>
        <w:tc>
          <w:tcPr>
            <w:tcW w:type="dxa" w:w="1100"/>
          </w:tcPr>
          <w:p>
            <w:pPr>
              <w:spacing w:before="0" w:after="0" w:line="240" w:lineRule="auto"/>
              <w:jc w:val="center"/>
            </w:pPr>
            <w:r/>
            <w:r>
              <w:rPr>
                <w:rFonts w:ascii="Times New Roman" w:hAnsi="Times New Roman" w:cs="Times New Roman" w:eastAsia="宋体" w:hint="eastAsia"/>
                <w:b w:val="0"/>
                <w:sz w:val="15"/>
                <w:lang w:eastAsia="zh-CN"/>
              </w:rPr>
              <w:t>20%</w:t>
            </w:r>
          </w:p>
        </w:tc>
        <w:tc>
          <w:tcPr>
            <w:tcW w:type="dxa" w:w="1300"/>
          </w:tcPr>
          <w:p>
            <w:pPr>
              <w:spacing w:before="0" w:after="0" w:line="240" w:lineRule="auto"/>
              <w:jc w:val="center"/>
            </w:pPr>
            <w:r/>
            <w:r>
              <w:rPr>
                <w:rFonts w:ascii="Times New Roman" w:hAnsi="Times New Roman" w:cs="Times New Roman" w:eastAsia="宋体" w:hint="eastAsia"/>
                <w:b w:val="0"/>
                <w:sz w:val="15"/>
                <w:lang w:eastAsia="zh-CN"/>
              </w:rPr>
              <w:t>20%</w:t>
            </w:r>
          </w:p>
        </w:tc>
        <w:tc>
          <w:tcPr>
            <w:tcW w:type="dxa" w:w="2654"/>
          </w:tcPr>
          <w:p>
            <w:pPr>
              <w:spacing w:before="0" w:after="0" w:line="240" w:lineRule="auto"/>
              <w:jc w:val="center"/>
            </w:pPr>
            <w:r/>
            <w:r>
              <w:rPr>
                <w:rFonts w:ascii="Times New Roman" w:hAnsi="Times New Roman" w:cs="Times New Roman" w:eastAsia="宋体" w:hint="eastAsia"/>
                <w:b w:val="0"/>
                <w:sz w:val="15"/>
                <w:lang w:eastAsia="zh-CN"/>
              </w:rPr>
              <w:t>目标 1.3，2.3，3.3</w:t>
            </w:r>
          </w:p>
        </w:tc>
      </w:tr>
      <w:tr>
        <w:trPr>
          <w:cantSplit/>
        </w:trPr>
        <w:tc>
          <w:tcPr>
            <w:tcW w:type="dxa" w:w="1500"/>
          </w:tcPr>
          <w:p>
            <w:pPr>
              <w:spacing w:before="0" w:after="0" w:line="240" w:lineRule="auto"/>
              <w:jc w:val="center"/>
            </w:pPr>
            <w:r/>
            <w:r>
              <w:rPr>
                <w:rFonts w:ascii="Times New Roman" w:hAnsi="Times New Roman" w:cs="Times New Roman" w:eastAsia="宋体" w:hint="eastAsia"/>
                <w:b/>
                <w:sz w:val="15"/>
                <w:lang w:eastAsia="zh-CN"/>
              </w:rPr>
              <w:t>第四单元 应用协议与平台</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1100"/>
          </w:tcPr>
          <w:p>
            <w:pPr>
              <w:spacing w:before="0" w:after="0" w:line="240" w:lineRule="auto"/>
              <w:jc w:val="left"/>
            </w:pPr>
            <w:r/>
            <w:r>
              <w:rPr>
                <w:rFonts w:ascii="Times New Roman" w:hAnsi="Times New Roman" w:cs="Times New Roman" w:eastAsia="宋体" w:hint="eastAsia"/>
                <w:b w:val="0"/>
                <w:sz w:val="15"/>
                <w:lang w:eastAsia="zh-CN"/>
              </w:rPr>
              <w:t>—</w:t>
            </w:r>
          </w:p>
        </w:tc>
        <w:tc>
          <w:tcPr>
            <w:tcW w:type="dxa" w:w="1100"/>
          </w:tcPr>
          <w:p>
            <w:pPr>
              <w:spacing w:before="0" w:after="0" w:line="240" w:lineRule="auto"/>
              <w:jc w:val="center"/>
            </w:pPr>
            <w:r/>
            <w:r>
              <w:rPr>
                <w:rFonts w:ascii="Times New Roman" w:hAnsi="Times New Roman" w:cs="Times New Roman" w:eastAsia="宋体" w:hint="eastAsia"/>
                <w:b w:val="0"/>
                <w:sz w:val="15"/>
                <w:lang w:eastAsia="zh-CN"/>
              </w:rPr>
              <w:t>20%</w:t>
            </w:r>
          </w:p>
        </w:tc>
        <w:tc>
          <w:tcPr>
            <w:tcW w:type="dxa" w:w="1300"/>
          </w:tcPr>
          <w:p>
            <w:pPr>
              <w:spacing w:before="0" w:after="0" w:line="240" w:lineRule="auto"/>
              <w:jc w:val="center"/>
            </w:pPr>
            <w:r/>
            <w:r>
              <w:rPr>
                <w:rFonts w:ascii="Times New Roman" w:hAnsi="Times New Roman" w:cs="Times New Roman" w:eastAsia="宋体" w:hint="eastAsia"/>
                <w:b w:val="0"/>
                <w:sz w:val="15"/>
                <w:lang w:eastAsia="zh-CN"/>
              </w:rPr>
              <w:t>20%</w:t>
            </w:r>
          </w:p>
        </w:tc>
        <w:tc>
          <w:tcPr>
            <w:tcW w:type="dxa" w:w="2654"/>
          </w:tcPr>
          <w:p>
            <w:pPr>
              <w:spacing w:before="0" w:after="0" w:line="240" w:lineRule="auto"/>
              <w:jc w:val="center"/>
            </w:pPr>
            <w:r/>
            <w:r>
              <w:rPr>
                <w:rFonts w:ascii="Times New Roman" w:hAnsi="Times New Roman" w:cs="Times New Roman" w:eastAsia="宋体" w:hint="eastAsia"/>
                <w:b w:val="0"/>
                <w:sz w:val="15"/>
                <w:lang w:eastAsia="zh-CN"/>
              </w:rPr>
              <w:t>目标 1.4，2.4，3.4</w:t>
            </w:r>
          </w:p>
        </w:tc>
      </w:tr>
      <w:tr>
        <w:trPr>
          <w:cantSplit/>
        </w:trPr>
        <w:tc>
          <w:tcPr>
            <w:tcW w:type="dxa" w:w="1500"/>
          </w:tcPr>
          <w:p>
            <w:pPr>
              <w:spacing w:before="0" w:after="0" w:line="240" w:lineRule="auto"/>
              <w:jc w:val="center"/>
            </w:pPr>
            <w:r/>
            <w:r>
              <w:rPr>
                <w:rFonts w:ascii="Times New Roman" w:hAnsi="Times New Roman" w:cs="Times New Roman" w:eastAsia="宋体" w:hint="eastAsia"/>
                <w:b/>
                <w:sz w:val="15"/>
                <w:lang w:eastAsia="zh-CN"/>
              </w:rPr>
              <w:t>第五单元 工业物联网与集成</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6</w:t>
            </w:r>
          </w:p>
        </w:tc>
        <w:tc>
          <w:tcPr>
            <w:tcW w:type="dxa" w:w="1100"/>
          </w:tcPr>
          <w:p>
            <w:pPr>
              <w:spacing w:before="0" w:after="0" w:line="240" w:lineRule="auto"/>
              <w:jc w:val="left"/>
            </w:pPr>
            <w:r/>
            <w:r>
              <w:rPr>
                <w:rFonts w:ascii="Times New Roman" w:hAnsi="Times New Roman" w:cs="Times New Roman" w:eastAsia="宋体" w:hint="eastAsia"/>
                <w:b w:val="0"/>
                <w:sz w:val="15"/>
                <w:lang w:eastAsia="zh-CN"/>
              </w:rPr>
              <w:t>—</w:t>
            </w:r>
          </w:p>
        </w:tc>
        <w:tc>
          <w:tcPr>
            <w:tcW w:type="dxa" w:w="1100"/>
          </w:tcPr>
          <w:p>
            <w:pPr>
              <w:spacing w:before="0" w:after="0" w:line="240" w:lineRule="auto"/>
              <w:jc w:val="center"/>
            </w:pPr>
            <w:r/>
            <w:r>
              <w:rPr>
                <w:rFonts w:ascii="Times New Roman" w:hAnsi="Times New Roman" w:cs="Times New Roman" w:eastAsia="宋体" w:hint="eastAsia"/>
                <w:b w:val="0"/>
                <w:sz w:val="15"/>
                <w:lang w:eastAsia="zh-CN"/>
              </w:rPr>
              <w:t>15%</w:t>
            </w:r>
          </w:p>
        </w:tc>
        <w:tc>
          <w:tcPr>
            <w:tcW w:type="dxa" w:w="1300"/>
          </w:tcPr>
          <w:p>
            <w:pPr>
              <w:spacing w:before="0" w:after="0" w:line="240" w:lineRule="auto"/>
              <w:jc w:val="center"/>
            </w:pPr>
            <w:r/>
            <w:r>
              <w:rPr>
                <w:rFonts w:ascii="Times New Roman" w:hAnsi="Times New Roman" w:cs="Times New Roman" w:eastAsia="宋体" w:hint="eastAsia"/>
                <w:b w:val="0"/>
                <w:sz w:val="15"/>
                <w:lang w:eastAsia="zh-CN"/>
              </w:rPr>
              <w:t>20%</w:t>
            </w:r>
          </w:p>
        </w:tc>
        <w:tc>
          <w:tcPr>
            <w:tcW w:type="dxa" w:w="2654"/>
          </w:tcPr>
          <w:p>
            <w:pPr>
              <w:spacing w:before="0" w:after="0" w:line="240" w:lineRule="auto"/>
              <w:jc w:val="center"/>
            </w:pPr>
            <w:r/>
            <w:r>
              <w:rPr>
                <w:rFonts w:ascii="Times New Roman" w:hAnsi="Times New Roman" w:cs="Times New Roman" w:eastAsia="宋体" w:hint="eastAsia"/>
                <w:b w:val="0"/>
                <w:sz w:val="15"/>
                <w:lang w:eastAsia="zh-CN"/>
              </w:rPr>
              <w:t>目标 1.5，2.5，3.1，3.4</w:t>
            </w:r>
          </w:p>
        </w:tc>
      </w:tr>
      <w:tr>
        <w:trPr>
          <w:cantSplit/>
        </w:trPr>
        <w:tc>
          <w:tcPr>
            <w:tcW w:type="dxa" w:w="1500"/>
          </w:tcPr>
          <w:p>
            <w:pPr>
              <w:spacing w:before="0" w:after="0" w:line="240" w:lineRule="auto"/>
              <w:jc w:val="center"/>
            </w:pPr>
            <w:r/>
            <w:r>
              <w:rPr>
                <w:rFonts w:ascii="Times New Roman" w:hAnsi="Times New Roman" w:cs="Times New Roman" w:eastAsia="宋体" w:hint="eastAsia"/>
                <w:b/>
                <w:sz w:val="15"/>
                <w:lang w:eastAsia="zh-CN"/>
              </w:rPr>
              <w:t>第六单元 安全、治理与综合方案</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4</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4</w:t>
            </w:r>
          </w:p>
        </w:tc>
        <w:tc>
          <w:tcPr>
            <w:tcW w:type="dxa" w:w="1100"/>
          </w:tcPr>
          <w:p>
            <w:pPr>
              <w:spacing w:before="0" w:after="0" w:line="240" w:lineRule="auto"/>
              <w:jc w:val="left"/>
            </w:pPr>
            <w:r/>
            <w:r>
              <w:rPr>
                <w:rFonts w:ascii="Times New Roman" w:hAnsi="Times New Roman" w:cs="Times New Roman" w:eastAsia="宋体" w:hint="eastAsia"/>
                <w:b w:val="0"/>
                <w:sz w:val="15"/>
                <w:lang w:eastAsia="zh-CN"/>
              </w:rPr>
              <w:t>—</w:t>
            </w:r>
          </w:p>
        </w:tc>
        <w:tc>
          <w:tcPr>
            <w:tcW w:type="dxa" w:w="1100"/>
          </w:tcPr>
          <w:p>
            <w:pPr>
              <w:spacing w:before="0" w:after="0" w:line="240" w:lineRule="auto"/>
              <w:jc w:val="center"/>
            </w:pPr>
            <w:r/>
            <w:r>
              <w:rPr>
                <w:rFonts w:ascii="Times New Roman" w:hAnsi="Times New Roman" w:cs="Times New Roman" w:eastAsia="宋体" w:hint="eastAsia"/>
                <w:b w:val="0"/>
                <w:sz w:val="15"/>
                <w:lang w:eastAsia="zh-CN"/>
              </w:rPr>
              <w:t>10%</w:t>
            </w:r>
          </w:p>
        </w:tc>
        <w:tc>
          <w:tcPr>
            <w:tcW w:type="dxa" w:w="1300"/>
          </w:tcPr>
          <w:p>
            <w:pPr>
              <w:spacing w:before="0" w:after="0" w:line="240" w:lineRule="auto"/>
              <w:jc w:val="center"/>
            </w:pPr>
            <w:r/>
            <w:r>
              <w:rPr>
                <w:rFonts w:ascii="Times New Roman" w:hAnsi="Times New Roman" w:cs="Times New Roman" w:eastAsia="宋体" w:hint="eastAsia"/>
                <w:b w:val="0"/>
                <w:sz w:val="15"/>
                <w:lang w:eastAsia="zh-CN"/>
              </w:rPr>
              <w:t>15%</w:t>
            </w:r>
          </w:p>
        </w:tc>
        <w:tc>
          <w:tcPr>
            <w:tcW w:type="dxa" w:w="2654"/>
          </w:tcPr>
          <w:p>
            <w:pPr>
              <w:spacing w:before="0" w:after="0" w:line="240" w:lineRule="auto"/>
              <w:jc w:val="center"/>
            </w:pPr>
            <w:r/>
            <w:r>
              <w:rPr>
                <w:rFonts w:ascii="Times New Roman" w:hAnsi="Times New Roman" w:cs="Times New Roman" w:eastAsia="宋体" w:hint="eastAsia"/>
                <w:b w:val="0"/>
                <w:sz w:val="15"/>
                <w:lang w:eastAsia="zh-CN"/>
              </w:rPr>
              <w:t>目标 1.6，2.6，3.5，3.6</w:t>
            </w:r>
          </w:p>
        </w:tc>
      </w:tr>
      <w:tr>
        <w:tc>
          <w:tcPr>
            <w:tcW w:type="dxa" w:w="1500"/>
          </w:tcPr>
          <w:p>
            <w:pPr>
              <w:spacing w:before="0" w:after="0" w:line="240" w:lineRule="auto"/>
              <w:jc w:val="center"/>
            </w:pPr>
            <w:r/>
            <w:r>
              <w:rPr>
                <w:rFonts w:ascii="Times New Roman" w:hAnsi="Times New Roman" w:cs="Times New Roman" w:eastAsia="宋体" w:hint="eastAsia"/>
                <w:b/>
                <w:sz w:val="16"/>
                <w:lang w:eastAsia="zh-CN"/>
              </w:rPr>
              <w:t>合计</w:t>
            </w:r>
          </w:p>
        </w:tc>
        <w:tc>
          <w:tcPr>
            <w:tcW w:type="dxa" w:w="700"/>
          </w:tcPr>
          <w:p>
            <w:pPr>
              <w:spacing w:before="0" w:after="0" w:line="240" w:lineRule="auto"/>
              <w:jc w:val="center"/>
            </w:pPr>
            <w:r/>
            <w:r>
              <w:rPr>
                <w:rFonts w:ascii="Times New Roman" w:hAnsi="Times New Roman" w:cs="Times New Roman" w:eastAsia="宋体" w:hint="eastAsia"/>
                <w:b/>
                <w:sz w:val="16"/>
                <w:lang w:eastAsia="zh-CN"/>
              </w:rPr>
              <w:t>32</w:t>
            </w:r>
          </w:p>
        </w:tc>
        <w:tc>
          <w:tcPr>
            <w:tcW w:type="dxa" w:w="700"/>
          </w:tcPr>
          <w:p>
            <w:pPr>
              <w:spacing w:before="0" w:after="0" w:line="240" w:lineRule="auto"/>
              <w:jc w:val="center"/>
            </w:pPr>
            <w:r/>
            <w:r>
              <w:rPr>
                <w:rFonts w:ascii="Times New Roman" w:hAnsi="Times New Roman" w:cs="Times New Roman" w:eastAsia="宋体" w:hint="eastAsia"/>
                <w:b/>
                <w:sz w:val="16"/>
                <w:lang w:eastAsia="zh-CN"/>
              </w:rPr>
              <w:t>32</w:t>
            </w:r>
          </w:p>
        </w:tc>
        <w:tc>
          <w:tcPr>
            <w:tcW w:type="dxa" w:w="1100"/>
          </w:tcPr>
          <w:p>
            <w:pPr>
              <w:spacing w:before="0" w:after="0" w:line="240" w:lineRule="auto"/>
              <w:jc w:val="center"/>
            </w:pPr>
            <w:r/>
            <w:r>
              <w:rPr>
                <w:rFonts w:ascii="Times New Roman" w:hAnsi="Times New Roman" w:cs="Times New Roman" w:eastAsia="宋体" w:hint="eastAsia"/>
                <w:b/>
                <w:sz w:val="16"/>
                <w:lang w:eastAsia="zh-CN"/>
              </w:rPr>
              <w:t>—</w:t>
            </w:r>
          </w:p>
        </w:tc>
        <w:tc>
          <w:tcPr>
            <w:tcW w:type="dxa" w:w="1100"/>
          </w:tcPr>
          <w:p>
            <w:pPr>
              <w:spacing w:before="0" w:after="0" w:line="240" w:lineRule="auto"/>
              <w:jc w:val="center"/>
            </w:pPr>
            <w:r/>
            <w:r>
              <w:rPr>
                <w:rFonts w:ascii="Times New Roman" w:hAnsi="Times New Roman" w:cs="Times New Roman" w:eastAsia="宋体" w:hint="eastAsia"/>
                <w:b/>
                <w:sz w:val="16"/>
                <w:lang w:eastAsia="zh-CN"/>
              </w:rPr>
              <w:t>100%</w:t>
            </w:r>
          </w:p>
        </w:tc>
        <w:tc>
          <w:tcPr>
            <w:tcW w:type="dxa" w:w="1300"/>
          </w:tcPr>
          <w:p>
            <w:pPr>
              <w:spacing w:before="0" w:after="0" w:line="240" w:lineRule="auto"/>
              <w:jc w:val="center"/>
            </w:pPr>
            <w:r/>
            <w:r>
              <w:rPr>
                <w:rFonts w:ascii="Times New Roman" w:hAnsi="Times New Roman" w:cs="Times New Roman" w:eastAsia="宋体" w:hint="eastAsia"/>
                <w:b/>
                <w:sz w:val="16"/>
                <w:lang w:eastAsia="zh-CN"/>
              </w:rPr>
              <w:t>100%</w:t>
            </w:r>
          </w:p>
        </w:tc>
        <w:tc>
          <w:tcPr>
            <w:tcW w:type="dxa" w:w="2654"/>
          </w:tcPr>
          <w:p>
            <w:pPr>
              <w:spacing w:before="0" w:after="0" w:line="240" w:lineRule="auto"/>
              <w:jc w:val="center"/>
            </w:pPr>
            <w:r/>
            <w:r>
              <w:rPr>
                <w:rFonts w:ascii="Times New Roman" w:hAnsi="Times New Roman" w:cs="Times New Roman" w:eastAsia="宋体" w:hint="eastAsia"/>
                <w:b/>
                <w:sz w:val="16"/>
                <w:lang w:eastAsia="zh-CN"/>
              </w:rPr>
              <w:t>—</w:t>
            </w:r>
          </w:p>
        </w:tc>
      </w:tr>
    </w:tbl>
    <w:p/>
    <w:p>
      <w:pPr>
        <w:keepNext/>
        <w:spacing w:before="80" w:after="40"/>
      </w:pPr>
      <w:r>
        <w:rPr>
          <w:rFonts w:ascii="Times New Roman" w:hAnsi="Times New Roman" w:cs="Times New Roman" w:eastAsia="宋体" w:hint="eastAsia"/>
          <w:b/>
          <w:sz w:val="24"/>
          <w:lang w:eastAsia="zh-CN"/>
        </w:rPr>
        <w:t>（二）考核方式与评分标准</w:t>
      </w:r>
    </w:p>
    <w:p>
      <w:pPr>
        <w:keepNext/>
        <w:spacing w:before="80" w:after="40"/>
      </w:pPr>
      <w:r>
        <w:rPr>
          <w:rFonts w:ascii="Times New Roman" w:hAnsi="Times New Roman" w:cs="Times New Roman" w:eastAsia="宋体" w:hint="eastAsia"/>
          <w:b/>
          <w:sz w:val="24"/>
          <w:lang w:eastAsia="zh-CN"/>
        </w:rPr>
        <w:t>1.考核方式</w:t>
      </w:r>
    </w:p>
    <w:p>
      <w:pPr>
        <w:spacing w:before="0" w:after="0" w:line="293" w:lineRule="auto"/>
      </w:pPr>
      <w:r>
        <w:rPr>
          <w:rFonts w:ascii="Times New Roman" w:hAnsi="Times New Roman" w:cs="Times New Roman" w:eastAsia="宋体" w:hint="eastAsia"/>
          <w:b w:val="0"/>
          <w:sz w:val="21"/>
          <w:lang w:eastAsia="zh-CN"/>
        </w:rPr>
        <w:t>考查。</w:t>
      </w:r>
    </w:p>
    <w:p>
      <w:pPr>
        <w:keepNext/>
        <w:spacing w:before="80" w:after="40"/>
      </w:pPr>
      <w:r>
        <w:rPr>
          <w:rFonts w:ascii="Times New Roman" w:hAnsi="Times New Roman" w:cs="Times New Roman" w:eastAsia="宋体" w:hint="eastAsia"/>
          <w:b/>
          <w:sz w:val="24"/>
          <w:lang w:eastAsia="zh-CN"/>
        </w:rPr>
        <w:t>2.评分说明</w:t>
      </w:r>
    </w:p>
    <w:p>
      <w:pPr>
        <w:spacing w:before="0" w:after="0" w:line="293" w:lineRule="auto"/>
        <w:ind w:firstLine="420"/>
      </w:pPr>
      <w:r>
        <w:rPr>
          <w:rFonts w:ascii="Times New Roman" w:hAnsi="Times New Roman" w:cs="Times New Roman" w:eastAsia="宋体" w:hint="eastAsia"/>
          <w:b w:val="0"/>
          <w:sz w:val="21"/>
          <w:lang w:eastAsia="zh-CN"/>
        </w:rPr>
        <w:t>本课程采用平时表现、课程作业和期末综合考查相结合的方式。最终成绩100%=平时表现20%＋课程作业30%＋期末考查50%。课程作业按六个教学单元形成架构、感知、组网、协议、工业集成和安全分析成果；期末考查以“智能制造物联网系统方案”为载体，可2—3人组队完成总体方案，但须提交个人负责内容并通过个人问答核验。考核重点是技术选型依据、端到端数据流、接口与工业集成、安全和可维护性，不以采购或搭建特定硬件作为完成条件。</w:t>
      </w:r>
    </w:p>
    <w:p>
      <w:pPr>
        <w:keepNext/>
        <w:spacing w:before="80" w:after="40"/>
      </w:pPr>
      <w:r>
        <w:rPr>
          <w:rFonts w:ascii="Times New Roman" w:hAnsi="Times New Roman" w:cs="Times New Roman" w:eastAsia="宋体" w:hint="eastAsia"/>
          <w:b/>
          <w:sz w:val="24"/>
          <w:lang w:eastAsia="zh-CN"/>
        </w:rPr>
        <w:t>3.评分标准分项说明</w:t>
      </w:r>
    </w:p>
    <w:p>
      <w:pPr>
        <w:keepNext/>
        <w:spacing w:before="80" w:after="40"/>
      </w:pPr>
      <w:r>
        <w:rPr>
          <w:rFonts w:ascii="Times New Roman" w:hAnsi="Times New Roman" w:cs="Times New Roman" w:eastAsia="宋体" w:hint="eastAsia"/>
          <w:b/>
          <w:sz w:val="24"/>
          <w:lang w:eastAsia="zh-CN"/>
        </w:rPr>
        <w:t>（1）平时表现评分标准</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0"/>
        <w:gridCol w:w="700"/>
        <w:gridCol w:w="1430"/>
        <w:gridCol w:w="1430"/>
        <w:gridCol w:w="1430"/>
        <w:gridCol w:w="1430"/>
        <w:gridCol w:w="1430"/>
      </w:tblGrid>
      <w:tr>
        <w:trPr>
          <w:tblHeader w:val="true"/>
        </w:trPr>
        <w:tc>
          <w:tcPr>
            <w:tcW w:type="dxa" w:w="12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评分指标</w:t>
            </w:r>
          </w:p>
        </w:tc>
        <w:tc>
          <w:tcPr>
            <w:tcW w:type="dxa" w:w="7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指标权重</w:t>
            </w:r>
          </w:p>
        </w:tc>
        <w:tc>
          <w:tcPr>
            <w:tcW w:type="dxa" w:w="143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90–100（优）</w:t>
            </w:r>
          </w:p>
        </w:tc>
        <w:tc>
          <w:tcPr>
            <w:tcW w:type="dxa" w:w="143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80–89（良）</w:t>
            </w:r>
          </w:p>
        </w:tc>
        <w:tc>
          <w:tcPr>
            <w:tcW w:type="dxa" w:w="143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70–79（中）</w:t>
            </w:r>
          </w:p>
        </w:tc>
        <w:tc>
          <w:tcPr>
            <w:tcW w:type="dxa" w:w="143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60–69（及格）</w:t>
            </w:r>
          </w:p>
        </w:tc>
        <w:tc>
          <w:tcPr>
            <w:tcW w:type="dxa" w:w="143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5"/>
                <w:lang w:eastAsia="zh-CN"/>
              </w:rPr>
              <w:t>0–59（不及格）</w:t>
            </w:r>
          </w:p>
        </w:tc>
      </w:tr>
      <w:tr>
        <w:trPr>
          <w:cantSplit/>
        </w:trPr>
        <w:tc>
          <w:tcPr>
            <w:tcW w:type="dxa" w:w="1200"/>
          </w:tcPr>
          <w:p>
            <w:pPr>
              <w:spacing w:before="0" w:after="0" w:line="240" w:lineRule="auto"/>
              <w:jc w:val="left"/>
            </w:pPr>
            <w:r/>
            <w:r>
              <w:rPr>
                <w:rFonts w:ascii="Times New Roman" w:hAnsi="Times New Roman" w:cs="Times New Roman" w:eastAsia="宋体" w:hint="eastAsia"/>
                <w:b/>
                <w:sz w:val="15"/>
                <w:lang w:eastAsia="zh-CN"/>
              </w:rPr>
              <w:t>考勤与课堂规范</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30%</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出勤完整，严格遵守课堂、网络、数据和信息安全规范</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出勤良好，偶有轻微迟到或规范疏漏</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出勤基本正常，能够遵守主要规范</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达到最低出勤要求，经提醒能遵守规范</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缺勤较多或多次违反课堂、数据或安全规范</w:t>
            </w:r>
          </w:p>
        </w:tc>
      </w:tr>
      <w:tr>
        <w:trPr>
          <w:cantSplit/>
        </w:trPr>
        <w:tc>
          <w:tcPr>
            <w:tcW w:type="dxa" w:w="1200"/>
          </w:tcPr>
          <w:p>
            <w:pPr>
              <w:spacing w:before="0" w:after="0" w:line="240" w:lineRule="auto"/>
              <w:jc w:val="left"/>
            </w:pPr>
            <w:r/>
            <w:r>
              <w:rPr>
                <w:rFonts w:ascii="Times New Roman" w:hAnsi="Times New Roman" w:cs="Times New Roman" w:eastAsia="宋体" w:hint="eastAsia"/>
                <w:b/>
                <w:sz w:val="15"/>
                <w:lang w:eastAsia="zh-CN"/>
              </w:rPr>
              <w:t>课堂参与与技术分析</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30%</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主动参与架构、协议和案例分析，能够用指标和证据说明观点</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能够参与主要活动并较清楚说明思路</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基本参与课堂任务并完成主要要求</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经提醒可参与并完成基础要求</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长期不参与或无法完成基本分析</w:t>
            </w:r>
          </w:p>
        </w:tc>
      </w:tr>
      <w:tr>
        <w:trPr>
          <w:cantSplit/>
        </w:trPr>
        <w:tc>
          <w:tcPr>
            <w:tcW w:type="dxa" w:w="1200"/>
          </w:tcPr>
          <w:p>
            <w:pPr>
              <w:spacing w:before="0" w:after="0" w:line="240" w:lineRule="auto"/>
              <w:jc w:val="left"/>
            </w:pPr>
            <w:r/>
            <w:r>
              <w:rPr>
                <w:rFonts w:ascii="Times New Roman" w:hAnsi="Times New Roman" w:cs="Times New Roman" w:eastAsia="宋体" w:hint="eastAsia"/>
                <w:b/>
                <w:sz w:val="15"/>
                <w:lang w:eastAsia="zh-CN"/>
              </w:rPr>
              <w:t>学习记录与技术表达</w:t>
            </w:r>
          </w:p>
        </w:tc>
        <w:tc>
          <w:tcPr>
            <w:tcW w:type="dxa" w:w="700"/>
          </w:tcPr>
          <w:p>
            <w:pPr>
              <w:spacing w:before="0" w:after="0" w:line="240" w:lineRule="auto"/>
              <w:jc w:val="center"/>
            </w:pPr>
            <w:r/>
            <w:r>
              <w:rPr>
                <w:rFonts w:ascii="Times New Roman" w:hAnsi="Times New Roman" w:cs="Times New Roman" w:eastAsia="宋体" w:hint="eastAsia"/>
                <w:b w:val="0"/>
                <w:sz w:val="15"/>
                <w:lang w:eastAsia="zh-CN"/>
              </w:rPr>
              <w:t>40%</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架构图、协议表、数据字典、来源和反思记录完整、规范、可复核</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记录较完整，少量问题可自主修正</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完成主要记录并有基本依据</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在指导下达到最低记录和提交要求</w:t>
            </w:r>
          </w:p>
        </w:tc>
        <w:tc>
          <w:tcPr>
            <w:tcW w:type="dxa" w:w="1430"/>
          </w:tcPr>
          <w:p>
            <w:pPr>
              <w:spacing w:before="0" w:after="0" w:line="240" w:lineRule="auto"/>
              <w:jc w:val="left"/>
            </w:pPr>
            <w:r/>
            <w:r>
              <w:rPr>
                <w:rFonts w:ascii="Times New Roman" w:hAnsi="Times New Roman" w:cs="Times New Roman" w:eastAsia="宋体" w:hint="eastAsia"/>
                <w:b w:val="0"/>
                <w:sz w:val="15"/>
                <w:lang w:eastAsia="zh-CN"/>
              </w:rPr>
              <w:t>大量缺交、无依据或结果无法解释</w:t>
            </w:r>
          </w:p>
        </w:tc>
      </w:tr>
    </w:tbl>
    <w:p/>
    <w:p>
      <w:pPr>
        <w:keepNext/>
        <w:spacing w:before="80" w:after="40"/>
      </w:pPr>
      <w:r>
        <w:rPr>
          <w:rFonts w:ascii="Times New Roman" w:hAnsi="Times New Roman" w:cs="Times New Roman" w:eastAsia="宋体" w:hint="eastAsia"/>
          <w:b/>
          <w:sz w:val="24"/>
          <w:lang w:eastAsia="zh-CN"/>
        </w:rPr>
        <w:t>（2）课程作业评分标准</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800"/>
        <w:gridCol w:w="5200"/>
        <w:gridCol w:w="1554"/>
      </w:tblGrid>
      <w:tr>
        <w:trPr>
          <w:tblHeader w:val="true"/>
        </w:trPr>
        <w:tc>
          <w:tcPr>
            <w:tcW w:type="dxa" w:w="15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考核内容</w:t>
            </w:r>
          </w:p>
        </w:tc>
        <w:tc>
          <w:tcPr>
            <w:tcW w:type="dxa" w:w="8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成绩占比</w:t>
            </w:r>
          </w:p>
        </w:tc>
        <w:tc>
          <w:tcPr>
            <w:tcW w:type="dxa" w:w="52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考核目标与评分要求</w:t>
            </w:r>
          </w:p>
        </w:tc>
        <w:tc>
          <w:tcPr>
            <w:tcW w:type="dxa" w:w="155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课程目标</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体系结构与对象—数据—服务映射</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15%</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能够从制造需求识别物理对象、身份、数据、事件和服务，架构图层次清楚、数据流正确。</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1.1，2.1，3.1</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感知与数据质量方案</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20%</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传感/识别方式选择合理，量程、精度、采样、单位、校准、维护和数据质量分析完整。</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1.2，2.2，3.2</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连接与组网技术选型</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20%</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从覆盖、功耗、速率、时延、可靠性、节点数、干扰和成本比较方案，说明拓扑、网关和失效场景。</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1.3，2.3，3.3</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MQTT/CoAP数据与接口设计</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20%</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主题/资源、设备模型、数据字段、消息方向、QoS、时间戳、缓存和异常处理设计规范。</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1.4，2.4，3.4</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工业物联网集成案例</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15%</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现场设备、网关、协议转换、平台接口、数据存储、告警和制造应用链路完整，能分析互操作问题。</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1.5，2.5，3.1，3.4</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安全与技术资料阅读</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10%</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能够识别资产、威胁与薄弱点，提出分层措施；资料引用、版本和适用边界说明清楚。</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1.6，2.6，3.5，3.6</w:t>
            </w:r>
          </w:p>
        </w:tc>
      </w:tr>
      <w:tr>
        <w:tc>
          <w:tcPr>
            <w:tcW w:type="dxa" w:w="1500"/>
          </w:tcPr>
          <w:p>
            <w:pPr>
              <w:spacing w:before="0" w:after="0" w:line="240" w:lineRule="auto"/>
              <w:jc w:val="center"/>
            </w:pPr>
            <w:r/>
            <w:r>
              <w:rPr>
                <w:rFonts w:ascii="Times New Roman" w:hAnsi="Times New Roman" w:cs="Times New Roman" w:eastAsia="宋体" w:hint="eastAsia"/>
                <w:b/>
                <w:sz w:val="16"/>
                <w:lang w:eastAsia="zh-CN"/>
              </w:rPr>
              <w:t>合计</w:t>
            </w:r>
          </w:p>
        </w:tc>
        <w:tc>
          <w:tcPr>
            <w:tcW w:type="dxa" w:w="800"/>
          </w:tcPr>
          <w:p>
            <w:pPr>
              <w:spacing w:before="0" w:after="0" w:line="240" w:lineRule="auto"/>
              <w:jc w:val="center"/>
            </w:pPr>
            <w:r/>
            <w:r>
              <w:rPr>
                <w:rFonts w:ascii="Times New Roman" w:hAnsi="Times New Roman" w:cs="Times New Roman" w:eastAsia="宋体" w:hint="eastAsia"/>
                <w:b/>
                <w:sz w:val="16"/>
                <w:lang w:eastAsia="zh-CN"/>
              </w:rPr>
              <w:t>100%</w:t>
            </w:r>
          </w:p>
        </w:tc>
        <w:tc>
          <w:tcPr>
            <w:tcW w:type="dxa" w:w="5200"/>
          </w:tcPr>
          <w:p>
            <w:pPr>
              <w:spacing w:before="0" w:after="0" w:line="240" w:lineRule="auto"/>
              <w:jc w:val="center"/>
            </w:pPr>
            <w:r/>
            <w:r>
              <w:rPr>
                <w:rFonts w:ascii="Times New Roman" w:hAnsi="Times New Roman" w:cs="Times New Roman" w:eastAsia="宋体" w:hint="eastAsia"/>
                <w:b/>
                <w:sz w:val="16"/>
                <w:lang w:eastAsia="zh-CN"/>
              </w:rPr>
            </w:r>
          </w:p>
        </w:tc>
        <w:tc>
          <w:tcPr>
            <w:tcW w:type="dxa" w:w="1554"/>
          </w:tcPr>
          <w:p>
            <w:pPr>
              <w:spacing w:before="0" w:after="0" w:line="240" w:lineRule="auto"/>
              <w:jc w:val="center"/>
            </w:pPr>
            <w:r/>
            <w:r>
              <w:rPr>
                <w:rFonts w:ascii="Times New Roman" w:hAnsi="Times New Roman" w:cs="Times New Roman" w:eastAsia="宋体" w:hint="eastAsia"/>
                <w:b/>
                <w:sz w:val="16"/>
                <w:lang w:eastAsia="zh-CN"/>
              </w:rPr>
            </w:r>
          </w:p>
        </w:tc>
      </w:tr>
    </w:tbl>
    <w:p/>
    <w:p>
      <w:pPr>
        <w:keepNext/>
        <w:spacing w:before="80" w:after="40"/>
      </w:pPr>
      <w:r>
        <w:rPr>
          <w:rFonts w:ascii="Times New Roman" w:hAnsi="Times New Roman" w:cs="Times New Roman" w:eastAsia="宋体" w:hint="eastAsia"/>
          <w:b/>
          <w:sz w:val="24"/>
          <w:lang w:eastAsia="zh-CN"/>
        </w:rPr>
        <w:t>（3）期末综合考查评分标准</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800"/>
        <w:gridCol w:w="5200"/>
        <w:gridCol w:w="1554"/>
      </w:tblGrid>
      <w:tr>
        <w:trPr>
          <w:tblHeader w:val="true"/>
        </w:trPr>
        <w:tc>
          <w:tcPr>
            <w:tcW w:type="dxa" w:w="15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考核内容</w:t>
            </w:r>
          </w:p>
        </w:tc>
        <w:tc>
          <w:tcPr>
            <w:tcW w:type="dxa" w:w="8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成绩占比</w:t>
            </w:r>
          </w:p>
        </w:tc>
        <w:tc>
          <w:tcPr>
            <w:tcW w:type="dxa" w:w="5200"/>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考查目标与评分要求</w:t>
            </w:r>
          </w:p>
        </w:tc>
        <w:tc>
          <w:tcPr>
            <w:tcW w:type="dxa" w:w="1554"/>
            <w:vAlign w:val="center"/>
            <w:tcMar>
              <w:top w:w="65" w:type="dxa"/>
              <w:bottom w:w="65" w:type="dxa"/>
              <w:start w:w="65" w:type="dxa"/>
              <w:end w:w="65" w:type="dxa"/>
            </w:tcMar>
          </w:tcPr>
          <w:p>
            <w:pPr>
              <w:spacing w:before="0" w:after="0" w:line="240" w:lineRule="auto"/>
              <w:jc w:val="center"/>
            </w:pPr>
            <w:r/>
            <w:r>
              <w:rPr>
                <w:rFonts w:ascii="Times New Roman" w:hAnsi="Times New Roman" w:cs="Times New Roman" w:eastAsia="宋体" w:hint="eastAsia"/>
                <w:b/>
                <w:sz w:val="16"/>
                <w:lang w:eastAsia="zh-CN"/>
              </w:rPr>
              <w:t>课程目标</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问题定义与总体架构</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15%</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面向设备状态监测、能耗、物流、质量追溯或维护等场景，明确对象、用户、数据、事件、服务、指标和端—边—网—云架构。</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1.1，2.1，3.1</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感知与设备数据设计</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15%</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传感/识别/定位方案和设备模型合理，数据字段、单位、时间戳、采样、误差、校准和维护说明完整。</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1.2，2.2，3.2</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网络、协议与可靠性</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20%</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连接技术、拓扑、地址/网关与MQTT/CoAP/HTTP接口选择有指标依据，考虑离线、重连、缓存、拥塞和失效。</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1.3，1.4，2.3，2.4，3.3</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边缘/平台与工业集成</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20%</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端边云分工、规则、存储、可视化、告警及OPC UA/现场协议或制造系统接口完整，数据流和接口可追溯。</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1.4，1.5，2.4，2.5，3.4</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安全、合规与运维</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15%</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威胁、身份、权限、加密、更新、网络分区、隐私、日志和人工处置设计合理，明确剩余风险。</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1.6，2.6，3.5</w:t>
            </w:r>
          </w:p>
        </w:tc>
      </w:tr>
      <w:tr>
        <w:trPr>
          <w:cantSplit/>
        </w:trPr>
        <w:tc>
          <w:tcPr>
            <w:tcW w:type="dxa" w:w="1500"/>
          </w:tcPr>
          <w:p>
            <w:pPr>
              <w:spacing w:before="0" w:after="0" w:line="240" w:lineRule="auto"/>
              <w:jc w:val="left"/>
            </w:pPr>
            <w:r/>
            <w:r>
              <w:rPr>
                <w:rFonts w:ascii="Times New Roman" w:hAnsi="Times New Roman" w:cs="Times New Roman" w:eastAsia="宋体" w:hint="eastAsia"/>
                <w:b w:val="0"/>
                <w:sz w:val="16"/>
                <w:lang w:eastAsia="zh-CN"/>
              </w:rPr>
              <w:t>方案论证与技术表达</w:t>
            </w:r>
          </w:p>
        </w:tc>
        <w:tc>
          <w:tcPr>
            <w:tcW w:type="dxa" w:w="800"/>
          </w:tcPr>
          <w:p>
            <w:pPr>
              <w:spacing w:before="0" w:after="0" w:line="240" w:lineRule="auto"/>
              <w:jc w:val="center"/>
            </w:pPr>
            <w:r/>
            <w:r>
              <w:rPr>
                <w:rFonts w:ascii="Times New Roman" w:hAnsi="Times New Roman" w:cs="Times New Roman" w:eastAsia="宋体" w:hint="eastAsia"/>
                <w:b w:val="0"/>
                <w:sz w:val="16"/>
                <w:lang w:eastAsia="zh-CN"/>
              </w:rPr>
              <w:t>15%</w:t>
            </w:r>
          </w:p>
        </w:tc>
        <w:tc>
          <w:tcPr>
            <w:tcW w:type="dxa" w:w="5200"/>
          </w:tcPr>
          <w:p>
            <w:pPr>
              <w:spacing w:before="0" w:after="0" w:line="240" w:lineRule="auto"/>
              <w:jc w:val="left"/>
            </w:pPr>
            <w:r/>
            <w:r>
              <w:rPr>
                <w:rFonts w:ascii="Times New Roman" w:hAnsi="Times New Roman" w:cs="Times New Roman" w:eastAsia="宋体" w:hint="eastAsia"/>
                <w:b w:val="0"/>
                <w:sz w:val="16"/>
                <w:lang w:eastAsia="zh-CN"/>
              </w:rPr>
              <w:t>成本、功耗、时延、可靠性和可维护性权衡清楚；图表、引用和版本规范；个人能够解释技术选择和局限。</w:t>
            </w:r>
          </w:p>
        </w:tc>
        <w:tc>
          <w:tcPr>
            <w:tcW w:type="dxa" w:w="1554"/>
          </w:tcPr>
          <w:p>
            <w:pPr>
              <w:spacing w:before="0" w:after="0" w:line="240" w:lineRule="auto"/>
              <w:jc w:val="center"/>
            </w:pPr>
            <w:r/>
            <w:r>
              <w:rPr>
                <w:rFonts w:ascii="Times New Roman" w:hAnsi="Times New Roman" w:cs="Times New Roman" w:eastAsia="宋体" w:hint="eastAsia"/>
                <w:b w:val="0"/>
                <w:sz w:val="16"/>
                <w:lang w:eastAsia="zh-CN"/>
              </w:rPr>
              <w:t>目标 2.1—2.6，3.1—3.6</w:t>
            </w:r>
          </w:p>
        </w:tc>
      </w:tr>
      <w:tr>
        <w:tc>
          <w:tcPr>
            <w:tcW w:type="dxa" w:w="1500"/>
          </w:tcPr>
          <w:p>
            <w:pPr>
              <w:spacing w:before="0" w:after="0" w:line="240" w:lineRule="auto"/>
              <w:jc w:val="center"/>
            </w:pPr>
            <w:r/>
            <w:r>
              <w:rPr>
                <w:rFonts w:ascii="Times New Roman" w:hAnsi="Times New Roman" w:cs="Times New Roman" w:eastAsia="宋体" w:hint="eastAsia"/>
                <w:b/>
                <w:sz w:val="16"/>
                <w:lang w:eastAsia="zh-CN"/>
              </w:rPr>
              <w:t>合计</w:t>
            </w:r>
          </w:p>
        </w:tc>
        <w:tc>
          <w:tcPr>
            <w:tcW w:type="dxa" w:w="800"/>
          </w:tcPr>
          <w:p>
            <w:pPr>
              <w:spacing w:before="0" w:after="0" w:line="240" w:lineRule="auto"/>
              <w:jc w:val="center"/>
            </w:pPr>
            <w:r/>
            <w:r>
              <w:rPr>
                <w:rFonts w:ascii="Times New Roman" w:hAnsi="Times New Roman" w:cs="Times New Roman" w:eastAsia="宋体" w:hint="eastAsia"/>
                <w:b/>
                <w:sz w:val="16"/>
                <w:lang w:eastAsia="zh-CN"/>
              </w:rPr>
              <w:t>100%</w:t>
            </w:r>
          </w:p>
        </w:tc>
        <w:tc>
          <w:tcPr>
            <w:tcW w:type="dxa" w:w="5200"/>
          </w:tcPr>
          <w:p>
            <w:pPr>
              <w:spacing w:before="0" w:after="0" w:line="240" w:lineRule="auto"/>
              <w:jc w:val="center"/>
            </w:pPr>
            <w:r/>
            <w:r>
              <w:rPr>
                <w:rFonts w:ascii="Times New Roman" w:hAnsi="Times New Roman" w:cs="Times New Roman" w:eastAsia="宋体" w:hint="eastAsia"/>
                <w:b/>
                <w:sz w:val="16"/>
                <w:lang w:eastAsia="zh-CN"/>
              </w:rPr>
            </w:r>
          </w:p>
        </w:tc>
        <w:tc>
          <w:tcPr>
            <w:tcW w:type="dxa" w:w="1554"/>
          </w:tcPr>
          <w:p>
            <w:pPr>
              <w:spacing w:before="0" w:after="0" w:line="240" w:lineRule="auto"/>
              <w:jc w:val="center"/>
            </w:pPr>
            <w:r/>
            <w:r>
              <w:rPr>
                <w:rFonts w:ascii="Times New Roman" w:hAnsi="Times New Roman" w:cs="Times New Roman" w:eastAsia="宋体" w:hint="eastAsia"/>
                <w:b/>
                <w:sz w:val="16"/>
                <w:lang w:eastAsia="zh-CN"/>
              </w:rPr>
            </w:r>
          </w:p>
        </w:tc>
      </w:tr>
    </w:tbl>
    <w:p/>
    <w:p>
      <w:pPr>
        <w:keepNext/>
        <w:spacing w:before="140" w:after="60"/>
      </w:pPr>
      <w:r>
        <w:rPr>
          <w:rFonts w:ascii="Times New Roman" w:hAnsi="Times New Roman" w:cs="Times New Roman" w:eastAsia="黑体" w:hint="eastAsia"/>
          <w:b/>
          <w:sz w:val="28"/>
          <w:lang w:eastAsia="zh-CN"/>
        </w:rPr>
        <w:t>五、参考书目及学习资料</w:t>
      </w:r>
    </w:p>
    <w:p>
      <w:pPr>
        <w:keepNext/>
        <w:spacing w:before="80" w:after="40"/>
      </w:pPr>
      <w:r>
        <w:rPr>
          <w:rFonts w:ascii="Times New Roman" w:hAnsi="Times New Roman" w:cs="Times New Roman" w:eastAsia="宋体" w:hint="eastAsia"/>
          <w:b/>
          <w:sz w:val="24"/>
          <w:lang w:eastAsia="zh-CN"/>
        </w:rPr>
        <w:t>（一）选用教材</w:t>
      </w:r>
    </w:p>
    <w:p>
      <w:pPr>
        <w:spacing w:before="0" w:after="0" w:line="293" w:lineRule="auto"/>
      </w:pPr>
      <w:r>
        <w:rPr>
          <w:rFonts w:ascii="Times New Roman" w:hAnsi="Times New Roman" w:cs="Times New Roman" w:eastAsia="宋体" w:hint="eastAsia"/>
          <w:b w:val="0"/>
          <w:sz w:val="20"/>
          <w:lang w:eastAsia="zh-CN"/>
        </w:rPr>
        <w:t>桂小林. 物联网技术导论（第3版）[M]. 北京：清华大学出版社，2024. ISBN 9787302660507</w:t>
      </w:r>
    </w:p>
    <w:p>
      <w:pPr>
        <w:keepNext/>
        <w:spacing w:before="80" w:after="40"/>
      </w:pPr>
      <w:r>
        <w:rPr>
          <w:rFonts w:ascii="Times New Roman" w:hAnsi="Times New Roman" w:cs="Times New Roman" w:eastAsia="宋体" w:hint="eastAsia"/>
          <w:b/>
          <w:sz w:val="24"/>
          <w:lang w:eastAsia="zh-CN"/>
        </w:rPr>
        <w:t>（二）学习资料</w:t>
      </w:r>
    </w:p>
    <w:p>
      <w:pPr>
        <w:spacing w:before="0" w:after="0" w:line="293" w:lineRule="auto"/>
      </w:pPr>
      <w:r>
        <w:rPr>
          <w:rFonts w:ascii="Times New Roman" w:hAnsi="Times New Roman" w:cs="Times New Roman" w:eastAsia="宋体" w:hint="eastAsia"/>
          <w:b w:val="0"/>
          <w:sz w:val="19"/>
          <w:lang w:eastAsia="zh-CN"/>
        </w:rPr>
        <w:t>[1] 韩毅刚, 肖纯贤. 物联网概论（第3版）[M]. 北京：机械工业出版社，2024. ISBN 9787111745099。</w:t>
      </w:r>
    </w:p>
    <w:p>
      <w:pPr>
        <w:spacing w:before="0" w:after="0" w:line="293" w:lineRule="auto"/>
      </w:pPr>
      <w:r>
        <w:rPr>
          <w:rFonts w:ascii="Times New Roman" w:hAnsi="Times New Roman" w:cs="Times New Roman" w:eastAsia="宋体" w:hint="eastAsia"/>
          <w:b w:val="0"/>
          <w:sz w:val="19"/>
          <w:lang w:eastAsia="zh-CN"/>
        </w:rPr>
        <w:t>[2] 吴功宜, 吴英. 物联网工程导论（第3版）[M]. 北京：机械工业出版社，2025. ISBN 9787111764403。</w:t>
      </w:r>
    </w:p>
    <w:p>
      <w:pPr>
        <w:spacing w:before="0" w:after="0" w:line="293" w:lineRule="auto"/>
      </w:pPr>
      <w:r>
        <w:rPr>
          <w:rFonts w:ascii="Times New Roman" w:hAnsi="Times New Roman" w:cs="Times New Roman" w:eastAsia="宋体" w:hint="eastAsia"/>
          <w:b w:val="0"/>
          <w:sz w:val="19"/>
          <w:lang w:eastAsia="zh-CN"/>
        </w:rPr>
        <w:t>[3] 任磊, 张霖, 赖李媛君. 工业互联网导论[M]. 北京：清华大学出版社，2024. ISBN 9787302670162。</w:t>
      </w:r>
    </w:p>
    <w:p>
      <w:pPr>
        <w:spacing w:before="0" w:after="0" w:line="293" w:lineRule="auto"/>
      </w:pPr>
      <w:r>
        <w:rPr>
          <w:rFonts w:ascii="Times New Roman" w:hAnsi="Times New Roman" w:cs="Times New Roman" w:eastAsia="宋体" w:hint="eastAsia"/>
          <w:b w:val="0"/>
          <w:sz w:val="19"/>
          <w:lang w:eastAsia="zh-CN"/>
        </w:rPr>
        <w:t>[4] 许毅, 陈立家, 甘浪雄, 陈建军, 汪祥莉. 无线传感器网络技术原理及应用（第3版）[M]. 北京：清华大学出版社，2026. ISBN 9787302705512。</w:t>
      </w:r>
    </w:p>
    <w:p>
      <w:pPr>
        <w:spacing w:before="180"/>
      </w:pPr>
      <w:r>
        <w:rPr>
          <w:rFonts w:ascii="Times New Roman" w:hAnsi="Times New Roman" w:cs="Times New Roman" w:eastAsia="宋体" w:hint="eastAsia"/>
          <w:b w:val="0"/>
          <w:sz w:val="21"/>
          <w:lang w:eastAsia="zh-CN"/>
        </w:rPr>
        <w:t xml:space="preserve">制定人：　　　　　　　　审定人：　　　　　　　　批准人：　　　　　　　　</w:t>
      </w:r>
    </w:p>
    <w:p>
      <w:pPr>
        <w:jc w:val="center"/>
      </w:pPr>
      <w:r>
        <w:rPr>
          <w:rFonts w:ascii="Times New Roman" w:hAnsi="Times New Roman" w:cs="Times New Roman" w:eastAsia="宋体" w:hint="eastAsia"/>
          <w:b w:val="0"/>
          <w:sz w:val="21"/>
          <w:lang w:eastAsia="zh-CN"/>
        </w:rPr>
        <w:t>2026年9月</w:t>
      </w:r>
    </w:p>
    <w:sectPr w:rsidR="00FC693F" w:rsidRPr="0006063C" w:rsidSect="00034616">
      <w:footerReference w:type="default" r:id="rId9"/>
      <w:pgSz w:w="11906" w:h="16838"/>
      <w:pgMar w:top="1417" w:right="1417" w:bottom="1417" w:left="141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物联网技术基础课程教学大纲</dc:title>
  <dc:subject/>
  <dc:creator/>
  <cp:keywords/>
  <dc:description/>
  <cp:lastModifiedBy/>
  <cp:revision>1</cp:revision>
  <dcterms:created xsi:type="dcterms:W3CDTF">2013-12-23T23:15:00Z</dcterms:created>
  <dcterms:modified xsi:type="dcterms:W3CDTF">2013-12-23T23:15:00Z</dcterms:modified>
  <cp:category/>
</cp:coreProperties>
</file>