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pPr>
        <w:jc w:val="center"/>
      </w:pPr>
    </w:p>
    <w:p w14:paraId="6E2D3F34" w14:textId="77777777">
      <w:pPr>
        <w:jc w:val="center"/>
        <w:rPr>
          <w:rFonts w:eastAsia="华文中宋"/>
          <w:sz w:val="112"/>
          <w:szCs w:val="112"/>
        </w:rPr>
      </w:pPr>
    </w:p>
    <w:p w14:paraId="405EBD52" w14:textId="77777777">
      <w:pPr>
        <w:jc w:val="center"/>
        <w:rPr>
          <w:rFonts w:eastAsia="华文中宋"/>
          <w:sz w:val="112"/>
          <w:szCs w:val="112"/>
        </w:rPr>
      </w:pPr>
    </w:p>
    <w:p w14:paraId="208E1E1C" w14:textId="77777777">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14:paraId="11FD0353" w14:textId="77777777">
        <w:trPr>
          <w:trHeight w:val="479"/>
        </w:trPr>
        <w:tc>
          <w:tcPr>
            <w:tcW w:w="2328" w:type="dxa"/>
            <w:tcBorders>
              <w:top w:val="nil"/>
              <w:left w:val="nil"/>
              <w:bottom w:val="nil"/>
              <w:right w:val="nil"/>
              <w:tl2br w:val="nil"/>
            </w:tcBorders>
            <w:shd w:val="clear" w:color="auto" w:fill="FFFFFF"/>
            <w:vAlign w:val="center"/>
          </w:tcPr>
          <w:p w14:paraId="796460A3" w14:textId="77777777">
            <w:pPr>
              <w:rPr>
                <w:b/>
                <w:color w:val="000000"/>
              </w:rPr>
            </w:pPr>
            <w:r>
              <w:rPr>
                <w:rFonts w:hint="eastAsia"/>
                <w:b/>
                <w:color w:val="000000"/>
                <w:sz w:val="32"/>
              </w:rPr>
              <w:t>学</w:t>
            </w:r>
            <w:r>
              <w:rPr>
                <w:rFonts w:ascii="宋体" w:hAnsi="宋体" w:cs="宋体" w:hint="eastAsia"/>
                <w:b/>
                <w:color w:val="000000"/>
                <w:kern w:val="0"/>
                <w:sz w:val="32"/>
                <w:szCs w:val="32"/>
              </w:rPr>
              <w:t xml:space="preserve">       院：</w:t>
            </w:r>
          </w:p>
        </w:tc>
        <w:tc>
          <w:tcPr>
            <w:tcW w:w="3999" w:type="dxa"/>
            <w:tcBorders>
              <w:top w:val="nil"/>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机械与动力工程学院</w:t>
            </w:r>
          </w:p>
        </w:tc>
      </w:tr>
      <w:tr w14:paraId="62ABE0BF" w14:textId="77777777">
        <w:tc>
          <w:tcPr>
            <w:tcW w:w="2328" w:type="dxa"/>
            <w:tcBorders>
              <w:top w:val="nil"/>
              <w:left w:val="nil"/>
              <w:bottom w:val="nil"/>
              <w:right w:val="nil"/>
            </w:tcBorders>
            <w:shd w:val="clear" w:color="auto" w:fill="FFFFFF"/>
            <w:vAlign w:val="center"/>
          </w:tcPr>
          <w:p w14:paraId="327552FB" w14:textId="77777777">
            <w:pPr>
              <w:jc w:val="center"/>
              <w:rPr>
                <w:b/>
                <w:color w:val="000000"/>
              </w:rPr>
            </w:pPr>
            <w:r>
              <w:rPr>
                <w:rFonts w:ascii="宋体" w:hAnsi="宋体" w:cs="宋体" w:hint="eastAsia"/>
                <w:b/>
                <w:color w:val="000000"/>
                <w:kern w:val="0"/>
                <w:sz w:val="32"/>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智能制造工程</w:t>
            </w:r>
          </w:p>
        </w:tc>
      </w:tr>
      <w:tr w14:paraId="4F3268A6" w14:textId="77777777">
        <w:tc>
          <w:tcPr>
            <w:tcW w:w="2328" w:type="dxa"/>
            <w:tcBorders>
              <w:top w:val="nil"/>
              <w:left w:val="nil"/>
              <w:bottom w:val="nil"/>
              <w:right w:val="nil"/>
            </w:tcBorders>
            <w:shd w:val="clear" w:color="auto" w:fill="FFFFFF"/>
            <w:vAlign w:val="center"/>
          </w:tcPr>
          <w:p w14:paraId="76D9FAA4" w14:textId="77777777">
            <w:pPr>
              <w:jc w:val="center"/>
              <w:rPr>
                <w:b/>
                <w:color w:val="000000"/>
              </w:rPr>
            </w:pPr>
            <w:r>
              <w:rPr>
                <w:rFonts w:ascii="宋体" w:hAnsi="宋体" w:cs="宋体" w:hint="eastAsia"/>
                <w:b/>
                <w:color w:val="000000"/>
                <w:kern w:val="0"/>
                <w:sz w:val="32"/>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信息物理系统（CPS）</w:t>
            </w:r>
          </w:p>
        </w:tc>
      </w:tr>
      <w:tr w14:paraId="622537F9" w14:textId="77777777">
        <w:tc>
          <w:tcPr>
            <w:tcW w:w="2328" w:type="dxa"/>
            <w:tcBorders>
              <w:top w:val="nil"/>
              <w:left w:val="nil"/>
              <w:bottom w:val="nil"/>
              <w:right w:val="nil"/>
            </w:tcBorders>
            <w:shd w:val="clear" w:color="auto" w:fill="FFFFFF"/>
            <w:vAlign w:val="center"/>
          </w:tcPr>
          <w:p w14:paraId="5BE5842A" w14:textId="77777777">
            <w:pPr>
              <w:jc w:val="center"/>
              <w:rPr>
                <w:b/>
                <w:color w:val="000000"/>
              </w:rPr>
            </w:pPr>
            <w:r>
              <w:rPr>
                <w:rFonts w:ascii="宋体" w:hAnsi="宋体" w:cs="宋体" w:hint="eastAsia"/>
                <w:b/>
                <w:color w:val="000000"/>
                <w:kern w:val="0"/>
                <w:sz w:val="32"/>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（按实际填写）</w:t>
            </w:r>
          </w:p>
        </w:tc>
      </w:tr>
      <w:tr w14:paraId="7957ABBB" w14:textId="77777777">
        <w:tc>
          <w:tcPr>
            <w:tcW w:w="2328" w:type="dxa"/>
            <w:tcBorders>
              <w:top w:val="nil"/>
              <w:left w:val="nil"/>
              <w:bottom w:val="nil"/>
              <w:right w:val="nil"/>
            </w:tcBorders>
            <w:shd w:val="clear" w:color="auto" w:fill="FFFFFF"/>
            <w:vAlign w:val="center"/>
          </w:tcPr>
          <w:p w14:paraId="48E123CC" w14:textId="77777777">
            <w:pPr>
              <w:jc w:val="center"/>
              <w:rPr>
                <w:b/>
                <w:color w:val="000000"/>
              </w:rPr>
            </w:pPr>
            <w:r>
              <w:rPr>
                <w:rFonts w:ascii="宋体" w:hAnsi="宋体" w:cs="宋体" w:hint="eastAsia"/>
                <w:b/>
                <w:color w:val="000000"/>
                <w:kern w:val="0"/>
                <w:sz w:val="32"/>
                <w:szCs w:val="32"/>
              </w:rPr>
              <w:t>职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（按实际填写）</w:t>
            </w:r>
          </w:p>
        </w:tc>
      </w:tr>
      <w:tr w14:paraId="2D01F968" w14:textId="77777777">
        <w:tc>
          <w:tcPr>
            <w:tcW w:w="2328" w:type="dxa"/>
            <w:tcBorders>
              <w:top w:val="nil"/>
              <w:left w:val="nil"/>
              <w:bottom w:val="nil"/>
              <w:right w:val="nil"/>
            </w:tcBorders>
            <w:shd w:val="clear" w:color="auto" w:fill="FFFFFF"/>
            <w:vAlign w:val="center"/>
          </w:tcPr>
          <w:p w14:paraId="33641208" w14:textId="77777777">
            <w:pPr>
              <w:jc w:val="center"/>
              <w:rPr>
                <w:b/>
                <w:color w:val="000000"/>
              </w:rPr>
            </w:pPr>
            <w:r>
              <w:rPr>
                <w:rFonts w:ascii="宋体" w:hAnsi="宋体" w:cs="宋体" w:hint="eastAsia"/>
                <w:b/>
                <w:color w:val="000000"/>
                <w:kern w:val="0"/>
                <w:sz w:val="32"/>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第7学期</w:t>
            </w:r>
          </w:p>
        </w:tc>
      </w:tr>
      <w:tr w14:paraId="77E6EC1C" w14:textId="77777777">
        <w:tc>
          <w:tcPr>
            <w:tcW w:w="2328" w:type="dxa"/>
            <w:tcBorders>
              <w:top w:val="nil"/>
              <w:left w:val="nil"/>
              <w:bottom w:val="nil"/>
              <w:right w:val="nil"/>
            </w:tcBorders>
            <w:shd w:val="clear" w:color="auto" w:fill="FFFFFF"/>
            <w:vAlign w:val="center"/>
          </w:tcPr>
          <w:p w14:paraId="3FC9D496" w14:textId="77777777">
            <w:pPr>
              <w:jc w:val="center"/>
              <w:rPr>
                <w:b/>
                <w:color w:val="000000"/>
              </w:rPr>
            </w:pPr>
            <w:r>
              <w:rPr>
                <w:rFonts w:ascii="宋体" w:hAnsi="宋体" w:cs="宋体" w:hint="eastAsia"/>
                <w:b/>
                <w:color w:val="000000"/>
                <w:kern w:val="0"/>
                <w:sz w:val="32"/>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b w:val="0"/>
                <w:sz w:val="24"/>
              </w:rPr>
              <w:t>智能制造工程</w:t>
            </w:r>
          </w:p>
        </w:tc>
      </w:tr>
    </w:tbl>
    <w:p w14:paraId="0F0E2219" w14:textId="77777777">
      <w:pPr>
        <w:widowControl/>
        <w:jc w:val="left"/>
        <w:rPr>
          <w:rFonts w:ascii="宋体" w:hAnsi="宋体" w:cs="宋体" w:hint="eastAsia"/>
          <w:b/>
          <w:bCs/>
          <w:color w:val="000000"/>
          <w:kern w:val="0"/>
          <w:sz w:val="32"/>
          <w:szCs w:val="32"/>
        </w:rPr>
      </w:pPr>
    </w:p>
    <w:p w14:paraId="5524FB3A" w14:textId="77777777">
      <w:pPr>
        <w:rPr>
          <w:rFonts w:ascii="Calibri" w:eastAsia="华文中宋" w:hAnsi="Calibri"/>
          <w:sz w:val="32"/>
          <w:szCs w:val="32"/>
        </w:rPr>
      </w:pPr>
    </w:p>
    <w:p w14:paraId="76A9D9C0" w14:textId="77777777">
      <w:pPr>
        <w:jc w:val="center"/>
        <w:rPr>
          <w:rFonts w:ascii="Calibri" w:eastAsia="华文中宋" w:hAnsi="Calibri"/>
          <w:sz w:val="32"/>
          <w:szCs w:val="32"/>
        </w:rPr>
      </w:pPr>
    </w:p>
    <w:p w14:paraId="4F25B5E7" w14:textId="77777777">
      <w:pPr>
        <w:jc w:val="center"/>
        <w:rPr>
          <w:rFonts w:ascii="Calibri" w:eastAsia="华文中宋" w:hAnsi="Calibri"/>
          <w:sz w:val="32"/>
          <w:szCs w:val="32"/>
        </w:rPr>
      </w:pPr>
    </w:p>
    <w:p w14:paraId="650B5173" w14:textId="77777777">
      <w:pPr>
        <w:jc w:val="center"/>
        <w:rPr>
          <w:rFonts w:ascii="Calibri" w:eastAsia="华文中宋" w:hAnsi="Calibri"/>
          <w:sz w:val="32"/>
          <w:szCs w:val="32"/>
        </w:rPr>
      </w:pPr>
    </w:p>
    <w:p w14:paraId="2AF4015D" w14:textId="77777777">
      <w:pPr>
        <w:jc w:val="center"/>
        <w:rPr>
          <w:rFonts w:ascii="Calibri" w:eastAsia="华文中宋" w:hAnsi="Calibri"/>
          <w:sz w:val="32"/>
          <w:szCs w:val="32"/>
        </w:rPr>
      </w:pPr>
    </w:p>
    <w:p w14:paraId="5067F366" w14:textId="77777777">
      <w:pPr>
        <w:jc w:val="center"/>
        <w:rPr>
          <w:rFonts w:ascii="Calibri" w:eastAsia="华文中宋" w:hAnsi="Calibri"/>
          <w:sz w:val="32"/>
          <w:szCs w:val="32"/>
        </w:rPr>
      </w:pPr>
    </w:p>
    <w:p w14:paraId="4AEEEBB8" w14:textId="77777777">
      <w:pPr>
        <w:jc w:val="center"/>
        <w:rPr>
          <w:rFonts w:ascii="Calibri" w:eastAsia="华文中宋" w:hAnsi="Calibri"/>
          <w:sz w:val="32"/>
          <w:szCs w:val="32"/>
        </w:rPr>
      </w:pPr>
    </w:p>
    <w:p w14:paraId="118D6A7E" w14:textId="77777777">
      <w:pPr>
        <w:jc w:val="center"/>
        <w:rPr>
          <w:rFonts w:ascii="Calibri" w:eastAsia="华文中宋" w:hAnsi="Calibri"/>
          <w:sz w:val="32"/>
          <w:szCs w:val="32"/>
        </w:rPr>
      </w:pPr>
    </w:p>
    <w:p w14:paraId="22E1556C" w14:textId="77777777">
      <w:pPr>
        <w:jc w:val="center"/>
        <w:rPr>
          <w:rFonts w:ascii="Calibri" w:eastAsia="华文中宋" w:hAnsi="Calibri"/>
          <w:sz w:val="32"/>
          <w:szCs w:val="32"/>
        </w:rPr>
      </w:pPr>
    </w:p>
    <w:p w14:paraId="46F176B8" w14:textId="77777777">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pPr>
        <w:jc w:val="center"/>
        <w:rPr>
          <w:rFonts w:eastAsia="华文中宋" w:hAnsi="华文中宋" w:hint="eastAsia"/>
          <w:spacing w:val="20"/>
          <w:sz w:val="32"/>
          <w:szCs w:val="32"/>
        </w:rPr>
      </w:pPr>
      <w:r>
        <w:rPr>
          <w:rFonts w:ascii="宋体" w:hAnsi="宋体" w:eastAsia="宋体"/>
          <w:sz w:val="21"/>
        </w:rPr>
        <w:t>（按实际填写）</w:t>
      </w:r>
    </w:p>
    <w:p w14:paraId="7701314E" w14:textId="77777777">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14:paraId="0ADD3F61" w14:textId="77777777">
        <w:trPr>
          <w:trHeight w:val="397"/>
          <w:jc w:val="center"/>
        </w:trPr>
        <w:tc>
          <w:tcPr>
            <w:tcW w:w="1760" w:type="dxa"/>
            <w:vAlign w:val="center"/>
          </w:tcPr>
          <w:p w14:paraId="7E00F9F9" w14:textId="77777777">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pPr>
              <w:spacing w:before="0" w:after="0" w:line="240" w:lineRule="auto"/>
            </w:pPr>
            <w:r/>
            <w:r>
              <w:rPr>
                <w:rFonts w:ascii="宋体" w:hAnsi="宋体" w:eastAsia="宋体"/>
                <w:b w:val="0"/>
                <w:sz w:val="18"/>
              </w:rPr>
              <w:t>信息物理系统（CPS）</w:t>
            </w:r>
          </w:p>
        </w:tc>
      </w:tr>
      <w:tr w14:paraId="3C8C2878" w14:textId="77777777">
        <w:trPr>
          <w:trHeight w:val="397"/>
          <w:jc w:val="center"/>
        </w:trPr>
        <w:tc>
          <w:tcPr>
            <w:tcW w:w="1760" w:type="dxa"/>
            <w:vAlign w:val="center"/>
          </w:tcPr>
          <w:p w14:paraId="6C5F7F87" w14:textId="77777777">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pPr>
              <w:spacing w:before="0" w:after="0" w:line="240" w:lineRule="auto"/>
            </w:pPr>
            <w:r/>
            <w:r>
              <w:rPr>
                <w:rFonts w:ascii="宋体" w:hAnsi="宋体" w:eastAsia="宋体"/>
                <w:b w:val="0"/>
                <w:sz w:val="18"/>
              </w:rPr>
              <w:t>Cyber-Physical Systems (CPS)</w:t>
            </w:r>
          </w:p>
        </w:tc>
      </w:tr>
      <w:tr w14:paraId="0E2BCF29" w14:textId="77777777">
        <w:trPr>
          <w:trHeight w:val="397"/>
          <w:jc w:val="center"/>
        </w:trPr>
        <w:tc>
          <w:tcPr>
            <w:tcW w:w="1760" w:type="dxa"/>
            <w:vAlign w:val="center"/>
          </w:tcPr>
          <w:p w14:paraId="30C77A82" w14:textId="77777777">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pPr>
              <w:spacing w:before="0" w:after="0" w:line="240" w:lineRule="auto"/>
              <w:jc w:val="center"/>
            </w:pPr>
            <w:r/>
            <w:r>
              <w:rPr>
                <w:rFonts w:ascii="宋体" w:hAnsi="宋体" w:eastAsia="宋体"/>
                <w:b w:val="0"/>
                <w:sz w:val="18"/>
              </w:rPr>
              <w:t>专业类</w:t>
            </w:r>
          </w:p>
        </w:tc>
        <w:tc>
          <w:tcPr>
            <w:tcW w:w="1589" w:type="dxa"/>
            <w:vAlign w:val="center"/>
          </w:tcPr>
          <w:p w14:paraId="3FA9A544" w14:textId="77777777">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pPr>
              <w:spacing w:before="0" w:after="0" w:line="240" w:lineRule="auto"/>
              <w:jc w:val="center"/>
            </w:pPr>
            <w:r/>
            <w:r>
              <w:rPr>
                <w:rFonts w:ascii="宋体" w:hAnsi="宋体" w:eastAsia="宋体"/>
                <w:b w:val="0"/>
                <w:sz w:val="18"/>
              </w:rPr>
              <w:t>选修</w:t>
            </w:r>
          </w:p>
        </w:tc>
        <w:tc>
          <w:tcPr>
            <w:tcW w:w="1382" w:type="dxa"/>
            <w:vAlign w:val="center"/>
          </w:tcPr>
          <w:p w14:paraId="4D6D9FEE" w14:textId="77777777">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pPr>
              <w:spacing w:before="0" w:after="0" w:line="240" w:lineRule="auto"/>
              <w:jc w:val="center"/>
            </w:pPr>
            <w:r/>
            <w:r>
              <w:rPr>
                <w:rFonts w:ascii="宋体" w:hAnsi="宋体" w:eastAsia="宋体"/>
                <w:b w:val="0"/>
                <w:sz w:val="18"/>
              </w:rPr>
              <w:t>中文</w:t>
            </w:r>
          </w:p>
        </w:tc>
      </w:tr>
      <w:tr w14:paraId="23F6E1C9" w14:textId="77777777">
        <w:trPr>
          <w:trHeight w:val="397"/>
          <w:jc w:val="center"/>
        </w:trPr>
        <w:tc>
          <w:tcPr>
            <w:tcW w:w="1760" w:type="dxa"/>
            <w:vAlign w:val="center"/>
          </w:tcPr>
          <w:p w14:paraId="206BBA39" w14:textId="77777777">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pPr>
              <w:spacing w:before="0" w:after="0" w:line="240" w:lineRule="auto"/>
              <w:jc w:val="center"/>
            </w:pPr>
            <w:r/>
            <w:r>
              <w:rPr>
                <w:rFonts w:ascii="宋体" w:hAnsi="宋体" w:eastAsia="宋体"/>
                <w:b w:val="0"/>
                <w:sz w:val="18"/>
              </w:rPr>
              <w:t>第7学期</w:t>
            </w:r>
          </w:p>
        </w:tc>
        <w:tc>
          <w:tcPr>
            <w:tcW w:w="2775" w:type="dxa"/>
            <w:gridSpan w:val="2"/>
            <w:vAlign w:val="center"/>
          </w:tcPr>
          <w:p w14:paraId="61B94AE1" w14:textId="77777777">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pPr>
              <w:spacing w:before="0" w:after="0" w:line="240" w:lineRule="auto"/>
              <w:jc w:val="center"/>
            </w:pPr>
            <w:r/>
            <w:r>
              <w:rPr>
                <w:rFonts w:ascii="宋体" w:hAnsi="宋体" w:eastAsia="宋体"/>
                <w:b w:val="0"/>
                <w:sz w:val="18"/>
              </w:rPr>
              <w:t>2</w:t>
            </w:r>
          </w:p>
        </w:tc>
      </w:tr>
      <w:tr w14:paraId="72E5F2FF" w14:textId="77777777">
        <w:trPr>
          <w:trHeight w:val="397"/>
          <w:jc w:val="center"/>
        </w:trPr>
        <w:tc>
          <w:tcPr>
            <w:tcW w:w="1760" w:type="dxa"/>
            <w:vMerge w:val="restart"/>
            <w:vAlign w:val="center"/>
          </w:tcPr>
          <w:p>
            <w:pPr>
              <w:spacing w:before="0" w:after="0" w:line="240" w:lineRule="auto"/>
              <w:jc w:val="center"/>
            </w:pPr>
            <w:r/>
            <w:r>
              <w:rPr>
                <w:rFonts w:ascii="宋体" w:hAnsi="宋体" w:eastAsia="宋体"/>
                <w:b/>
                <w:sz w:val="18"/>
              </w:rPr>
              <w:t>课程学时及分配</w:t>
            </w:r>
          </w:p>
        </w:tc>
        <w:tc>
          <w:tcPr>
            <w:tcW w:w="1630" w:type="dxa"/>
            <w:vAlign w:val="center"/>
          </w:tcPr>
          <w:p>
            <w:pPr>
              <w:spacing w:before="0" w:after="0" w:line="240" w:lineRule="auto"/>
              <w:jc w:val="center"/>
            </w:pPr>
            <w:r/>
            <w:r>
              <w:rPr>
                <w:rFonts w:ascii="宋体" w:hAnsi="宋体" w:eastAsia="宋体"/>
                <w:b w:val="0"/>
                <w:sz w:val="17"/>
              </w:rPr>
              <w:t>总学时</w:t>
            </w:r>
          </w:p>
        </w:tc>
        <w:tc>
          <w:tcPr>
            <w:tcW w:w="1589" w:type="dxa"/>
            <w:vAlign w:val="center"/>
          </w:tcPr>
          <w:p>
            <w:pPr>
              <w:spacing w:before="0" w:after="0" w:line="240" w:lineRule="auto"/>
              <w:jc w:val="center"/>
            </w:pPr>
            <w:r/>
            <w:r>
              <w:rPr>
                <w:rFonts w:ascii="宋体" w:hAnsi="宋体" w:eastAsia="宋体"/>
                <w:b w:val="0"/>
                <w:sz w:val="17"/>
              </w:rPr>
              <w:t>理论</w:t>
            </w:r>
          </w:p>
        </w:tc>
        <w:tc>
          <w:tcPr>
            <w:tcW w:w="1393" w:type="dxa"/>
            <w:vAlign w:val="center"/>
          </w:tcPr>
          <w:p>
            <w:pPr>
              <w:spacing w:before="0" w:after="0" w:line="240" w:lineRule="auto"/>
              <w:jc w:val="center"/>
            </w:pPr>
            <w:r/>
            <w:r>
              <w:rPr>
                <w:rFonts w:ascii="宋体" w:hAnsi="宋体" w:eastAsia="宋体"/>
                <w:b w:val="0"/>
                <w:sz w:val="17"/>
              </w:rPr>
              <w:t>实验</w:t>
            </w:r>
          </w:p>
        </w:tc>
        <w:tc>
          <w:tcPr>
            <w:tcW w:w="1382" w:type="dxa"/>
            <w:vAlign w:val="center"/>
          </w:tcPr>
          <w:p>
            <w:pPr>
              <w:spacing w:before="0" w:after="0" w:line="240" w:lineRule="auto"/>
              <w:jc w:val="center"/>
            </w:pPr>
            <w:r/>
            <w:r>
              <w:rPr>
                <w:rFonts w:ascii="宋体" w:hAnsi="宋体" w:eastAsia="宋体"/>
                <w:b w:val="0"/>
                <w:sz w:val="17"/>
              </w:rPr>
              <w:t>上机</w:t>
            </w:r>
          </w:p>
        </w:tc>
        <w:tc>
          <w:tcPr>
            <w:tcW w:w="1317" w:type="dxa"/>
            <w:vAlign w:val="center"/>
          </w:tcPr>
          <w:p>
            <w:pPr>
              <w:spacing w:before="0" w:after="0" w:line="240" w:lineRule="auto"/>
              <w:jc w:val="center"/>
            </w:pPr>
            <w:r/>
            <w:r>
              <w:rPr>
                <w:rFonts w:ascii="宋体" w:hAnsi="宋体" w:eastAsia="宋体"/>
                <w:b w:val="0"/>
                <w:sz w:val="17"/>
              </w:rPr>
              <w:t>其他</w:t>
            </w:r>
          </w:p>
        </w:tc>
      </w:tr>
      <w:tr w14:paraId="1EF5D4A6" w14:textId="77777777">
        <w:trPr>
          <w:trHeight w:val="397"/>
          <w:jc w:val="center"/>
        </w:trPr>
        <w:tc>
          <w:tcPr>
            <w:tcW w:w="1760" w:type="dxa"/>
            <w:vMerge/>
            <w:vAlign w:val="center"/>
          </w:tcPr>
          <w:p w14:paraId="639B448B" w14:textId="77777777">
            <w:pPr>
              <w:spacing w:line="300" w:lineRule="auto"/>
              <w:jc w:val="left"/>
              <w:rPr>
                <w:rFonts w:ascii="宋体" w:hAnsi="宋体" w:cs="宋体" w:hint="eastAsia"/>
                <w:b/>
                <w:szCs w:val="21"/>
              </w:rPr>
            </w:pPr>
          </w:p>
        </w:tc>
        <w:tc>
          <w:tcPr>
            <w:tcW w:w="1630" w:type="dxa"/>
            <w:vAlign w:val="center"/>
          </w:tcPr>
          <w:p>
            <w:pPr>
              <w:spacing w:before="0" w:after="0" w:line="240" w:lineRule="auto"/>
              <w:jc w:val="center"/>
            </w:pPr>
            <w:r/>
            <w:r>
              <w:rPr>
                <w:rFonts w:ascii="宋体" w:hAnsi="宋体" w:eastAsia="宋体"/>
                <w:b w:val="0"/>
                <w:sz w:val="18"/>
              </w:rPr>
              <w:t>32</w:t>
            </w:r>
          </w:p>
        </w:tc>
        <w:tc>
          <w:tcPr>
            <w:tcW w:w="1589" w:type="dxa"/>
            <w:vAlign w:val="center"/>
          </w:tcPr>
          <w:p>
            <w:pPr>
              <w:spacing w:before="0" w:after="0" w:line="240" w:lineRule="auto"/>
              <w:jc w:val="center"/>
            </w:pPr>
            <w:r/>
            <w:r>
              <w:rPr>
                <w:rFonts w:ascii="宋体" w:hAnsi="宋体" w:eastAsia="宋体"/>
                <w:b w:val="0"/>
                <w:sz w:val="18"/>
              </w:rPr>
              <w:t>32</w:t>
            </w:r>
          </w:p>
        </w:tc>
        <w:tc>
          <w:tcPr>
            <w:tcW w:w="1393" w:type="dxa"/>
            <w:vAlign w:val="center"/>
          </w:tcPr>
          <w:p>
            <w:pPr>
              <w:spacing w:before="0" w:after="0" w:line="240" w:lineRule="auto"/>
              <w:jc w:val="center"/>
            </w:pPr>
            <w:r/>
            <w:r>
              <w:rPr>
                <w:rFonts w:ascii="宋体" w:hAnsi="宋体" w:eastAsia="宋体"/>
                <w:b w:val="0"/>
                <w:sz w:val="18"/>
              </w:rPr>
              <w:t>0</w:t>
            </w:r>
          </w:p>
        </w:tc>
        <w:tc>
          <w:tcPr>
            <w:tcW w:w="1382" w:type="dxa"/>
            <w:vAlign w:val="center"/>
          </w:tcPr>
          <w:p>
            <w:pPr>
              <w:spacing w:before="0" w:after="0" w:line="240" w:lineRule="auto"/>
              <w:jc w:val="center"/>
            </w:pPr>
            <w:r/>
            <w:r>
              <w:rPr>
                <w:rFonts w:ascii="宋体" w:hAnsi="宋体" w:eastAsia="宋体"/>
                <w:b w:val="0"/>
                <w:sz w:val="18"/>
              </w:rPr>
              <w:t>0</w:t>
            </w:r>
          </w:p>
        </w:tc>
        <w:tc>
          <w:tcPr>
            <w:tcW w:w="1317" w:type="dxa"/>
            <w:vAlign w:val="center"/>
          </w:tcPr>
          <w:p>
            <w:pPr>
              <w:spacing w:before="0" w:after="0" w:line="240" w:lineRule="auto"/>
              <w:jc w:val="center"/>
            </w:pPr>
            <w:r/>
            <w:r>
              <w:rPr>
                <w:rFonts w:ascii="宋体" w:hAnsi="宋体" w:eastAsia="宋体"/>
                <w:b w:val="0"/>
                <w:sz w:val="18"/>
              </w:rPr>
              <w:t>0</w:t>
            </w:r>
          </w:p>
        </w:tc>
      </w:tr>
      <w:tr w14:paraId="7507B92D" w14:textId="77777777">
        <w:trPr>
          <w:trHeight w:val="397"/>
          <w:jc w:val="center"/>
        </w:trPr>
        <w:tc>
          <w:tcPr>
            <w:tcW w:w="1760" w:type="dxa"/>
            <w:vAlign w:val="center"/>
          </w:tcPr>
          <w:p w14:paraId="088EEA82" w14:textId="77777777">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pPr>
              <w:spacing w:before="0" w:after="0" w:line="240" w:lineRule="auto"/>
            </w:pPr>
            <w:r/>
            <w:r>
              <w:rPr>
                <w:rFonts w:ascii="宋体" w:hAnsi="宋体" w:eastAsia="宋体"/>
                <w:b w:val="0"/>
                <w:sz w:val="18"/>
              </w:rPr>
              <w:t>智能制造工程</w:t>
            </w:r>
          </w:p>
        </w:tc>
      </w:tr>
      <w:tr w14:paraId="573C4BA0" w14:textId="77777777">
        <w:trPr>
          <w:trHeight w:val="397"/>
          <w:jc w:val="center"/>
        </w:trPr>
        <w:tc>
          <w:tcPr>
            <w:tcW w:w="1760" w:type="dxa"/>
            <w:vAlign w:val="center"/>
          </w:tcPr>
          <w:p w14:paraId="2CCFE0BF" w14:textId="77777777">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pPr>
              <w:spacing w:before="0" w:after="0" w:line="240" w:lineRule="auto"/>
            </w:pPr>
            <w:r/>
            <w:r>
              <w:rPr>
                <w:rFonts w:ascii="宋体" w:hAnsi="宋体" w:eastAsia="宋体"/>
                <w:b w:val="0"/>
                <w:sz w:val="16"/>
              </w:rPr>
              <w:t>张利国, 詹璟原, 邓恒, 石睿. 信息物理系统原理与设计[M]. 北京：机械工业出版社，2025. ISBN 9787111776550</w:t>
            </w:r>
          </w:p>
        </w:tc>
      </w:tr>
      <w:tr w14:paraId="4DD3FF38" w14:textId="77777777">
        <w:trPr>
          <w:trHeight w:val="397"/>
          <w:jc w:val="center"/>
        </w:trPr>
        <w:tc>
          <w:tcPr>
            <w:tcW w:w="1760" w:type="dxa"/>
            <w:vAlign w:val="center"/>
          </w:tcPr>
          <w:p w14:paraId="3F612C57" w14:textId="77777777">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pPr>
              <w:spacing w:before="0" w:after="0" w:line="240" w:lineRule="auto"/>
            </w:pPr>
            <w:r/>
            <w:r>
              <w:rPr>
                <w:rFonts w:ascii="宋体" w:hAnsi="宋体" w:eastAsia="宋体"/>
                <w:b w:val="0"/>
                <w:sz w:val="18"/>
              </w:rPr>
              <w:t>机械与动力工程学院</w:t>
            </w:r>
          </w:p>
        </w:tc>
      </w:tr>
      <w:tr w14:paraId="5B7D1047" w14:textId="77777777">
        <w:trPr>
          <w:trHeight w:val="397"/>
          <w:jc w:val="center"/>
        </w:trPr>
        <w:tc>
          <w:tcPr>
            <w:tcW w:w="1760" w:type="dxa"/>
            <w:vAlign w:val="center"/>
          </w:tcPr>
          <w:p w14:paraId="2A44DBD4" w14:textId="77777777">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pPr>
              <w:spacing w:before="0" w:after="0" w:line="240" w:lineRule="auto"/>
            </w:pPr>
            <w:r/>
            <w:r>
              <w:rPr>
                <w:rFonts w:ascii="宋体" w:hAnsi="宋体" w:eastAsia="宋体"/>
                <w:b w:val="0"/>
                <w:sz w:val="16"/>
              </w:rPr>
              <w:t>工程建模与科学计算可视化基础（Python）、微机原理及接口技术、机械控制工程基础</w:t>
            </w:r>
          </w:p>
        </w:tc>
      </w:tr>
      <w:tr w14:paraId="79B1FD56" w14:textId="77777777">
        <w:trPr>
          <w:trHeight w:val="397"/>
          <w:jc w:val="center"/>
        </w:trPr>
        <w:tc>
          <w:tcPr>
            <w:tcW w:w="1760" w:type="dxa"/>
            <w:vAlign w:val="center"/>
          </w:tcPr>
          <w:p w14:paraId="7469703D" w14:textId="77777777">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pPr>
              <w:spacing w:before="0" w:after="0" w:line="240" w:lineRule="auto"/>
            </w:pPr>
            <w:r/>
            <w:r>
              <w:rPr>
                <w:rFonts w:ascii="宋体" w:hAnsi="宋体" w:eastAsia="宋体"/>
                <w:b w:val="0"/>
                <w:sz w:val="17"/>
              </w:rPr>
              <w:t>智能制造综合实践、毕业设计（论文）</w:t>
            </w:r>
          </w:p>
        </w:tc>
      </w:tr>
      <w:tr w14:paraId="510D1469" w14:textId="77777777">
        <w:trPr>
          <w:trHeight w:val="397"/>
          <w:jc w:val="center"/>
        </w:trPr>
        <w:tc>
          <w:tcPr>
            <w:tcW w:w="1760" w:type="dxa"/>
            <w:shd w:val="clear" w:color="auto" w:fill="FFFFFF"/>
            <w:vAlign w:val="center"/>
          </w:tcPr>
          <w:p w14:paraId="212ABF3C" w14:textId="77777777">
            <w:pPr>
              <w:jc w:val="left"/>
              <w:rPr>
                <w:rFonts w:ascii="Calibri" w:hAnsi="Calibri"/>
                <w:b/>
              </w:rPr>
            </w:pPr>
            <w:r>
              <w:rPr>
                <w:rFonts w:hint="eastAsia"/>
                <w:b/>
              </w:rPr>
              <w:t>考核类型</w:t>
            </w:r>
          </w:p>
        </w:tc>
        <w:tc>
          <w:tcPr>
            <w:tcW w:w="7311" w:type="dxa"/>
            <w:gridSpan w:val="5"/>
            <w:vAlign w:val="center"/>
          </w:tcPr>
          <w:p>
            <w:pPr>
              <w:spacing w:before="0" w:after="0" w:line="240" w:lineRule="auto"/>
            </w:pPr>
            <w:r/>
            <w:r>
              <w:rPr>
                <w:rFonts w:ascii="宋体" w:hAnsi="宋体" w:eastAsia="宋体"/>
                <w:b w:val="0"/>
                <w:sz w:val="18"/>
              </w:rPr>
              <w:t>考试课（ ）；考查课（√）</w:t>
            </w:r>
          </w:p>
        </w:tc>
      </w:tr>
      <w:tr w14:paraId="240D3A19" w14:textId="77777777">
        <w:trPr>
          <w:trHeight w:val="397"/>
          <w:jc w:val="center"/>
        </w:trPr>
        <w:tc>
          <w:tcPr>
            <w:tcW w:w="1760" w:type="dxa"/>
            <w:shd w:val="clear" w:color="auto" w:fill="FFFFFF"/>
            <w:vAlign w:val="center"/>
          </w:tcPr>
          <w:p w14:paraId="7FB9A851" w14:textId="77777777">
            <w:pPr>
              <w:jc w:val="left"/>
              <w:rPr>
                <w:rFonts w:ascii="Calibri" w:hAnsi="Calibri"/>
                <w:b/>
              </w:rPr>
            </w:pPr>
            <w:r>
              <w:rPr>
                <w:rFonts w:hint="eastAsia"/>
                <w:b/>
              </w:rPr>
              <w:t>考核形式</w:t>
            </w:r>
          </w:p>
        </w:tc>
        <w:tc>
          <w:tcPr>
            <w:tcW w:w="7311" w:type="dxa"/>
            <w:gridSpan w:val="5"/>
            <w:vAlign w:val="center"/>
          </w:tcPr>
          <w:p>
            <w:pPr>
              <w:spacing w:before="0" w:after="0" w:line="240" w:lineRule="auto"/>
            </w:pPr>
            <w:r/>
            <w:r>
              <w:rPr>
                <w:rFonts w:ascii="宋体" w:hAnsi="宋体" w:eastAsia="宋体"/>
                <w:b w:val="0"/>
                <w:sz w:val="16"/>
              </w:rPr>
              <w:t>闭卷（ ）；开卷（ ）；笔试（ ）；机试（ ）；口试（√，答辩与个人核验）；其它（√，综合CPS课程设计）</w:t>
            </w:r>
          </w:p>
        </w:tc>
      </w:tr>
      <w:tr w14:paraId="08CBDC73" w14:textId="77777777">
        <w:trPr>
          <w:trHeight w:val="397"/>
          <w:jc w:val="center"/>
        </w:trPr>
        <w:tc>
          <w:tcPr>
            <w:tcW w:w="1760" w:type="dxa"/>
            <w:shd w:val="clear" w:color="auto" w:fill="FFFFFF"/>
            <w:vAlign w:val="center"/>
          </w:tcPr>
          <w:p w14:paraId="6173CD77" w14:textId="77777777">
            <w:pPr>
              <w:jc w:val="left"/>
              <w:rPr>
                <w:rFonts w:ascii="Calibri" w:hAnsi="Calibri"/>
                <w:b/>
              </w:rPr>
            </w:pPr>
            <w:r>
              <w:rPr>
                <w:rFonts w:hint="eastAsia"/>
                <w:b/>
              </w:rPr>
              <w:t>考核方式</w:t>
            </w:r>
          </w:p>
        </w:tc>
        <w:tc>
          <w:tcPr>
            <w:tcW w:w="7311" w:type="dxa"/>
            <w:gridSpan w:val="5"/>
            <w:vAlign w:val="center"/>
          </w:tcPr>
          <w:p>
            <w:pPr>
              <w:spacing w:before="0" w:after="0" w:line="240" w:lineRule="auto"/>
            </w:pPr>
            <w:r/>
            <w:r>
              <w:rPr>
                <w:rFonts w:ascii="宋体" w:hAnsi="宋体" w:eastAsia="宋体"/>
                <w:b w:val="0"/>
                <w:sz w:val="16"/>
              </w:rPr>
              <w:t>作业（√）；报告（√）；随堂分析（√）；线上考试（ ）；线下考试（ ）；其它（综合设计与个人核验）</w:t>
            </w:r>
          </w:p>
        </w:tc>
      </w:tr>
      <w:tr w14:paraId="629C8796" w14:textId="77777777">
        <w:trPr>
          <w:trHeight w:val="397"/>
          <w:jc w:val="center"/>
        </w:trPr>
        <w:tc>
          <w:tcPr>
            <w:tcW w:w="1760" w:type="dxa"/>
            <w:shd w:val="clear" w:color="auto" w:fill="FFFFFF"/>
            <w:vAlign w:val="center"/>
          </w:tcPr>
          <w:p w14:paraId="1882D00F" w14:textId="77777777">
            <w:pPr>
              <w:jc w:val="left"/>
              <w:rPr>
                <w:rFonts w:ascii="Calibri" w:hAnsi="Calibri"/>
                <w:b/>
              </w:rPr>
            </w:pPr>
            <w:r>
              <w:rPr>
                <w:rFonts w:hint="eastAsia"/>
                <w:b/>
              </w:rPr>
              <w:t>总评成绩比例</w:t>
            </w:r>
          </w:p>
        </w:tc>
        <w:tc>
          <w:tcPr>
            <w:tcW w:w="7311" w:type="dxa"/>
            <w:gridSpan w:val="5"/>
            <w:vAlign w:val="center"/>
          </w:tcPr>
          <w:p>
            <w:pPr>
              <w:spacing w:before="0" w:after="0" w:line="240" w:lineRule="auto"/>
            </w:pPr>
            <w:r/>
            <w:r>
              <w:rPr>
                <w:rFonts w:ascii="宋体" w:hAnsi="宋体" w:eastAsia="宋体"/>
                <w:b w:val="0"/>
                <w:sz w:val="17"/>
              </w:rPr>
              <w:t>总评成绩 = 平时成绩×20% + 课程作业×20% + 期末考核×60%</w:t>
            </w:r>
          </w:p>
        </w:tc>
      </w:tr>
      <w:tr w14:paraId="13BCC34D" w14:textId="77777777">
        <w:trPr>
          <w:trHeight w:val="5604"/>
          <w:jc w:val="center"/>
        </w:trPr>
        <w:tc>
          <w:tcPr>
            <w:tcW w:w="1760" w:type="dxa"/>
            <w:vAlign w:val="center"/>
          </w:tcPr>
          <w:p w14:paraId="52926379" w14:textId="77777777">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pPr>
              <w:spacing w:before="0" w:after="0" w:line="240" w:lineRule="auto"/>
            </w:pPr>
            <w:r/>
            <w:r>
              <w:rPr>
                <w:rFonts w:ascii="宋体" w:hAnsi="宋体" w:eastAsia="宋体"/>
                <w:b w:val="0"/>
                <w:sz w:val="16"/>
              </w:rPr>
              <w:t>课程基本定位：本课程面向智能装备、智能产线和数字化工厂中的计算过程与物理过程深度融合，构建CPS架构—离散状态模型—连续物理模型—混杂与组合模型—需求验证—智能制造CPS设计的知识主线。</w:t>
            </w:r>
          </w:p>
          <w:p>
            <w:pPr>
              <w:spacing w:before="0" w:after="0" w:line="240" w:lineRule="auto"/>
            </w:pPr>
            <w:r>
              <w:rPr>
                <w:rFonts w:ascii="宋体" w:hAnsi="宋体" w:eastAsia="宋体"/>
                <w:b w:val="0"/>
                <w:sz w:val="16"/>
              </w:rPr>
              <w:t>核心学习结果：学生能够建立状态机、常微分方程、混杂/组合模型，使用可达性、不变量、轨迹与反例开展基本验证，并完成智能装备或产线CPS概念设计。</w:t>
            </w:r>
          </w:p>
          <w:p>
            <w:pPr>
              <w:spacing w:before="0" w:after="0" w:line="240" w:lineRule="auto"/>
            </w:pPr>
            <w:r>
              <w:rPr>
                <w:rFonts w:ascii="宋体" w:hAnsi="宋体" w:eastAsia="宋体"/>
                <w:b w:val="0"/>
                <w:sz w:val="16"/>
              </w:rPr>
              <w:t>学情分析：学生已学习Python、微机原理和机械控制工程基础；32学时全部为理论教学，Python或仿真结果仅用于教师演示辅助。</w:t>
            </w:r>
          </w:p>
          <w:p>
            <w:pPr>
              <w:spacing w:before="0" w:after="0" w:line="240" w:lineRule="auto"/>
            </w:pPr>
            <w:r>
              <w:rPr>
                <w:rFonts w:ascii="宋体" w:hAnsi="宋体" w:eastAsia="宋体"/>
                <w:b w:val="0"/>
                <w:sz w:val="16"/>
              </w:rPr>
              <w:t>主要教学方法：概念框架、状态/数学模型、执行轨迹、需求约束、案例验证和系统设计相结合，以架构图、状态图、方程、需求表、反例和评审记录作为课堂学习证据。</w:t>
            </w:r>
          </w:p>
        </w:tc>
      </w:tr>
    </w:tbl>
    <w:p w14:paraId="622FD34B" w14:textId="77777777">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第一单元 CPS概念、架构与智能制造场景</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CPS概念、特征、边界与相关技术辨析</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2" name="Picture 2"/>
                  <wp:cNvGraphicFramePr>
                    <a:graphicFrameLocks noChangeAspect="1"/>
                  </wp:cNvGraphicFramePr>
                  <a:graphic>
                    <a:graphicData uri="http://schemas.openxmlformats.org/drawingml/2006/picture">
                      <pic:pic>
                        <pic:nvPicPr>
                          <pic:cNvPr id="0" name="lesson-01-knowledge-map.png"/>
                          <pic:cNvPicPr/>
                        </pic:nvPicPr>
                        <pic:blipFill>
                          <a:blip r:embed="rId29"/>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（1）理解CPS概念、发展背景、基本特征和跨域闭环。</w:t>
            </w:r>
          </w:p>
          <w:p>
            <w:pPr>
              <w:spacing w:before="0" w:after="0" w:line="240" w:lineRule="auto"/>
            </w:pPr>
            <w:r>
              <w:rPr>
                <w:rFonts w:ascii="宋体" w:hAnsi="宋体" w:eastAsia="宋体"/>
                <w:b w:val="0"/>
                <w:sz w:val="17"/>
              </w:rPr>
              <w:t>（2）理解CPS与嵌入式、IoT、工业互联网、数字孪生的关系。</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（1）能够识别CPS主要组成并划定基本系统边界。</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（1）形成跨机械、电气、控制、计算机和网络的系统思维。</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结合智能装备自主化和工业软件与实体装备融合，强调系统工程责任与自主创新意识。</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把CPS边界图作为后续数字孪生、智能产线和装备系统概念设计的第一张需求图。</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教学重点：CPS定义、核心组成及与相邻概念的联系和区别。</w:t>
            </w:r>
          </w:p>
          <w:p>
            <w:pPr>
              <w:spacing w:before="0" w:after="0" w:line="240" w:lineRule="auto"/>
            </w:pPr>
            <w:r>
              <w:rPr>
                <w:rFonts w:ascii="宋体" w:hAnsi="宋体" w:eastAsia="宋体"/>
                <w:b w:val="0"/>
                <w:sz w:val="16"/>
              </w:rPr>
              <w:t>教学难点：从“有传感器和网络”进一步识别真正的计算—物理闭环，并明确系统边界。</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【教师】发布“CPS概念、特征、边界与相关技术辨析”预习材料和一个最小建模/判断问题，不提前给出完整答案。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【教师】给出“联网温度传感器”“自动温控设备”“数字孪生监控平台”三个案例，要求学生判断哪个构成完整CPS、依据是什么。</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【教师】从计算、通信、控制、物理对象和反馈五个要素建立CPS基本概念。</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【教师】比较CPS与嵌入式系统、物联网、工业互联网、数字孪生的侧重点与交叉关系。</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【教师】学生用“对象—信号—状态—动作—反馈”模板分析一个3D打印设备或机器人工作站，并明确系统内外边界。</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【课堂产物】一张CPS概念辨析表 + 一个智能装备CPS边界草图。</w:t>
            </w:r>
          </w:p>
          <w:p>
            <w:pPr>
              <w:spacing w:before="0" w:after="0" w:line="240" w:lineRule="auto"/>
            </w:pPr>
            <w:r>
              <w:rPr>
                <w:rFonts w:ascii="宋体" w:hAnsi="宋体" w:eastAsia="宋体"/>
                <w:b w:val="0"/>
                <w:sz w:val="15"/>
              </w:rPr>
              <w:t>【学习证据】概念表、边界图、1条错误判断修正记录。</w:t>
            </w:r>
          </w:p>
          <w:p>
            <w:pPr>
              <w:spacing w:before="0" w:after="0" w:line="240" w:lineRule="auto"/>
            </w:pPr>
            <w:r>
              <w:rPr>
                <w:rFonts w:ascii="宋体" w:hAnsi="宋体" w:eastAsia="宋体"/>
                <w:b w:val="0"/>
                <w:sz w:val="15"/>
              </w:rPr>
              <w:t>【评价关联】平时成绩；目标1.1、2.1、3.1、3.4。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CPS与普通联网设备的关键差别是什么？</w:t>
            </w:r>
          </w:p>
          <w:p>
            <w:pPr>
              <w:spacing w:before="0" w:after="0" w:line="240" w:lineRule="auto"/>
            </w:pPr>
            <w:r>
              <w:rPr>
                <w:rFonts w:ascii="宋体" w:hAnsi="宋体" w:eastAsia="宋体"/>
                <w:b w:val="0"/>
                <w:sz w:val="16"/>
              </w:rPr>
              <w:t>2. 数字孪生是否天然等同于CPS？</w:t>
            </w:r>
          </w:p>
          <w:p>
            <w:pPr>
              <w:spacing w:before="0" w:after="0" w:line="240" w:lineRule="auto"/>
            </w:pPr>
            <w:r>
              <w:rPr>
                <w:rFonts w:ascii="宋体" w:hAnsi="宋体" w:eastAsia="宋体"/>
                <w:b w:val="0"/>
                <w:sz w:val="16"/>
              </w:rPr>
              <w:t>3. 确定系统边界时至少要考虑哪些对象？</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【教师】回到知识脉络图，用“概念—模型—关系—边界—证据”总结“CPS概念、特征、边界与相关技术辨析”。</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【教师】布置课后任务：选择一个智能制造装备，列出物理对象、计算节点、通信链路、控制动作和反馈，并说明两项不属于系统内部的对象。</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教学内容：重点记录“从“有传感器和网络”进一步识别真正的计算—物理闭环，并明确系统边界。”的真实掌握证据与常见错误；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第一单元 CPS概念、架构与智能制造场景</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计算—通信—控制—物理闭环与CPS架构分析</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3" name="Picture 3"/>
                  <wp:cNvGraphicFramePr>
                    <a:graphicFrameLocks noChangeAspect="1"/>
                  </wp:cNvGraphicFramePr>
                  <a:graphic>
                    <a:graphicData uri="http://schemas.openxmlformats.org/drawingml/2006/picture">
                      <pic:pic>
                        <pic:nvPicPr>
                          <pic:cNvPr id="0" name="lesson-02-knowledge-map.png"/>
                          <pic:cNvPicPr/>
                        </pic:nvPicPr>
                        <pic:blipFill>
                          <a:blip r:embed="rId30"/>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（1）掌握CPS计算、通信、控制和物理过程闭环的基本架构。</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（1）能够绘制CPS系统架构图并说明信号、接口和反馈关系。</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（1）形成跨域协同、接口规范和系统边界意识。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通过跨域接口协作说明局部模块正确并不等于系统整体可靠，培养系统责任意识。</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将架构图、接口表视为智能制造CPS概念方案的核心交付物，连接后续综合设计。</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教学重点：CPS闭环架构、信号/接口和制造场景映射。</w:t>
            </w:r>
          </w:p>
          <w:p>
            <w:pPr>
              <w:spacing w:before="0" w:after="0" w:line="240" w:lineRule="auto"/>
            </w:pPr>
            <w:r>
              <w:rPr>
                <w:rFonts w:ascii="宋体" w:hAnsi="宋体" w:eastAsia="宋体"/>
                <w:b w:val="0"/>
                <w:sz w:val="16"/>
              </w:rPr>
              <w:t>教学难点：区分“结构连接图”和“因果反馈闭环”，说明每条信息/控制流的方向和意义。</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【教师】发布“计算—通信—控制—物理闭环与CPS架构分析”预习材料和一个最小建模/判断问题，不提前给出完整答案。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【教师】展示一张只有模块方框、没有信号方向的“智能产线架构图”，要求学生判断它为什么还不足以说明CPS闭环。</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【教师】从感知、计算、通信、控制、执行和反馈角度拆解CPS架构。</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【教师】用信号方向和反馈关系说明闭环中的状态测量、控制决策和物理响应。</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【教师】学生以AGV物流或机器人工作站为例绘制CPS架构图，至少标注3类信号和2条反馈关系。</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【课堂产物】智能制造场景CPS架构图 + 信号/接口表。</w:t>
            </w:r>
          </w:p>
          <w:p>
            <w:pPr>
              <w:spacing w:before="0" w:after="0" w:line="240" w:lineRule="auto"/>
            </w:pPr>
            <w:r>
              <w:rPr>
                <w:rFonts w:ascii="宋体" w:hAnsi="宋体" w:eastAsia="宋体"/>
                <w:b w:val="0"/>
                <w:sz w:val="15"/>
              </w:rPr>
              <w:t>【学习证据】架构图、接口表、闭环路径口头/文字解释。</w:t>
            </w:r>
          </w:p>
          <w:p>
            <w:pPr>
              <w:spacing w:before="0" w:after="0" w:line="240" w:lineRule="auto"/>
            </w:pPr>
            <w:r>
              <w:rPr>
                <w:rFonts w:ascii="宋体" w:hAnsi="宋体" w:eastAsia="宋体"/>
                <w:b w:val="0"/>
                <w:sz w:val="15"/>
              </w:rPr>
              <w:t>【评价关联】平时成绩；课程作业过程证据；目标1.1、2.1、3.1、3.4。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CPS反馈闭环至少包括哪几个环节？</w:t>
            </w:r>
          </w:p>
          <w:p>
            <w:pPr>
              <w:spacing w:before="0" w:after="0" w:line="240" w:lineRule="auto"/>
            </w:pPr>
            <w:r>
              <w:rPr>
                <w:rFonts w:ascii="宋体" w:hAnsi="宋体" w:eastAsia="宋体"/>
                <w:b w:val="0"/>
                <w:sz w:val="16"/>
              </w:rPr>
              <w:t>2. 传感信号与控制命令的方向是否相同？</w:t>
            </w:r>
          </w:p>
          <w:p>
            <w:pPr>
              <w:spacing w:before="0" w:after="0" w:line="240" w:lineRule="auto"/>
            </w:pPr>
            <w:r>
              <w:rPr>
                <w:rFonts w:ascii="宋体" w:hAnsi="宋体" w:eastAsia="宋体"/>
                <w:b w:val="0"/>
                <w:sz w:val="16"/>
              </w:rPr>
              <w:t>3. 架构图为什么要标明系统边界和接口？</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【教师】回到知识脉络图，用“概念—模型—关系—边界—证据”总结“计算—通信—控制—物理闭环与CPS架构分析”。</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【教师】布置课后任务：完善课堂架构图，增加网络时延、传感误差或执行故障中的任意两项风险点。</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教学内容：重点记录“区分“结构连接图”和“因果反馈闭环”，说明每条信息/控制流的方向和意义。”的真实掌握证据与常见错误；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第二单元 离散计算模型与状态机</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状态、事件、迁移与有限状态机基础</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4" name="Picture 4"/>
                  <wp:cNvGraphicFramePr>
                    <a:graphicFrameLocks noChangeAspect="1"/>
                  </wp:cNvGraphicFramePr>
                  <a:graphic>
                    <a:graphicData uri="http://schemas.openxmlformats.org/drawingml/2006/picture">
                      <pic:pic>
                        <pic:nvPicPr>
                          <pic:cNvPr id="0" name="lesson-03-knowledge-map.png"/>
                          <pic:cNvPicPr/>
                        </pic:nvPicPr>
                        <pic:blipFill>
                          <a:blip r:embed="rId31"/>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（1）掌握状态、事件、迁移、有限状态机和自动机基本概念。</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（1）能够建立设备有限状态机并定义异常状态。</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（1）形成严谨逻辑和异常意识。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通过设备互锁和状态遗漏案例强化规则、异常和可追溯设计意识。</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将状态机作为设备软件、PLC逻辑、机器人任务管理的统一行为描述工具。</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教学重点：状态、事件、迁移、守卫与有限状态机。</w:t>
            </w:r>
          </w:p>
          <w:p>
            <w:pPr>
              <w:spacing w:before="0" w:after="0" w:line="240" w:lineRule="auto"/>
            </w:pPr>
            <w:r>
              <w:rPr>
                <w:rFonts w:ascii="宋体" w:hAnsi="宋体" w:eastAsia="宋体"/>
                <w:b w:val="0"/>
                <w:sz w:val="16"/>
              </w:rPr>
              <w:t>教学难点：从自然语言操作流程提取有限、互斥且可验证的状态，而不是把动作名直接当状态。</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【教师】发布“状态、事件、迁移与有限状态机基础”预习材料和一个最小建模/判断问题，不提前给出完整答案。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【教师】给出“设备启动、运行、暂停、故障、复位”自然语言流程，让学生先判断“启动”是状态还是事件。</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【教师】定义状态、事件、迁移、初始/终止状态和守卫条件。</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【教师】比较状态图与状态转移表的表达优缺点。</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【教师】学生为“自动门/输送机/打印机”建立5—7个状态的有限状态机，并加入一个异常状态。</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【课堂产物】设备有限状态机 + 状态转移表。</w:t>
            </w:r>
          </w:p>
          <w:p>
            <w:pPr>
              <w:spacing w:before="0" w:after="0" w:line="240" w:lineRule="auto"/>
            </w:pPr>
            <w:r>
              <w:rPr>
                <w:rFonts w:ascii="宋体" w:hAnsi="宋体" w:eastAsia="宋体"/>
                <w:b w:val="0"/>
                <w:sz w:val="15"/>
              </w:rPr>
              <w:t>【学习证据】状态图、转移表、至少1条修正前后差异。</w:t>
            </w:r>
          </w:p>
          <w:p>
            <w:pPr>
              <w:spacing w:before="0" w:after="0" w:line="240" w:lineRule="auto"/>
            </w:pPr>
            <w:r>
              <w:rPr>
                <w:rFonts w:ascii="宋体" w:hAnsi="宋体" w:eastAsia="宋体"/>
                <w:b w:val="0"/>
                <w:sz w:val="15"/>
              </w:rPr>
              <w:t>【评价关联】平时成绩；课程作业过程证据；目标1.2、2.2、3.2、3.3。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状态和事件的区别是什么？</w:t>
            </w:r>
          </w:p>
          <w:p>
            <w:pPr>
              <w:spacing w:before="0" w:after="0" w:line="240" w:lineRule="auto"/>
            </w:pPr>
            <w:r>
              <w:rPr>
                <w:rFonts w:ascii="宋体" w:hAnsi="宋体" w:eastAsia="宋体"/>
                <w:b w:val="0"/>
                <w:sz w:val="16"/>
              </w:rPr>
              <w:t>2. 守卫条件解决什么问题？</w:t>
            </w:r>
          </w:p>
          <w:p>
            <w:pPr>
              <w:spacing w:before="0" w:after="0" w:line="240" w:lineRule="auto"/>
            </w:pPr>
            <w:r>
              <w:rPr>
                <w:rFonts w:ascii="宋体" w:hAnsi="宋体" w:eastAsia="宋体"/>
                <w:b w:val="0"/>
                <w:sz w:val="16"/>
              </w:rPr>
              <w:t>3. 一个状态机为什么必须考虑异常状态？</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【教师】回到知识脉络图，用“概念—模型—关系—边界—证据”总结“状态、事件、迁移与有限状态机基础”。</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【教师】布置课后任务：把“设备启停与故障复位”状态机补全为不少于8条迁移，并标注每条迁移触发条件。</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教学内容：重点记录“从自然语言操作流程提取有限、互斥且可验证的状态，而不是把动作名直接当状态。”的真实掌握证据与常见错误；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第二单元 离散计算模型与状态机</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输入输出、同步交互与执行轨迹</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5" name="Picture 5"/>
                  <wp:cNvGraphicFramePr>
                    <a:graphicFrameLocks noChangeAspect="1"/>
                  </wp:cNvGraphicFramePr>
                  <a:graphic>
                    <a:graphicData uri="http://schemas.openxmlformats.org/drawingml/2006/picture">
                      <pic:pic>
                        <pic:nvPicPr>
                          <pic:cNvPr id="0" name="lesson-04-knowledge-map.png"/>
                          <pic:cNvPicPr/>
                        </pic:nvPicPr>
                        <pic:blipFill>
                          <a:blip r:embed="rId32"/>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（1）理解输入输出、同步交互和执行轨迹。</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（1）能够根据状态模型生成并检查执行轨迹。</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（1）形成接口一致性和证据追踪意识。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强调系统交互必须遵循接口契约，状态判断必须基于可追踪事件证据。</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把执行轨迹用于测试用例设计和后续模型验证，实现从模型到测试的连接。</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教学重点：输入输出自动机、同步交互与执行轨迹。</w:t>
            </w:r>
          </w:p>
          <w:p>
            <w:pPr>
              <w:spacing w:before="0" w:after="0" w:line="240" w:lineRule="auto"/>
            </w:pPr>
            <w:r>
              <w:rPr>
                <w:rFonts w:ascii="宋体" w:hAnsi="宋体" w:eastAsia="宋体"/>
                <w:b w:val="0"/>
                <w:sz w:val="16"/>
              </w:rPr>
              <w:t>教学难点：由状态图生成执行轨迹，并据轨迹反查缺失迁移和接口不一致。</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【教师】发布“输入输出、同步交互与执行轨迹”预习材料和一个最小建模/判断问题，不提前给出完整答案。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【教师】给出“传感器→控制器→执行器”三个离散模块的事件序列，要求学生判断哪些事件必须同步匹配。</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【教师】解释输入事件、输出动作和接口契约。</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【教师】从状态机生成执行轨迹，区分合法轨迹与不可能轨迹。</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【教师】学生分析一组正常/异常执行轨迹，定位缺失迁移、错误事件或不同步接口。</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【课堂产物】输入/输出接口表 + 3条执行轨迹判定表。</w:t>
            </w:r>
          </w:p>
          <w:p>
            <w:pPr>
              <w:spacing w:before="0" w:after="0" w:line="240" w:lineRule="auto"/>
            </w:pPr>
            <w:r>
              <w:rPr>
                <w:rFonts w:ascii="宋体" w:hAnsi="宋体" w:eastAsia="宋体"/>
                <w:b w:val="0"/>
                <w:sz w:val="15"/>
              </w:rPr>
              <w:t>【学习证据】接口表、轨迹判定、错误定位说明。</w:t>
            </w:r>
          </w:p>
          <w:p>
            <w:pPr>
              <w:spacing w:before="0" w:after="0" w:line="240" w:lineRule="auto"/>
            </w:pPr>
            <w:r>
              <w:rPr>
                <w:rFonts w:ascii="宋体" w:hAnsi="宋体" w:eastAsia="宋体"/>
                <w:b w:val="0"/>
                <w:sz w:val="15"/>
              </w:rPr>
              <w:t>【评价关联】平时成绩；课程作业过程证据；目标1.2、2.2、3.2、3.3。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执行轨迹由哪些信息组成？</w:t>
            </w:r>
          </w:p>
          <w:p>
            <w:pPr>
              <w:spacing w:before="0" w:after="0" w:line="240" w:lineRule="auto"/>
            </w:pPr>
            <w:r>
              <w:rPr>
                <w:rFonts w:ascii="宋体" w:hAnsi="宋体" w:eastAsia="宋体"/>
                <w:b w:val="0"/>
                <w:sz w:val="16"/>
              </w:rPr>
              <w:t>2. 两个模块同步交互需要哪些接口条件一致？</w:t>
            </w:r>
          </w:p>
          <w:p>
            <w:pPr>
              <w:spacing w:before="0" w:after="0" w:line="240" w:lineRule="auto"/>
            </w:pPr>
            <w:r>
              <w:rPr>
                <w:rFonts w:ascii="宋体" w:hAnsi="宋体" w:eastAsia="宋体"/>
                <w:b w:val="0"/>
                <w:sz w:val="16"/>
              </w:rPr>
              <w:t>3. 不可达状态一定是错误吗？为什么？</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【教师】回到知识脉络图，用“概念—模型—关系—边界—证据”总结“输入输出、同步交互与执行轨迹”。</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【教师】布置课后任务：根据给定设备状态机写出2条正常轨迹和2条异常/非法轨迹，并说明原因。</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教学内容：重点记录“由状态图生成执行轨迹，并据轨迹反查缺失迁移和接口不一致。”的真实掌握证据与常见错误；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第二单元 离散计算模型与状态机</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设备互锁、任务调度与故障恢复状态模型</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6" name="Picture 6"/>
                  <wp:cNvGraphicFramePr>
                    <a:graphicFrameLocks noChangeAspect="1"/>
                  </wp:cNvGraphicFramePr>
                  <a:graphic>
                    <a:graphicData uri="http://schemas.openxmlformats.org/drawingml/2006/picture">
                      <pic:pic>
                        <pic:nvPicPr>
                          <pic:cNvPr id="0" name="lesson-05-knowledge-map.png"/>
                          <pic:cNvPicPr/>
                        </pic:nvPicPr>
                        <pic:blipFill>
                          <a:blip r:embed="rId33"/>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（1）掌握设备互锁、任务调度和故障恢复状态模型。</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（1）能够检查状态机迁移完整性并通过故障轨迹修正模型。</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（1）形成安全优先、主动找错和可恢复设计意识。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以设备安全互锁说明软件逻辑直接影响人员与设备安全，培养对异常路径负责的意识。</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将故障恢复状态模型作为智能装备可靠运行与维护服务的核心软件资产。</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教学重点：互锁、任务状态、故障恢复和状态机完整性检查。</w:t>
            </w:r>
          </w:p>
          <w:p>
            <w:pPr>
              <w:spacing w:before="0" w:after="0" w:line="240" w:lineRule="auto"/>
            </w:pPr>
            <w:r>
              <w:rPr>
                <w:rFonts w:ascii="宋体" w:hAnsi="宋体" w:eastAsia="宋体"/>
                <w:b w:val="0"/>
                <w:sz w:val="16"/>
              </w:rPr>
              <w:t>教学难点：在正常流程之外设计“失效后如何进入安全状态、何时允许恢复”。</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【教师】发布“设备互锁、任务调度与故障恢复状态模型”预习材料和一个最小建模/判断问题，不提前给出完整答案。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【教师】给出机械臂“门未关闭却允许自动运行”的状态逻辑错误，让学生先指出缺失的互锁条件。</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【教师】从前置条件、禁止条件和安全状态设计设备互锁。</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【教师】将任务调度中的等待、执行、完成、取消、超时和故障纳入状态模型。</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【教师】学生对课堂状态机实施“故障注入”，检查能否进入安全状态并可控复位。</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【课堂产物】带互锁和故障恢复的状态机 + 故障注入检查表。</w:t>
            </w:r>
          </w:p>
          <w:p>
            <w:pPr>
              <w:spacing w:before="0" w:after="0" w:line="240" w:lineRule="auto"/>
            </w:pPr>
            <w:r>
              <w:rPr>
                <w:rFonts w:ascii="宋体" w:hAnsi="宋体" w:eastAsia="宋体"/>
                <w:b w:val="0"/>
                <w:sz w:val="15"/>
              </w:rPr>
              <w:t>【学习证据】状态机、故障用例、恢复轨迹、修改记录。</w:t>
            </w:r>
          </w:p>
          <w:p>
            <w:pPr>
              <w:spacing w:before="0" w:after="0" w:line="240" w:lineRule="auto"/>
            </w:pPr>
            <w:r>
              <w:rPr>
                <w:rFonts w:ascii="宋体" w:hAnsi="宋体" w:eastAsia="宋体"/>
                <w:b w:val="0"/>
                <w:sz w:val="15"/>
              </w:rPr>
              <w:t>【评价关联】平时成绩；课程作业重点证据；目标1.2、2.2、3.2、3.3。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互锁条件应放在状态还是迁移条件中？</w:t>
            </w:r>
          </w:p>
          <w:p>
            <w:pPr>
              <w:spacing w:before="0" w:after="0" w:line="240" w:lineRule="auto"/>
            </w:pPr>
            <w:r>
              <w:rPr>
                <w:rFonts w:ascii="宋体" w:hAnsi="宋体" w:eastAsia="宋体"/>
                <w:b w:val="0"/>
                <w:sz w:val="16"/>
              </w:rPr>
              <w:t>2. 故障发生后为什么不应直接回到运行状态？</w:t>
            </w:r>
          </w:p>
          <w:p>
            <w:pPr>
              <w:spacing w:before="0" w:after="0" w:line="240" w:lineRule="auto"/>
            </w:pPr>
            <w:r>
              <w:rPr>
                <w:rFonts w:ascii="宋体" w:hAnsi="宋体" w:eastAsia="宋体"/>
                <w:b w:val="0"/>
                <w:sz w:val="16"/>
              </w:rPr>
              <w:t>3. 如何判断一个状态机是否存在迁移遗漏？</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【教师】回到知识脉络图，用“概念—模型—关系—边界—证据”总结“设备互锁、任务调度与故障恢复状态模型”。</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【教师】布置课后任务：完成课程作业中的离散状态模型部分：至少包含正常、边界、故障与恢复轨迹。</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教学内容：重点记录“在正常流程之外设计“失效后如何进入安全状态、何时允许恢复”。”的真实掌握证据与常见错误；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第三单元 连续物理过程建模</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状态变量、输入输出与常微分方程建模</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7" name="Picture 7"/>
                  <wp:cNvGraphicFramePr>
                    <a:graphicFrameLocks noChangeAspect="1"/>
                  </wp:cNvGraphicFramePr>
                  <a:graphic>
                    <a:graphicData uri="http://schemas.openxmlformats.org/drawingml/2006/picture">
                      <pic:pic>
                        <pic:nvPicPr>
                          <pic:cNvPr id="0" name="lesson-06-knowledge-map.png"/>
                          <pic:cNvPicPr/>
                        </pic:nvPicPr>
                        <pic:blipFill>
                          <a:blip r:embed="rId34"/>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（1）理解连续时间系统、状态变量、输入输出和常微分方程。</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（1）能够建立简化连续模型并说明变量、参数和假设。</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（1）形成基于假设、单位和证据建模的习惯。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通过参数、单位和简化假设对结论的影响，培养尊重客观规律和模型边界的工程作风。</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把连续模型作为数字孪生预测、控制器设计和状态估计的基础模型资产。</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教学重点：连续时间系统、状态变量、输入输出和常微分方程。</w:t>
            </w:r>
          </w:p>
          <w:p>
            <w:pPr>
              <w:spacing w:before="0" w:after="0" w:line="240" w:lineRule="auto"/>
            </w:pPr>
            <w:r>
              <w:rPr>
                <w:rFonts w:ascii="宋体" w:hAnsi="宋体" w:eastAsia="宋体"/>
                <w:b w:val="0"/>
                <w:sz w:val="16"/>
              </w:rPr>
              <w:t>教学难点：从物理规律选取状态变量和参数，并显式写出假设、单位和初始条件。</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【教师】发布“状态变量、输入输出与常微分方程建模”预习材料和一个最小建模/判断问题，不提前给出完整答案。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【教师】给出“加热器—温度传感器—环境散热”案例，要求学生先指出哪些量是状态、输入、输出和参数。</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【教师】解释连续时间状态变量、输入输出和参数的工程含义。</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【教师】以一阶温度过程或直流电机简化模型说明由物理规律形成常微分方程。</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【教师】学生完成一个一阶过程建模模板：对象、假设、变量、参数、方程、初值、输出。</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【课堂产物】一阶连续过程建模卡 + 方程和单位表。</w:t>
            </w:r>
          </w:p>
          <w:p>
            <w:pPr>
              <w:spacing w:before="0" w:after="0" w:line="240" w:lineRule="auto"/>
            </w:pPr>
            <w:r>
              <w:rPr>
                <w:rFonts w:ascii="宋体" w:hAnsi="宋体" w:eastAsia="宋体"/>
                <w:b w:val="0"/>
                <w:sz w:val="15"/>
              </w:rPr>
              <w:t>【学习证据】变量/参数表、方程、假设、单位与初值检查。</w:t>
            </w:r>
          </w:p>
          <w:p>
            <w:pPr>
              <w:spacing w:before="0" w:after="0" w:line="240" w:lineRule="auto"/>
            </w:pPr>
            <w:r>
              <w:rPr>
                <w:rFonts w:ascii="宋体" w:hAnsi="宋体" w:eastAsia="宋体"/>
                <w:b w:val="0"/>
                <w:sz w:val="15"/>
              </w:rPr>
              <w:t>【评价关联】平时成绩；课程作业过程证据；目标1.3、2.3、3.2。</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状态变量与输出变量一定相同吗？</w:t>
            </w:r>
          </w:p>
          <w:p>
            <w:pPr>
              <w:spacing w:before="0" w:after="0" w:line="240" w:lineRule="auto"/>
            </w:pPr>
            <w:r>
              <w:rPr>
                <w:rFonts w:ascii="宋体" w:hAnsi="宋体" w:eastAsia="宋体"/>
                <w:b w:val="0"/>
                <w:sz w:val="16"/>
              </w:rPr>
              <w:t>2. 为什么模型必须明确参数单位？</w:t>
            </w:r>
          </w:p>
          <w:p>
            <w:pPr>
              <w:spacing w:before="0" w:after="0" w:line="240" w:lineRule="auto"/>
            </w:pPr>
            <w:r>
              <w:rPr>
                <w:rFonts w:ascii="宋体" w:hAnsi="宋体" w:eastAsia="宋体"/>
                <w:b w:val="0"/>
                <w:sz w:val="16"/>
              </w:rPr>
              <w:t>3. 建模假设改变时方程是否可能改变？</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【教师】回到知识脉络图，用“概念—模型—关系—边界—证据”总结“状态变量、输入输出与常微分方程建模”。</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【教师】布置课后任务：选择电机、移动平台或温度过程之一，完成简化ODE模型并说明至少2项假设。</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教学内容：重点记录“从物理规律选取状态变量和参数，并显式写出假设、单位和初始条件。”的真实掌握证据与常见错误；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第三单元 连续物理过程建模</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平衡点、动态响应、参数敏感性与模型边界</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8" name="Picture 8"/>
                  <wp:cNvGraphicFramePr>
                    <a:graphicFrameLocks noChangeAspect="1"/>
                  </wp:cNvGraphicFramePr>
                  <a:graphic>
                    <a:graphicData uri="http://schemas.openxmlformats.org/drawingml/2006/picture">
                      <pic:pic>
                        <pic:nvPicPr>
                          <pic:cNvPr id="0" name="lesson-07-knowledge-map.png"/>
                          <pic:cNvPicPr/>
                        </pic:nvPicPr>
                        <pic:blipFill>
                          <a:blip r:embed="rId35"/>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（1）理解平衡点、动态响应和参数影响。</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（1）能够解释连续模型的工程边界和参数敏感性。</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（1）形成模型结果不等同于物理事实的证据意识。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强调模型结果必须与假设和证据绑定，不把数学模型当作真实系统本身。</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为后续混杂模型中的每个离散模式准备可解释的连续动力学。</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教学重点：动态响应、平衡点、参数影响和模型适用边界。</w:t>
            </w:r>
          </w:p>
          <w:p>
            <w:pPr>
              <w:spacing w:before="0" w:after="0" w:line="240" w:lineRule="auto"/>
            </w:pPr>
            <w:r>
              <w:rPr>
                <w:rFonts w:ascii="宋体" w:hAnsi="宋体" w:eastAsia="宋体"/>
                <w:b w:val="0"/>
                <w:sz w:val="16"/>
              </w:rPr>
              <w:t>教学难点：避免把演示曲线等同于真实设备，能够说明参数变化和未建模因素。</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【教师】发布“平衡点、动态响应、参数敏感性与模型边界”预习材料和一个最小建模/判断问题，不提前给出完整答案。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【教师】展示同一一阶温度模型在两个时间常数下的响应曲线，要求学生先判断哪一个系统“反应更快”并说明依据。</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【教师】从初始条件、输入和参数解释瞬态/稳态响应。</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【教师】说明平衡点与基本稳定性概念，不展开控制理论重复推导。</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【教师】通过教师提供Python/仿真曲线比较参数变化，学生完成“参数—响应—工程含义—模型局限”表。</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【课堂产物】连续模型参数敏感性与边界分析表。</w:t>
            </w:r>
          </w:p>
          <w:p>
            <w:pPr>
              <w:spacing w:before="0" w:after="0" w:line="240" w:lineRule="auto"/>
            </w:pPr>
            <w:r>
              <w:rPr>
                <w:rFonts w:ascii="宋体" w:hAnsi="宋体" w:eastAsia="宋体"/>
                <w:b w:val="0"/>
                <w:sz w:val="15"/>
              </w:rPr>
              <w:t>【学习证据】响应曲线/教师数据、参数对比表、模型局限说明。</w:t>
            </w:r>
          </w:p>
          <w:p>
            <w:pPr>
              <w:spacing w:before="0" w:after="0" w:line="240" w:lineRule="auto"/>
            </w:pPr>
            <w:r>
              <w:rPr>
                <w:rFonts w:ascii="宋体" w:hAnsi="宋体" w:eastAsia="宋体"/>
                <w:b w:val="0"/>
                <w:sz w:val="15"/>
              </w:rPr>
              <w:t>【评价关联】平时成绩；课程作业重点证据；目标1.3、2.3、3.2。</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平衡点的基本含义是什么？</w:t>
            </w:r>
          </w:p>
          <w:p>
            <w:pPr>
              <w:spacing w:before="0" w:after="0" w:line="240" w:lineRule="auto"/>
            </w:pPr>
            <w:r>
              <w:rPr>
                <w:rFonts w:ascii="宋体" w:hAnsi="宋体" w:eastAsia="宋体"/>
                <w:b w:val="0"/>
                <w:sz w:val="16"/>
              </w:rPr>
              <w:t>2. 时间常数变大通常意味着响应更快还是更慢？</w:t>
            </w:r>
          </w:p>
          <w:p>
            <w:pPr>
              <w:spacing w:before="0" w:after="0" w:line="240" w:lineRule="auto"/>
            </w:pPr>
            <w:r>
              <w:rPr>
                <w:rFonts w:ascii="宋体" w:hAnsi="宋体" w:eastAsia="宋体"/>
                <w:b w:val="0"/>
                <w:sz w:val="16"/>
              </w:rPr>
              <w:t>3. 为什么仿真曲线不能直接证明真实设备一定如此？</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【教师】回到知识脉络图，用“概念—模型—关系—边界—证据”总结“平衡点、动态响应、参数敏感性与模型边界”。</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【教师】布置课后任务：完善连续模型，给出一个模型有效范围和一个可能导致模型失效的现实因素。</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教学内容：重点记录“避免把演示曲线等同于真实设备，能够说明参数变化和未建模因素。”的真实掌握证据与常见错误；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第四单元 混杂系统与组合建模</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混杂系统、离散模式与连续状态</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9" name="Picture 9"/>
                  <wp:cNvGraphicFramePr>
                    <a:graphicFrameLocks noChangeAspect="1"/>
                  </wp:cNvGraphicFramePr>
                  <a:graphic>
                    <a:graphicData uri="http://schemas.openxmlformats.org/drawingml/2006/picture">
                      <pic:pic>
                        <pic:nvPicPr>
                          <pic:cNvPr id="0" name="lesson-08-knowledge-map.png"/>
                          <pic:cNvPicPr/>
                        </pic:nvPicPr>
                        <pic:blipFill>
                          <a:blip r:embed="rId36"/>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（1）掌握混杂系统、离散模式和连续状态基本概念。</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（1）能够把状态机与连续模型组合为简化混杂系统。</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（1）形成软硬件协同和全局分析意识。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通过软件模式切换影响真实物理状态的案例，强化软件—物理双向责任。</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混杂模型为智能装备逻辑+动力学联合仿真与数字孪生提供统一表达。</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教学重点：混杂系统基本思想：离散模式 + 连续动态 + 模式切换。</w:t>
            </w:r>
          </w:p>
          <w:p>
            <w:pPr>
              <w:spacing w:before="0" w:after="0" w:line="240" w:lineRule="auto"/>
            </w:pPr>
            <w:r>
              <w:rPr>
                <w:rFonts w:ascii="宋体" w:hAnsi="宋体" w:eastAsia="宋体"/>
                <w:b w:val="0"/>
                <w:sz w:val="16"/>
              </w:rPr>
              <w:t>教学难点：同时跟踪离散模式和连续状态，理解“切换后动力学规则可能改变”。</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【教师】发布“混杂系统、离散模式与连续状态”预习材料和一个最小建模/判断问题，不提前给出完整答案。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【教师】以“加热器OFF/ON但温度连续变化”为例，要求学生判断系统中哪些变量离散、哪些连续。</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【教师】定义混杂系统和混杂状态。</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【教师】用温控、运动控制或设备启停案例说明不同离散模式下采用不同连续动力学。</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【教师】学生把上一单元连续模型嵌入两个离散模式，画出初步混杂状态图。</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【课堂产物】两模式混杂系统草图 + 离散/连续变量表。</w:t>
            </w:r>
          </w:p>
          <w:p>
            <w:pPr>
              <w:spacing w:before="0" w:after="0" w:line="240" w:lineRule="auto"/>
            </w:pPr>
            <w:r>
              <w:rPr>
                <w:rFonts w:ascii="宋体" w:hAnsi="宋体" w:eastAsia="宋体"/>
                <w:b w:val="0"/>
                <w:sz w:val="15"/>
              </w:rPr>
              <w:t>【学习证据】模式表、每模式连续方程/规则、切换条件草案。</w:t>
            </w:r>
          </w:p>
          <w:p>
            <w:pPr>
              <w:spacing w:before="0" w:after="0" w:line="240" w:lineRule="auto"/>
            </w:pPr>
            <w:r>
              <w:rPr>
                <w:rFonts w:ascii="宋体" w:hAnsi="宋体" w:eastAsia="宋体"/>
                <w:b w:val="0"/>
                <w:sz w:val="15"/>
              </w:rPr>
              <w:t>【评价关联】平时成绩；课程作业过程证据；目标1.4、2.3、3.1、3.3。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混杂状态由哪些部分组成？</w:t>
            </w:r>
          </w:p>
          <w:p>
            <w:pPr>
              <w:spacing w:before="0" w:after="0" w:line="240" w:lineRule="auto"/>
            </w:pPr>
            <w:r>
              <w:rPr>
                <w:rFonts w:ascii="宋体" w:hAnsi="宋体" w:eastAsia="宋体"/>
                <w:b w:val="0"/>
                <w:sz w:val="16"/>
              </w:rPr>
              <w:t>2. 模式切换后连续状态是否必须清零？</w:t>
            </w:r>
          </w:p>
          <w:p>
            <w:pPr>
              <w:spacing w:before="0" w:after="0" w:line="240" w:lineRule="auto"/>
            </w:pPr>
            <w:r>
              <w:rPr>
                <w:rFonts w:ascii="宋体" w:hAnsi="宋体" w:eastAsia="宋体"/>
                <w:b w:val="0"/>
                <w:sz w:val="16"/>
              </w:rPr>
              <w:t>3. 为什么纯状态机无法完整描述温控动态？</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【教师】回到知识脉络图，用“概念—模型—关系—边界—证据”总结“混杂系统、离散模式与连续状态”。</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【教师】布置课后任务：将课堂两模式模型扩展为至少3个模式，并说明每个模式的连续动态。</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教学内容：重点记录“同时跟踪离散模式和连续状态，理解“切换后动力学规则可能改变”。”的真实掌握证据与常见错误；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第四单元 混杂系统与组合建模</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混杂自动机：守卫、重置、不变量与模式切换</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0" name="Picture 10"/>
                  <wp:cNvGraphicFramePr>
                    <a:graphicFrameLocks noChangeAspect="1"/>
                  </wp:cNvGraphicFramePr>
                  <a:graphic>
                    <a:graphicData uri="http://schemas.openxmlformats.org/drawingml/2006/picture">
                      <pic:pic>
                        <pic:nvPicPr>
                          <pic:cNvPr id="0" name="lesson-09-knowledge-map.png"/>
                          <pic:cNvPicPr/>
                        </pic:nvPicPr>
                        <pic:blipFill>
                          <a:blip r:embed="rId37"/>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（1）掌握混杂自动机、守卫、重置和不变量。</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（1）能够建立带安全边界的简化混杂自动机。</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（1）形成边界前置和安全约束显式化意识。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以越界和模式切换风险说明形式化约束对物理安全的重要价值。</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把安全阈值和模式切换显式化，为后续可达性与反例验证提供模型基础。</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教学重点：混杂自动机中的守卫、重置和不变量。</w:t>
            </w:r>
          </w:p>
          <w:p>
            <w:pPr>
              <w:spacing w:before="0" w:after="0" w:line="240" w:lineRule="auto"/>
            </w:pPr>
            <w:r>
              <w:rPr>
                <w:rFonts w:ascii="宋体" w:hAnsi="宋体" w:eastAsia="宋体"/>
                <w:b w:val="0"/>
                <w:sz w:val="16"/>
              </w:rPr>
              <w:t>教学难点：区分守卫条件与模式不变量，并正确处理切换时连续状态的重置/保持。</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【教师】发布“混杂自动机：守卫、重置、不变量与模式切换”预习材料和一个最小建模/判断问题，不提前给出完整答案。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【教师】给出“温度达到80℃切换到降温模式；在加热模式温度不得超过85℃”两条规则，要求学生判断哪条是守卫、哪条是不变量。</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【教师】从模式、连续流、守卫、重置和不变量五部分定义混杂自动机。</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【教师】比较守卫与不变量在“允许切换”和“允许停留”上的不同职责。</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【教师】学生完善温控/移动平台混杂自动机，加入1个重置和2个不变量并检查边界。</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【课堂产物】完整混杂自动机图 + 守卫/重置/不变量表。</w:t>
            </w:r>
          </w:p>
          <w:p>
            <w:pPr>
              <w:spacing w:before="0" w:after="0" w:line="240" w:lineRule="auto"/>
            </w:pPr>
            <w:r>
              <w:rPr>
                <w:rFonts w:ascii="宋体" w:hAnsi="宋体" w:eastAsia="宋体"/>
                <w:b w:val="0"/>
                <w:sz w:val="15"/>
              </w:rPr>
              <w:t>【学习证据】自动机图、条件表、边界轨迹检查。</w:t>
            </w:r>
          </w:p>
          <w:p>
            <w:pPr>
              <w:spacing w:before="0" w:after="0" w:line="240" w:lineRule="auto"/>
            </w:pPr>
            <w:r>
              <w:rPr>
                <w:rFonts w:ascii="宋体" w:hAnsi="宋体" w:eastAsia="宋体"/>
                <w:b w:val="0"/>
                <w:sz w:val="15"/>
              </w:rPr>
              <w:t>【评价关联】平时成绩；课程作业重点证据；目标1.4、2.3、3.3。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守卫和不变量的主要差别是什么？</w:t>
            </w:r>
          </w:p>
          <w:p>
            <w:pPr>
              <w:spacing w:before="0" w:after="0" w:line="240" w:lineRule="auto"/>
            </w:pPr>
            <w:r>
              <w:rPr>
                <w:rFonts w:ascii="宋体" w:hAnsi="宋体" w:eastAsia="宋体"/>
                <w:b w:val="0"/>
                <w:sz w:val="16"/>
              </w:rPr>
              <w:t>2. 什么情况下需要重置连续状态？</w:t>
            </w:r>
          </w:p>
          <w:p>
            <w:pPr>
              <w:spacing w:before="0" w:after="0" w:line="240" w:lineRule="auto"/>
            </w:pPr>
            <w:r>
              <w:rPr>
                <w:rFonts w:ascii="宋体" w:hAnsi="宋体" w:eastAsia="宋体"/>
                <w:b w:val="0"/>
                <w:sz w:val="16"/>
              </w:rPr>
              <w:t>3. 不变量被违反意味着什么？</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【教师】回到知识脉络图，用“概念—模型—关系—边界—证据”总结“混杂自动机：守卫、重置、不变量与模式切换”。</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【教师】布置课后任务：完成一个含3模式、至少4守卫、1重置、2不变量的混杂自动机。</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教学内容：重点记录“区分守卫条件与模式不变量，并正确处理切换时连续状态的重置/保持。”的真实掌握证据与常见错误；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第四单元 混杂系统与组合建模</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接口、并行/层次组合与组合冲突分析</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1" name="Picture 11"/>
                  <wp:cNvGraphicFramePr>
                    <a:graphicFrameLocks noChangeAspect="1"/>
                  </wp:cNvGraphicFramePr>
                  <a:graphic>
                    <a:graphicData uri="http://schemas.openxmlformats.org/drawingml/2006/picture">
                      <pic:pic>
                        <pic:nvPicPr>
                          <pic:cNvPr id="0" name="lesson-10-knowledge-map.png"/>
                          <pic:cNvPicPr/>
                        </pic:nvPicPr>
                        <pic:blipFill>
                          <a:blip r:embed="rId38"/>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（1）理解子系统接口、并行组合和层次化组合。</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（1）能够组合简化模型并识别接口/状态冲突。</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（1）形成全局安全、接口契约和跨域协同意识。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通过“局部正确不等于整体安全”强化跨专业协同、接口责任和系统风险意识。</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组合建模直接对应智能产线中机器人、输送、视觉、门禁等多子系统集成。</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教学重点：子系统接口、并行/层次组合和组合冲突。</w:t>
            </w:r>
          </w:p>
          <w:p>
            <w:pPr>
              <w:spacing w:before="0" w:after="0" w:line="240" w:lineRule="auto"/>
            </w:pPr>
            <w:r>
              <w:rPr>
                <w:rFonts w:ascii="宋体" w:hAnsi="宋体" w:eastAsia="宋体"/>
                <w:b w:val="0"/>
                <w:sz w:val="16"/>
              </w:rPr>
              <w:t>教学难点：在多个局部模型都“正确”时识别接口语义、时序或共享资源造成的系统冲突。</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【教师】发布“接口、并行/层次组合与组合冲突分析”预习材料和一个最小建模/判断问题，不提前给出完整答案。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【教师】给出“机器人允许进入工位”和“安全门允许打开”两个各自合理的状态机，组合后出现同一时刻冲突，要求学生找系统层原因。</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【教师】解释CPS子系统的输入输出、事件和共享状态接口。</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【教师】用并行组合与层次化组合描述多设备/多控制器协同。</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【教师】学生组合两个课堂状态机，建立接口表并制造一个冲突，随后通过约束或协调状态修正。</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【课堂产物】双子系统组合模型 + 接口合同 + 冲突/修正记录。</w:t>
            </w:r>
          </w:p>
          <w:p>
            <w:pPr>
              <w:spacing w:before="0" w:after="0" w:line="240" w:lineRule="auto"/>
            </w:pPr>
            <w:r>
              <w:rPr>
                <w:rFonts w:ascii="宋体" w:hAnsi="宋体" w:eastAsia="宋体"/>
                <w:b w:val="0"/>
                <w:sz w:val="15"/>
              </w:rPr>
              <w:t>【学习证据】接口表、组合状态图、冲突轨迹、修正后复验。</w:t>
            </w:r>
          </w:p>
          <w:p>
            <w:pPr>
              <w:spacing w:before="0" w:after="0" w:line="240" w:lineRule="auto"/>
            </w:pPr>
            <w:r>
              <w:rPr>
                <w:rFonts w:ascii="宋体" w:hAnsi="宋体" w:eastAsia="宋体"/>
                <w:b w:val="0"/>
                <w:sz w:val="15"/>
              </w:rPr>
              <w:t>【评价关联】平时成绩；课程作业重点证据；目标1.4、2.3、3.1、3.3。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并行组合为什么可能产生状态空间增长？</w:t>
            </w:r>
          </w:p>
          <w:p>
            <w:pPr>
              <w:spacing w:before="0" w:after="0" w:line="240" w:lineRule="auto"/>
            </w:pPr>
            <w:r>
              <w:rPr>
                <w:rFonts w:ascii="宋体" w:hAnsi="宋体" w:eastAsia="宋体"/>
                <w:b w:val="0"/>
                <w:sz w:val="16"/>
              </w:rPr>
              <w:t>2. 局部安全为什么不一定推出整体安全？</w:t>
            </w:r>
          </w:p>
          <w:p>
            <w:pPr>
              <w:spacing w:before="0" w:after="0" w:line="240" w:lineRule="auto"/>
            </w:pPr>
            <w:r>
              <w:rPr>
                <w:rFonts w:ascii="宋体" w:hAnsi="宋体" w:eastAsia="宋体"/>
                <w:b w:val="0"/>
                <w:sz w:val="16"/>
              </w:rPr>
              <w:t>3. 接口合同至少应明确哪些信息？</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【教师】回到知识脉络图，用“概念—模型—关系—边界—证据”总结“接口、并行/层次组合与组合冲突分析”。</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【教师】布置课后任务：完成课程作业中的混杂/组合模型部分，必须包含一个组合冲突及其修正。</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教学内容：重点记录“在多个局部模型都“正确”时识别接口语义、时序或共享资源造成的系统冲突。”的真实掌握证据与常见错误；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第五单元 CPS需求、模型验证与安全</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从工程需求到安全性、活性与时序约束</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2" name="Picture 12"/>
                  <wp:cNvGraphicFramePr>
                    <a:graphicFrameLocks noChangeAspect="1"/>
                  </wp:cNvGraphicFramePr>
                  <a:graphic>
                    <a:graphicData uri="http://schemas.openxmlformats.org/drawingml/2006/picture">
                      <pic:pic>
                        <pic:nvPicPr>
                          <pic:cNvPr id="0" name="lesson-11-knowledge-map.png"/>
                          <pic:cNvPicPr/>
                        </pic:nvPicPr>
                        <pic:blipFill>
                          <a:blip r:embed="rId39"/>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（1）理解需求与模型关系、安全性、活性和时序约束。</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（1）能够把工程需求改写为基本可验证约束。</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（1）形成需求可验证、边界清晰和安全前置意识。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强调安全需求必须前置并可检查，而不是事故后补救，培养质量责任。</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把需求表作为期末综合CPS设计的验收合同，连接模型与测试。</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教学重点：安全性、活性和时序需求的形式化表达思想。</w:t>
            </w:r>
          </w:p>
          <w:p>
            <w:pPr>
              <w:spacing w:before="0" w:after="0" w:line="240" w:lineRule="auto"/>
            </w:pPr>
            <w:r>
              <w:rPr>
                <w:rFonts w:ascii="宋体" w:hAnsi="宋体" w:eastAsia="宋体"/>
                <w:b w:val="0"/>
                <w:sz w:val="16"/>
              </w:rPr>
              <w:t>教学难点：把“系统要安全/要快/要完成任务”等模糊语言改写为可检查的状态/轨迹约束。</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【教师】发布“从工程需求到安全性、活性与时序约束”预习材料和一个最小建模/判断问题，不提前给出完整答案。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【教师】给出“机械臂必须安全”“AGV要及时到达”两句需求，让学生指出为什么无法直接验证，并改写为可检查条件。</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【教师】区分功能、性能和安全等工程需求。</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【教师】用“坏事不发生”解释安全性，用“好事最终发生”解释活性。</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【教师】学生将5条自然语言需求改写为状态禁止、最终到达或时间约束，并互审可检查性。</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【课堂产物】CPS需求表：原始需求、类型、可检查约束、验证证据。</w:t>
            </w:r>
          </w:p>
          <w:p>
            <w:pPr>
              <w:spacing w:before="0" w:after="0" w:line="240" w:lineRule="auto"/>
            </w:pPr>
            <w:r>
              <w:rPr>
                <w:rFonts w:ascii="宋体" w:hAnsi="宋体" w:eastAsia="宋体"/>
                <w:b w:val="0"/>
                <w:sz w:val="15"/>
              </w:rPr>
              <w:t>【学习证据】需求表、修改前后表述、互审意见。</w:t>
            </w:r>
          </w:p>
          <w:p>
            <w:pPr>
              <w:spacing w:before="0" w:after="0" w:line="240" w:lineRule="auto"/>
            </w:pPr>
            <w:r>
              <w:rPr>
                <w:rFonts w:ascii="宋体" w:hAnsi="宋体" w:eastAsia="宋体"/>
                <w:b w:val="0"/>
                <w:sz w:val="15"/>
              </w:rPr>
              <w:t>【评价关联】平时成绩；课程作业过程证据；目标1.4、2.4、3.3、3.4。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安全性与活性的核心区别是什么？</w:t>
            </w:r>
          </w:p>
          <w:p>
            <w:pPr>
              <w:spacing w:before="0" w:after="0" w:line="240" w:lineRule="auto"/>
            </w:pPr>
            <w:r>
              <w:rPr>
                <w:rFonts w:ascii="宋体" w:hAnsi="宋体" w:eastAsia="宋体"/>
                <w:b w:val="0"/>
                <w:sz w:val="16"/>
              </w:rPr>
              <w:t>2. “系统可靠”为什么不是一个足够具体的验证需求？</w:t>
            </w:r>
          </w:p>
          <w:p>
            <w:pPr>
              <w:spacing w:before="0" w:after="0" w:line="240" w:lineRule="auto"/>
            </w:pPr>
            <w:r>
              <w:rPr>
                <w:rFonts w:ascii="宋体" w:hAnsi="宋体" w:eastAsia="宋体"/>
                <w:b w:val="0"/>
                <w:sz w:val="16"/>
              </w:rPr>
              <w:t>3. 时序约束至少应明确哪两个时间点？</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【教师】回到知识脉络图，用“概念—模型—关系—边界—证据”总结“从工程需求到安全性、活性与时序约束”。</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【教师】布置课后任务：为自己的智能制造场景编写至少2条安全性、2条活性和1条时序约束。</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教学内容：重点记录“把“系统要安全/要快/要完成任务”等模糊语言改写为可检查的状态/轨迹约束。”的真实掌握证据与常见错误；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第五单元 CPS需求、模型验证与安全</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可达性、不变量、执行轨迹与反例</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3" name="Picture 13"/>
                  <wp:cNvGraphicFramePr>
                    <a:graphicFrameLocks noChangeAspect="1"/>
                  </wp:cNvGraphicFramePr>
                  <a:graphic>
                    <a:graphicData uri="http://schemas.openxmlformats.org/drawingml/2006/picture">
                      <pic:pic>
                        <pic:nvPicPr>
                          <pic:cNvPr id="0" name="lesson-12-knowledge-map.png"/>
                          <pic:cNvPicPr/>
                        </pic:nvPicPr>
                        <pic:blipFill>
                          <a:blip r:embed="rId40"/>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（1）掌握可达性、不变量、轨迹和反例基本思想。</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（1）能够对简化模型开展基本可达/轨迹检查并识别反例。</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（1）形成主动找错和证据验证意识。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通过主动寻找失败条件培养“不回避错误、用证据改进系统”的工程质量文化。</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将反例转化为测试用例和设计修正输入，建立模型驱动验证闭环。</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教学重点：可达性、不变量、轨迹检查和反例。</w:t>
            </w:r>
          </w:p>
          <w:p>
            <w:pPr>
              <w:spacing w:before="0" w:after="0" w:line="240" w:lineRule="auto"/>
            </w:pPr>
            <w:r>
              <w:rPr>
                <w:rFonts w:ascii="宋体" w:hAnsi="宋体" w:eastAsia="宋体"/>
                <w:b w:val="0"/>
                <w:sz w:val="16"/>
              </w:rPr>
              <w:t>教学难点：理解验证不是“多跑几个正常案例”，而是主动寻找违反需求的可达状态或轨迹。</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【教师】发布“可达性、不变量、执行轨迹与反例”预习材料和一个最小建模/判断问题，不提前给出完整答案。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【教师】给出一个模型经过3步后到达“门开且机器人运动”状态，要求学生判断这是一条普通测试失败还是安全性反例。</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【教师】用初始状态和迁移关系说明可达状态集合。</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【教师】用不变量检查安全边界，用执行轨迹检查需求是否被违反。</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【教师】学生对简化状态/混杂模型进行手工可达分析，找到或证明未找到一条反例。</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【课堂产物】可达状态表 + 不变量检查 + 反例轨迹。</w:t>
            </w:r>
          </w:p>
          <w:p>
            <w:pPr>
              <w:spacing w:before="0" w:after="0" w:line="240" w:lineRule="auto"/>
            </w:pPr>
            <w:r>
              <w:rPr>
                <w:rFonts w:ascii="宋体" w:hAnsi="宋体" w:eastAsia="宋体"/>
                <w:b w:val="0"/>
                <w:sz w:val="15"/>
              </w:rPr>
              <w:t>【学习证据】状态集合、反例路径、违反需求说明。</w:t>
            </w:r>
          </w:p>
          <w:p>
            <w:pPr>
              <w:spacing w:before="0" w:after="0" w:line="240" w:lineRule="auto"/>
            </w:pPr>
            <w:r>
              <w:rPr>
                <w:rFonts w:ascii="宋体" w:hAnsi="宋体" w:eastAsia="宋体"/>
                <w:b w:val="0"/>
                <w:sz w:val="15"/>
              </w:rPr>
              <w:t>【评价关联】平时成绩；课程作业重点证据；目标1.4、2.4、3.3、3.4。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什么是可达状态？</w:t>
            </w:r>
          </w:p>
          <w:p>
            <w:pPr>
              <w:spacing w:before="0" w:after="0" w:line="240" w:lineRule="auto"/>
            </w:pPr>
            <w:r>
              <w:rPr>
                <w:rFonts w:ascii="宋体" w:hAnsi="宋体" w:eastAsia="宋体"/>
                <w:b w:val="0"/>
                <w:sz w:val="16"/>
              </w:rPr>
              <w:t>2. 不变量被一个可达状态违反意味着什么？</w:t>
            </w:r>
          </w:p>
          <w:p>
            <w:pPr>
              <w:spacing w:before="0" w:after="0" w:line="240" w:lineRule="auto"/>
            </w:pPr>
            <w:r>
              <w:rPr>
                <w:rFonts w:ascii="宋体" w:hAnsi="宋体" w:eastAsia="宋体"/>
                <w:b w:val="0"/>
                <w:sz w:val="16"/>
              </w:rPr>
              <w:t>3. 反例的价值是什么？</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【教师】回到知识脉络图，用“概念—模型—关系—边界—证据”总结“可达性、不变量、执行轨迹与反例”。</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【教师】布置课后任务：为上一课5条需求至少选择2条做轨迹/可达性检查，并记录反例或验证证据。</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教学内容：重点记录“理解验证不是“多跑几个正常案例”，而是主动寻找违反需求的可达状态或轨迹。”的真实掌握证据与常见错误；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第五单元 CPS需求、模型验证与安全</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死锁、不可达、越界、故障注入与修正复验</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4" name="Picture 14"/>
                  <wp:cNvGraphicFramePr>
                    <a:graphicFrameLocks noChangeAspect="1"/>
                  </wp:cNvGraphicFramePr>
                  <a:graphic>
                    <a:graphicData uri="http://schemas.openxmlformats.org/drawingml/2006/picture">
                      <pic:pic>
                        <pic:nvPicPr>
                          <pic:cNvPr id="0" name="lesson-13-knowledge-map.png"/>
                          <pic:cNvPicPr/>
                        </pic:nvPicPr>
                        <pic:blipFill>
                          <a:blip r:embed="rId41"/>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（1）理解死锁、不可达、越界和故障注入。</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（1）能够开展基本故障注入、修正和复验。</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（1）形成持续改进、可恢复和质量闭环意识。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通过故障传播和修正复验强化对人员、设备安全和设计质量负责的意识。</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将故障注入和回归复验迁移到智能装备软件测试和数字孪生验证流程。</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教学重点：死锁、不可达、越界、故障注入及修正复验。</w:t>
            </w:r>
          </w:p>
          <w:p>
            <w:pPr>
              <w:spacing w:before="0" w:after="0" w:line="240" w:lineRule="auto"/>
            </w:pPr>
            <w:r>
              <w:rPr>
                <w:rFonts w:ascii="宋体" w:hAnsi="宋体" w:eastAsia="宋体"/>
                <w:b w:val="0"/>
                <w:sz w:val="16"/>
              </w:rPr>
              <w:t>教学难点：区分“模型中永远到不了的状态”和“系统卡死无后继”的不同问题，并设计修正后复验。</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【教师】发布“死锁、不可达、越界、故障注入与修正复验”预习材料和一个最小建模/判断问题，不提前给出完整答案。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【教师】给出一个既包含不可达“完成”状态又包含某状态无出边的模型，让学生分别标出不可达与死锁。</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【教师】解释死锁、不可达、越界和时序违约的表现。</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【教师】用通信延迟、传感器错误、执行器失效等故障注入检查CPS鲁棒性。</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【教师】学生对本单元模型执行“发现—修正—复验”，保留修改前后模型和反例。</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【课堂产物】CPS故障注入与修正复验报告页。</w:t>
            </w:r>
          </w:p>
          <w:p>
            <w:pPr>
              <w:spacing w:before="0" w:after="0" w:line="240" w:lineRule="auto"/>
            </w:pPr>
            <w:r>
              <w:rPr>
                <w:rFonts w:ascii="宋体" w:hAnsi="宋体" w:eastAsia="宋体"/>
                <w:b w:val="0"/>
                <w:sz w:val="15"/>
              </w:rPr>
              <w:t>【学习证据】故障条件、原反例、修正内容、复验结果。</w:t>
            </w:r>
          </w:p>
          <w:p>
            <w:pPr>
              <w:spacing w:before="0" w:after="0" w:line="240" w:lineRule="auto"/>
            </w:pPr>
            <w:r>
              <w:rPr>
                <w:rFonts w:ascii="宋体" w:hAnsi="宋体" w:eastAsia="宋体"/>
                <w:b w:val="0"/>
                <w:sz w:val="15"/>
              </w:rPr>
              <w:t>【评价关联】课程作业重点证据；目标1.4、2.4、3.3、3.4。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死锁和不可达状态有什么不同？</w:t>
            </w:r>
          </w:p>
          <w:p>
            <w:pPr>
              <w:spacing w:before="0" w:after="0" w:line="240" w:lineRule="auto"/>
            </w:pPr>
            <w:r>
              <w:rPr>
                <w:rFonts w:ascii="宋体" w:hAnsi="宋体" w:eastAsia="宋体"/>
                <w:b w:val="0"/>
                <w:sz w:val="16"/>
              </w:rPr>
              <w:t>2. 故障注入为什么不能只测试最容易成功的情况？</w:t>
            </w:r>
          </w:p>
          <w:p>
            <w:pPr>
              <w:spacing w:before="0" w:after="0" w:line="240" w:lineRule="auto"/>
            </w:pPr>
            <w:r>
              <w:rPr>
                <w:rFonts w:ascii="宋体" w:hAnsi="宋体" w:eastAsia="宋体"/>
                <w:b w:val="0"/>
                <w:sz w:val="16"/>
              </w:rPr>
              <w:t>3. 修正后为什么必须复验原反例？</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【教师】回到知识脉络图，用“概念—模型—关系—边界—证据”总结“死锁、不可达、越界、故障注入与修正复验”。</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【教师】布置课后任务：提交课程作业：CPS模型分析、需求与验证证据，必须包含至少1个故障注入与修正复验。</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教学内容：重点记录“区分“模型中永远到不了的状态”和“系统卡死无后继”的不同问题，并设计修正后复验。”的真实掌握证据与常见错误；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第六单元 智能制造CPS设计与数字孪生</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智能制造CPS设计流程：感知、边缘、通信、控制与执行</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5" name="Picture 15"/>
                  <wp:cNvGraphicFramePr>
                    <a:graphicFrameLocks noChangeAspect="1"/>
                  </wp:cNvGraphicFramePr>
                  <a:graphic>
                    <a:graphicData uri="http://schemas.openxmlformats.org/drawingml/2006/picture">
                      <pic:pic>
                        <pic:nvPicPr>
                          <pic:cNvPr id="0" name="lesson-14-knowledge-map.png"/>
                          <pic:cNvPicPr/>
                        </pic:nvPicPr>
                        <pic:blipFill>
                          <a:blip r:embed="rId42"/>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（1）理解智能制造CPS设计流程和各技术环节角色。</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（1）能够形成智能装备/产线CPS概念设计骨架。</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（1）形成需求驱动、跨域沟通和工程边界意识。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结合智能工厂自主决策与人员安全，强调技术方案必须明确人工责任与安全边界。</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形成期末综合CPS课程设计的最小可评审架构，并训练系统方案表达能力。</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教学重点：智能制造CPS设计流程与感知—计算—通信—控制—执行闭环。</w:t>
            </w:r>
          </w:p>
          <w:p>
            <w:pPr>
              <w:spacing w:before="0" w:after="0" w:line="240" w:lineRule="auto"/>
            </w:pPr>
            <w:r>
              <w:rPr>
                <w:rFonts w:ascii="宋体" w:hAnsi="宋体" w:eastAsia="宋体"/>
                <w:b w:val="0"/>
                <w:sz w:val="16"/>
              </w:rPr>
              <w:t>教学难点：从场景需求推导技术链，而不是先堆砌传感器、平台和算法名词。</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【教师】发布“智能制造CPS设计流程：感知、边缘、通信、控制与执行”预习材料和一个最小建模/判断问题，不提前给出完整答案。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【教师】给出一张堆满“AI、云、5G、数字孪生”的方案图，要求学生找出缺失的物理对象、控制动作和验收指标。</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【教师】按场景→需求→边界→架构→模型→接口→验证组织CPS概念设计流程。</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【教师】梳理感知、边缘计算、网络通信、控制执行和反馈的职责与时延/可靠性约束。</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【教师】学生选择智能产线、机器人工作站、AGV、数控或增材制造设备，完成综合方案骨架图。</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【课堂产物】期末综合CPS设计骨架：场景、边界、架构、接口和约束。</w:t>
            </w:r>
          </w:p>
          <w:p>
            <w:pPr>
              <w:spacing w:before="0" w:after="0" w:line="240" w:lineRule="auto"/>
            </w:pPr>
            <w:r>
              <w:rPr>
                <w:rFonts w:ascii="宋体" w:hAnsi="宋体" w:eastAsia="宋体"/>
                <w:b w:val="0"/>
                <w:sz w:val="15"/>
              </w:rPr>
              <w:t>【学习证据】方案图、接口表、关键时延/安全约束列表。</w:t>
            </w:r>
          </w:p>
          <w:p>
            <w:pPr>
              <w:spacing w:before="0" w:after="0" w:line="240" w:lineRule="auto"/>
            </w:pPr>
            <w:r>
              <w:rPr>
                <w:rFonts w:ascii="宋体" w:hAnsi="宋体" w:eastAsia="宋体"/>
                <w:b w:val="0"/>
                <w:sz w:val="15"/>
              </w:rPr>
              <w:t>【评价关联】期末考核过程准备；目标1.1、2.1、2.4、3.1、3.4。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CPS设计为什么应从场景和需求开始？</w:t>
            </w:r>
          </w:p>
          <w:p>
            <w:pPr>
              <w:spacing w:before="0" w:after="0" w:line="240" w:lineRule="auto"/>
            </w:pPr>
            <w:r>
              <w:rPr>
                <w:rFonts w:ascii="宋体" w:hAnsi="宋体" w:eastAsia="宋体"/>
                <w:b w:val="0"/>
                <w:sz w:val="16"/>
              </w:rPr>
              <w:t>2. 边缘计算在CPS中主要解决哪类问题？</w:t>
            </w:r>
          </w:p>
          <w:p>
            <w:pPr>
              <w:spacing w:before="0" w:after="0" w:line="240" w:lineRule="auto"/>
            </w:pPr>
            <w:r>
              <w:rPr>
                <w:rFonts w:ascii="宋体" w:hAnsi="宋体" w:eastAsia="宋体"/>
                <w:b w:val="0"/>
                <w:sz w:val="16"/>
              </w:rPr>
              <w:t>3. 控制闭环中网络时延为什么是工程约束？</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【教师】回到知识脉络图，用“概念—模型—关系—边界—证据”总结“智能制造CPS设计流程：感知、边缘、通信、控制与执行”。</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【教师】布置课后任务：确定期末综合设计场景，完成需求与系统边界初稿。</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教学内容：重点记录“从场景需求推导技术链，而不是先堆砌传感器、平台和算法名词。”的真实掌握证据与常见错误；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第六单元 智能制造CPS设计与数字孪生</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数字孪生、工业互联网、边缘计算与数据/时序约束</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6" name="Picture 16"/>
                  <wp:cNvGraphicFramePr>
                    <a:graphicFrameLocks noChangeAspect="1"/>
                  </wp:cNvGraphicFramePr>
                  <a:graphic>
                    <a:graphicData uri="http://schemas.openxmlformats.org/drawingml/2006/picture">
                      <pic:pic>
                        <pic:nvPicPr>
                          <pic:cNvPr id="0" name="lesson-15-knowledge-map.png"/>
                          <pic:cNvPicPr/>
                        </pic:nvPicPr>
                        <pic:blipFill>
                          <a:blip r:embed="rId43"/>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（1）理解数字孪生、工业互联网和边缘计算在CPS中的角色。</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（1）能够分析时延、同步和数据质量等工程约束。</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（1）形成技术边界、数据可信和持续学习意识。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强调数据可信、来源可追溯和模型边界，避免技术名词替代工程事实。</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训练技术选型和系统集成判断，为智能制造方案咨询、数字孪生应用和工业互联网项目打基础。</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教学重点：数字孪生、工业互联网、边缘计算在CPS中的角色与约束。</w:t>
            </w:r>
          </w:p>
          <w:p>
            <w:pPr>
              <w:spacing w:before="0" w:after="0" w:line="240" w:lineRule="auto"/>
            </w:pPr>
            <w:r>
              <w:rPr>
                <w:rFonts w:ascii="宋体" w:hAnsi="宋体" w:eastAsia="宋体"/>
                <w:b w:val="0"/>
                <w:sz w:val="16"/>
              </w:rPr>
              <w:t>教学难点：明确这些技术是CPS的支撑手段而非CPS本身，并说明数据质量、时延、同步对闭环的影响。</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【教师】发布“数字孪生、工业互联网、边缘计算与数据/时序约束”预习材料和一个最小建模/判断问题，不提前给出完整答案。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【教师】比较“实时控制数字孪生”和“每小时更新一次的离线可视化模型”，要求学生判断两者在CPS闭环中的作用是否相同。</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【教师】解释数字孪生中的模型—数据—实体映射与同步。</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【教师】说明工业互联网负责连接/数据交换、边缘计算负责近源计算等角色。</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【教师】学生为自己的综合设计写出“技术组件—作用—输入输出—时延/数据质量约束—不适用边界”表。</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【课堂产物】数字孪生/工业互联网/边缘技术角色与约束表。</w:t>
            </w:r>
          </w:p>
          <w:p>
            <w:pPr>
              <w:spacing w:before="0" w:after="0" w:line="240" w:lineRule="auto"/>
            </w:pPr>
            <w:r>
              <w:rPr>
                <w:rFonts w:ascii="宋体" w:hAnsi="宋体" w:eastAsia="宋体"/>
                <w:b w:val="0"/>
                <w:sz w:val="15"/>
              </w:rPr>
              <w:t>【学习证据】角色表、约束表、一个不当技术堆砌案例修正。</w:t>
            </w:r>
          </w:p>
          <w:p>
            <w:pPr>
              <w:spacing w:before="0" w:after="0" w:line="240" w:lineRule="auto"/>
            </w:pPr>
            <w:r>
              <w:rPr>
                <w:rFonts w:ascii="宋体" w:hAnsi="宋体" w:eastAsia="宋体"/>
                <w:b w:val="0"/>
                <w:sz w:val="15"/>
              </w:rPr>
              <w:t>【评价关联】期末考核过程准备；目标1.1、2.4、3.4。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数字孪生为什么不等于CPS？</w:t>
            </w:r>
          </w:p>
          <w:p>
            <w:pPr>
              <w:spacing w:before="0" w:after="0" w:line="240" w:lineRule="auto"/>
            </w:pPr>
            <w:r>
              <w:rPr>
                <w:rFonts w:ascii="宋体" w:hAnsi="宋体" w:eastAsia="宋体"/>
                <w:b w:val="0"/>
                <w:sz w:val="16"/>
              </w:rPr>
              <w:t>2. 边缘计算相对云计算的典型优势是什么？</w:t>
            </w:r>
          </w:p>
          <w:p>
            <w:pPr>
              <w:spacing w:before="0" w:after="0" w:line="240" w:lineRule="auto"/>
            </w:pPr>
            <w:r>
              <w:rPr>
                <w:rFonts w:ascii="宋体" w:hAnsi="宋体" w:eastAsia="宋体"/>
                <w:b w:val="0"/>
                <w:sz w:val="16"/>
              </w:rPr>
              <w:t>3. 时间同步误差可能怎样影响物理控制判断？</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【教师】回到知识脉络图，用“概念—模型—关系—边界—证据”总结“数字孪生、工业互联网、边缘计算与数据/时序约束”。</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【教师】布置课后任务：把数字孪生、工业互联网或边缘计算中至少两项合理融入期末设计，并说明不采用其他技术的理由。</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教学内容：重点记录“明确这些技术是CPS的支撑手段而非CPS本身，并说明数据质量、时延、同步对闭环的影响。”的真实掌握证据与常见错误；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第六单元 智能制造CPS设计与数字孪生</w:t>
            </w:r>
          </w:p>
        </w:tc>
        <w:tc>
          <w:tcPr>
            <w:tcW w:w="1448"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综合CPS课程设计评审：模型、需求、验证与工程取舍</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b w:val="0"/>
                <w:sz w:val="18"/>
              </w:rPr>
              <w:t>2课时（100 min）</w:t>
            </w:r>
          </w:p>
        </w:tc>
      </w:tr>
      <w:tr w14:paraId="76D03DE5" w14:textId="77777777">
        <w:trPr>
          <w:trHeight w:val="2520" w:hRule="atLeast"/>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343400" cy="1496060"/>
                  <wp:docPr id="17" name="Picture 17"/>
                  <wp:cNvGraphicFramePr>
                    <a:graphicFrameLocks noChangeAspect="1"/>
                  </wp:cNvGraphicFramePr>
                  <a:graphic>
                    <a:graphicData uri="http://schemas.openxmlformats.org/drawingml/2006/picture">
                      <pic:pic>
                        <pic:nvPicPr>
                          <pic:cNvPr id="0" name="lesson-16-knowledge-map.png"/>
                          <pic:cNvPicPr/>
                        </pic:nvPicPr>
                        <pic:blipFill>
                          <a:blip r:embed="rId44"/>
                          <a:stretch>
                            <a:fillRect/>
                          </a:stretch>
                        </pic:blipFill>
                        <pic:spPr>
                          <a:xfrm>
                            <a:off x="0" y="0"/>
                            <a:ext cx="4343400" cy="14960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7"/>
              </w:rPr>
              <w:t>知识目标：</w:t>
            </w:r>
          </w:p>
          <w:p>
            <w:pPr>
              <w:spacing w:before="0" w:after="0" w:line="240" w:lineRule="auto"/>
            </w:pPr>
            <w:r>
              <w:rPr>
                <w:rFonts w:ascii="宋体" w:hAnsi="宋体" w:eastAsia="宋体"/>
                <w:b w:val="0"/>
                <w:sz w:val="17"/>
              </w:rPr>
              <w:t>（1）综合理解CPS架构、离散/连续/混杂模型、需求验证与数字孪生等技术关系。</w:t>
            </w:r>
          </w:p>
          <w:p>
            <w:pPr>
              <w:spacing w:before="0" w:after="0" w:line="240" w:lineRule="auto"/>
            </w:pPr>
            <w:r>
              <w:rPr>
                <w:rFonts w:ascii="宋体" w:hAnsi="宋体" w:eastAsia="宋体"/>
                <w:b w:val="0"/>
                <w:sz w:val="17"/>
              </w:rPr>
              <w:t>能力目标：</w:t>
            </w:r>
          </w:p>
          <w:p>
            <w:pPr>
              <w:spacing w:before="0" w:after="0" w:line="240" w:lineRule="auto"/>
            </w:pPr>
            <w:r>
              <w:rPr>
                <w:rFonts w:ascii="宋体" w:hAnsi="宋体" w:eastAsia="宋体"/>
                <w:b w:val="0"/>
                <w:sz w:val="17"/>
              </w:rPr>
              <w:t>（1）能够完成智能装备/产线CPS概念设计并通过评审修正。</w:t>
            </w:r>
          </w:p>
          <w:p>
            <w:pPr>
              <w:spacing w:before="0" w:after="0" w:line="240" w:lineRule="auto"/>
            </w:pPr>
            <w:r>
              <w:rPr>
                <w:rFonts w:ascii="宋体" w:hAnsi="宋体" w:eastAsia="宋体"/>
                <w:b w:val="0"/>
                <w:sz w:val="17"/>
              </w:rPr>
              <w:t>价值目标：</w:t>
            </w:r>
          </w:p>
          <w:p>
            <w:pPr>
              <w:spacing w:before="0" w:after="0" w:line="240" w:lineRule="auto"/>
            </w:pPr>
            <w:r>
              <w:rPr>
                <w:rFonts w:ascii="宋体" w:hAnsi="宋体" w:eastAsia="宋体"/>
                <w:b w:val="0"/>
                <w:sz w:val="17"/>
              </w:rPr>
              <w:t>（1）形成可验证设计、工程表达、持续改进和自主学习意识。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以综合方案评审强化工程诚信、独立解释、人工复核和对安全结果负责。</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专创融合 /</w:t>
            </w:r>
          </w:p>
          <w:p>
            <w:pPr>
              <w:spacing w:before="0" w:after="0" w:line="240" w:lineRule="auto"/>
              <w:jc w:val="center"/>
            </w:pPr>
            <w:r>
              <w:rPr>
                <w:rFonts w:ascii="宋体" w:hAnsi="宋体" w:eastAsia="宋体"/>
                <w:b/>
                <w:sz w:val="18"/>
              </w:rPr>
              <w:t>双创融合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形成可展示、可评审的智能制造CPS概念设计成果，连接综合实践与毕业设计。</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教学重难点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教学重点：综合CPS方案的架构、模型、验证和工程取舍。</w:t>
            </w:r>
          </w:p>
          <w:p>
            <w:pPr>
              <w:spacing w:before="0" w:after="0" w:line="240" w:lineRule="auto"/>
            </w:pPr>
            <w:r>
              <w:rPr>
                <w:rFonts w:ascii="宋体" w:hAnsi="宋体" w:eastAsia="宋体"/>
                <w:b w:val="0"/>
                <w:sz w:val="16"/>
              </w:rPr>
              <w:t>教学难点：把前五单元产物整合成相互一致、可解释、可验证的系统设计，而不是把图表简单拼接。</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讲授法、问题引导法、架构/状态建模法、方程分析法、案例研讨法、教师演示法、同伴互评、反例与证据复盘</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电脑、投影仪、多媒体课件、教材、状态图/时序图模板、需求与验证表、教师提供Python/仿真曲线或案例数据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6"/>
              </w:rPr>
              <w:t>课前任务 → 互动导入（15 min）→ 传授新知与课堂训练（70 min）→ 过关检测（10 min）→ 课堂小结（3 min）→ 作业布置（1 min）→ 考勤（1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2"/>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20"/>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【教师】发布“综合CPS课程设计评审：模型、需求、验证与工程取舍”预习材料和一个最小建模/判断问题，不提前给出完整答案。</w:t>
            </w:r>
          </w:p>
          <w:p>
            <w:pPr>
              <w:spacing w:before="0" w:after="0" w:line="240" w:lineRule="auto"/>
            </w:pPr>
            <w:r>
              <w:rPr>
                <w:rFonts w:ascii="宋体" w:hAnsi="宋体" w:eastAsia="宋体"/>
                <w:b w:val="0"/>
                <w:sz w:val="16"/>
              </w:rPr>
              <w:t>【学生】阅读对应教材内容，记录3个核心术语、至少1个疑问，并准备课堂建模表。</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通过课前阅读和最小建模问题建立先备认知，让学生带着可验证问题进入课堂。</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互动导入</w:t>
            </w:r>
          </w:p>
          <w:p>
            <w:pPr>
              <w:spacing w:before="0" w:after="0" w:line="240" w:lineRule="auto"/>
              <w:jc w:val="center"/>
            </w:pPr>
            <w:r>
              <w:rPr>
                <w:rFonts w:ascii="宋体" w:hAnsi="宋体" w:eastAsia="宋体"/>
                <w:b/>
                <w:sz w:val="17"/>
              </w:rPr>
              <w:t>（15 min）</w:t>
            </w:r>
          </w:p>
          <w:p>
            <w:pPr>
              <w:spacing w:before="0" w:after="0" w:line="240" w:lineRule="auto"/>
              <w:jc w:val="center"/>
            </w:pPr>
            <w:r>
              <w:rPr>
                <w:rFonts w:ascii="宋体" w:hAnsi="宋体" w:eastAsia="宋体"/>
                <w:b/>
                <w:sz w:val="17"/>
              </w:rPr>
            </w:r>
          </w:p>
          <w:p>
            <w:pPr>
              <w:spacing w:before="0" w:after="0" w:line="240" w:lineRule="auto"/>
              <w:jc w:val="center"/>
            </w:pPr>
            <w:r>
              <w:rPr>
                <w:rFonts w:ascii="宋体" w:hAnsi="宋体" w:eastAsia="宋体"/>
                <w:b/>
                <w:sz w:val="17"/>
              </w:rPr>
              <w:t>传授新知与课堂训练</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【互动导入 15 min】</w:t>
            </w:r>
          </w:p>
          <w:p>
            <w:pPr>
              <w:spacing w:before="0" w:after="0" w:line="240" w:lineRule="auto"/>
            </w:pPr>
            <w:r>
              <w:rPr>
                <w:rFonts w:ascii="宋体" w:hAnsi="宋体" w:eastAsia="宋体"/>
                <w:b w:val="0"/>
                <w:sz w:val="15"/>
              </w:rPr>
              <w:t>【教师】给出一份“架构图很好看但状态模型与接口表使用不同信号名”的综合方案，要求学生找出一致性问题。</w:t>
            </w:r>
          </w:p>
          <w:p>
            <w:pPr>
              <w:spacing w:before="0" w:after="0" w:line="240" w:lineRule="auto"/>
            </w:pPr>
            <w:r>
              <w:rPr>
                <w:rFonts w:ascii="宋体" w:hAnsi="宋体" w:eastAsia="宋体"/>
                <w:b w:val="0"/>
                <w:sz w:val="15"/>
              </w:rPr>
              <w:t>【学生】先独立判断/建模，再交换依据。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【传授新知与课堂训练 70 min】</w:t>
            </w:r>
          </w:p>
          <w:p>
            <w:pPr>
              <w:spacing w:before="0" w:after="0" w:line="240" w:lineRule="auto"/>
            </w:pPr>
            <w:r>
              <w:rPr>
                <w:rFonts w:ascii="宋体" w:hAnsi="宋体" w:eastAsia="宋体"/>
                <w:b w:val="0"/>
                <w:sz w:val="15"/>
              </w:rPr>
              <w:t>【教师】以期末考核评分项检查场景、系统边界、架构与接口是否完整。</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【教师】检查状态模型、连续/混杂模型是否能支撑主要行为，需求是否可验证。</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t>【教师】学生进行同伴方案评审：找1个一致性问题、1个安全/验证缺口、1个技术边界问题并提出修正。</w:t>
            </w:r>
          </w:p>
          <w:p>
            <w:pPr>
              <w:spacing w:before="0" w:after="0" w:line="240" w:lineRule="auto"/>
            </w:pPr>
            <w:r>
              <w:rPr>
                <w:rFonts w:ascii="宋体" w:hAnsi="宋体" w:eastAsia="宋体"/>
                <w:b w:val="0"/>
                <w:sz w:val="15"/>
              </w:rPr>
              <w:t>【学生】完成对应建模/分析并记录判断依据。</w:t>
            </w:r>
          </w:p>
          <w:p>
            <w:pPr>
              <w:spacing w:before="0" w:after="0" w:line="240" w:lineRule="auto"/>
            </w:pPr>
            <w:r>
              <w:rPr>
                <w:rFonts w:ascii="宋体" w:hAnsi="宋体" w:eastAsia="宋体"/>
                <w:b w:val="0"/>
                <w:sz w:val="15"/>
              </w:rPr>
            </w:r>
          </w:p>
          <w:p>
            <w:pPr>
              <w:spacing w:before="0" w:after="0" w:line="240" w:lineRule="auto"/>
            </w:pPr>
            <w:r>
              <w:rPr>
                <w:rFonts w:ascii="宋体" w:hAnsi="宋体" w:eastAsia="宋体"/>
                <w:b w:val="0"/>
                <w:sz w:val="15"/>
              </w:rPr>
              <w:t>【课堂产物】综合CPS课程设计评审包：架构、接口、核心模型、需求/验证表和修正清单。</w:t>
            </w:r>
          </w:p>
          <w:p>
            <w:pPr>
              <w:spacing w:before="0" w:after="0" w:line="240" w:lineRule="auto"/>
            </w:pPr>
            <w:r>
              <w:rPr>
                <w:rFonts w:ascii="宋体" w:hAnsi="宋体" w:eastAsia="宋体"/>
                <w:b w:val="0"/>
                <w:sz w:val="15"/>
              </w:rPr>
              <w:t>【学习证据】评审清单、修改前后证据、个人解释记录。</w:t>
            </w:r>
          </w:p>
          <w:p>
            <w:pPr>
              <w:spacing w:before="0" w:after="0" w:line="240" w:lineRule="auto"/>
            </w:pPr>
            <w:r>
              <w:rPr>
                <w:rFonts w:ascii="宋体" w:hAnsi="宋体" w:eastAsia="宋体"/>
                <w:b w:val="0"/>
                <w:sz w:val="15"/>
              </w:rPr>
              <w:t>【评价关联】期末考核核心准备；目标1.1—1.4、2.1—2.4、3.1—3.4。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采用“先判断/建模→最小讲解→模型/轨迹推演→独立产出→反例/证据复核”的理论课闭环。</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过关检测</w:t>
            </w:r>
          </w:p>
          <w:p>
            <w:pPr>
              <w:spacing w:before="0" w:after="0" w:line="240" w:lineRule="auto"/>
              <w:jc w:val="center"/>
            </w:pPr>
            <w:r>
              <w:rPr>
                <w:rFonts w:ascii="宋体" w:hAnsi="宋体" w:eastAsia="宋体"/>
                <w:b/>
                <w:sz w:val="18"/>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【教师】组织当堂检测：</w:t>
            </w:r>
          </w:p>
          <w:p>
            <w:pPr>
              <w:spacing w:before="0" w:after="0" w:line="240" w:lineRule="auto"/>
            </w:pPr>
            <w:r>
              <w:rPr>
                <w:rFonts w:ascii="宋体" w:hAnsi="宋体" w:eastAsia="宋体"/>
                <w:b w:val="0"/>
                <w:sz w:val="16"/>
              </w:rPr>
              <w:t>1. 综合设计至少应包含哪些核心模型/证据？</w:t>
            </w:r>
          </w:p>
          <w:p>
            <w:pPr>
              <w:spacing w:before="0" w:after="0" w:line="240" w:lineRule="auto"/>
            </w:pPr>
            <w:r>
              <w:rPr>
                <w:rFonts w:ascii="宋体" w:hAnsi="宋体" w:eastAsia="宋体"/>
                <w:b w:val="0"/>
                <w:sz w:val="16"/>
              </w:rPr>
              <w:t>2. 为什么接口表与状态模型必须使用一致命名？</w:t>
            </w:r>
          </w:p>
          <w:p>
            <w:pPr>
              <w:spacing w:before="0" w:after="0" w:line="240" w:lineRule="auto"/>
            </w:pPr>
            <w:r>
              <w:rPr>
                <w:rFonts w:ascii="宋体" w:hAnsi="宋体" w:eastAsia="宋体"/>
                <w:b w:val="0"/>
                <w:sz w:val="16"/>
              </w:rPr>
              <w:t>3. 答辩中如何证明设计结论来自模型与验证而非主观描述？</w:t>
            </w:r>
          </w:p>
          <w:p>
            <w:pPr>
              <w:spacing w:before="0" w:after="0" w:line="240" w:lineRule="auto"/>
            </w:pPr>
            <w:r>
              <w:rPr>
                <w:rFonts w:ascii="宋体" w:hAnsi="宋体" w:eastAsia="宋体"/>
                <w:b w:val="0"/>
                <w:sz w:val="16"/>
              </w:rPr>
              <w:t>【学生】独立作答；【教师】要求说明模型、轨迹或证据依据。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即时检验关键概念、模型与边界，要求说明依据。</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课堂小结</w:t>
            </w:r>
          </w:p>
          <w:p>
            <w:pPr>
              <w:spacing w:before="0" w:after="0" w:line="240" w:lineRule="auto"/>
              <w:jc w:val="center"/>
            </w:pPr>
            <w:r>
              <w:rPr>
                <w:rFonts w:ascii="宋体" w:hAnsi="宋体" w:eastAsia="宋体"/>
                <w:b/>
                <w:sz w:val="18"/>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【教师】回到知识脉络图，用“概念—模型—关系—边界—证据”总结“综合CPS课程设计评审：模型、需求、验证与工程取舍”。</w:t>
            </w:r>
          </w:p>
          <w:p>
            <w:pPr>
              <w:spacing w:before="0" w:after="0" w:line="240" w:lineRule="auto"/>
            </w:pPr>
            <w:r>
              <w:rPr>
                <w:rFonts w:ascii="宋体" w:hAnsi="宋体" w:eastAsia="宋体"/>
                <w:b w:val="0"/>
                <w:sz w:val="16"/>
              </w:rPr>
              <w:t>【学生】写下本课最重要的一条规则和一个最容易误判的模型边界。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回到知识脉络图压缩信息，形成概念—模型—证据层级结构。</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作业布置</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【教师】布置课后任务：完成期末综合CPS课程设计：综合报告/设计成果 + 答辩与个人核验准备。</w:t>
            </w:r>
          </w:p>
          <w:p>
            <w:pPr>
              <w:spacing w:before="0" w:after="0" w:line="240" w:lineRule="auto"/>
            </w:pPr>
            <w:r>
              <w:rPr>
                <w:rFonts w:ascii="宋体" w:hAnsi="宋体" w:eastAsia="宋体"/>
                <w:b w:val="0"/>
                <w:sz w:val="16"/>
              </w:rPr>
              <w:t>【学生】按课程文件命名规范整理架构图、状态图、方程、轨迹或验证说明。</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val="0"/>
                <w:sz w:val="15"/>
              </w:rPr>
              <w:t>固化课堂建模成果，形成可复查的过程证据。</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考勤</w:t>
            </w:r>
          </w:p>
          <w:p>
            <w:pPr>
              <w:spacing w:before="0" w:after="0" w:line="240" w:lineRule="auto"/>
              <w:jc w:val="center"/>
            </w:pPr>
            <w:r>
              <w:rPr>
                <w:rFonts w:ascii="宋体" w:hAnsi="宋体" w:eastAsia="宋体"/>
                <w:b/>
                <w:sz w:val="18"/>
              </w:rPr>
              <w:t>（1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6"/>
              </w:rPr>
              <w:t>【教师】利用学校/课程实际使用的平台进行签到。</w:t>
            </w:r>
          </w:p>
          <w:p>
            <w:pPr>
              <w:spacing w:before="0" w:after="0" w:line="240" w:lineRule="auto"/>
            </w:pPr>
            <w:r>
              <w:rPr>
                <w:rFonts w:ascii="宋体" w:hAnsi="宋体" w:eastAsia="宋体"/>
                <w:b w:val="0"/>
                <w:sz w:val="16"/>
              </w:rPr>
              <w:t>【学生】按课程要求完成签到。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保留模板考勤环节，不预填出勤事实。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课后</w:t>
            </w:r>
          </w:p>
          <w:p>
            <w:pPr>
              <w:spacing w:before="0" w:after="0" w:line="240" w:lineRule="auto"/>
              <w:jc w:val="center"/>
            </w:pPr>
            <w:r>
              <w:rPr>
                <w:rFonts w:ascii="宋体" w:hAnsi="宋体" w:eastAsia="宋体"/>
                <w:b/>
                <w:sz w:val="18"/>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【课后填写，不预填事实】</w:t>
            </w:r>
          </w:p>
          <w:p>
            <w:pPr>
              <w:spacing w:before="0" w:after="0" w:line="240" w:lineRule="auto"/>
            </w:pPr>
            <w:r>
              <w:rPr>
                <w:rFonts w:ascii="宋体" w:hAnsi="宋体" w:eastAsia="宋体"/>
                <w:b w:val="0"/>
                <w:sz w:val="15"/>
              </w:rPr>
              <w:t>1. 教学流程：记录100 min各环节实际用时及需调整位置；</w:t>
            </w:r>
          </w:p>
          <w:p>
            <w:pPr>
              <w:spacing w:before="0" w:after="0" w:line="240" w:lineRule="auto"/>
            </w:pPr>
            <w:r>
              <w:rPr>
                <w:rFonts w:ascii="宋体" w:hAnsi="宋体" w:eastAsia="宋体"/>
                <w:b w:val="0"/>
                <w:sz w:val="15"/>
              </w:rPr>
              <w:t>2. 教学内容：重点记录“把前五单元产物整合成相互一致、可解释、可验证的系统设计，而不是把图表简单拼接。”的真实掌握证据与常见错误；</w:t>
            </w:r>
          </w:p>
          <w:p>
            <w:pPr>
              <w:spacing w:before="0" w:after="0" w:line="240" w:lineRule="auto"/>
            </w:pPr>
            <w:r>
              <w:rPr>
                <w:rFonts w:ascii="宋体" w:hAnsi="宋体" w:eastAsia="宋体"/>
                <w:b w:val="0"/>
                <w:sz w:val="15"/>
              </w:rPr>
              <w:t>3. 学生参与：仅依据实际课堂记录填写独立建模、讨论、互审情况，不补写推测；</w:t>
            </w:r>
          </w:p>
          <w:p>
            <w:pPr>
              <w:spacing w:before="0" w:after="0" w:line="240" w:lineRule="auto"/>
            </w:pPr>
            <w:r>
              <w:rPr>
                <w:rFonts w:ascii="宋体" w:hAnsi="宋体" w:eastAsia="宋体"/>
                <w:b w:val="0"/>
                <w:sz w:val="15"/>
              </w:rPr>
              <w:t>4. 评价证据：检查本课架构图/状态图/方程/轨迹/验证表是否完整，记录缺项；</w:t>
            </w:r>
          </w:p>
          <w:p>
            <w:pPr>
              <w:spacing w:before="0" w:after="0" w:line="240" w:lineRule="auto"/>
            </w:pPr>
            <w:r>
              <w:rPr>
                <w:rFonts w:ascii="宋体" w:hAnsi="宋体" w:eastAsia="宋体"/>
                <w:b w:val="0"/>
                <w:sz w:val="15"/>
              </w:rPr>
              <w:t>5. 后续改进：依据真实课堂证据确定下一轮调整。</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反思必须依据真实课堂证据，课前只提供填写框架。</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本章节</w:t>
            </w:r>
          </w:p>
          <w:p>
            <w:pPr>
              <w:spacing w:before="0" w:after="0" w:line="240" w:lineRule="auto"/>
              <w:jc w:val="center"/>
            </w:pPr>
            <w:r>
              <w:rPr>
                <w:rFonts w:ascii="宋体" w:hAnsi="宋体" w:eastAsia="宋体"/>
                <w:b/>
                <w:sz w:val="18"/>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val="0"/>
                <w:sz w:val="15"/>
              </w:rPr>
              <w:t>[1] 张利国, 詹璟原, 邓恒, 石睿. 信息物理系统原理与设计[M]. 北京：机械工业出版社，2025. ISBN 9787111776550</w:t>
            </w:r>
          </w:p>
          <w:p>
            <w:pPr>
              <w:spacing w:before="0" w:after="0" w:line="240" w:lineRule="auto"/>
            </w:pPr>
            <w:r>
              <w:rPr>
                <w:rFonts w:ascii="宋体" w:hAnsi="宋体" w:eastAsia="宋体"/>
                <w:b w:val="0"/>
                <w:sz w:val="15"/>
              </w:rPr>
              <w:t>[2] 任志贵, 张明德. 数字孪生技术[M]. 北京：机械工业出版社，2025. ISBN 9787111770077</w:t>
            </w:r>
          </w:p>
          <w:p>
            <w:pPr>
              <w:spacing w:before="0" w:after="0" w:line="240" w:lineRule="auto"/>
            </w:pPr>
            <w:r>
              <w:rPr>
                <w:rFonts w:ascii="宋体" w:hAnsi="宋体" w:eastAsia="宋体"/>
                <w:b w:val="0"/>
                <w:sz w:val="15"/>
              </w:rPr>
              <w:t>[3] 李双寿, 高君. 数字孪生在智能制造中的工程实践[M]. 北京：机械工业出版社，2024. ISBN 9787111758341</w:t>
            </w:r>
          </w:p>
          <w:p>
            <w:pPr>
              <w:spacing w:before="0" w:after="0" w:line="240" w:lineRule="auto"/>
            </w:pPr>
            <w:r>
              <w:rPr>
                <w:rFonts w:ascii="宋体" w:hAnsi="宋体" w:eastAsia="宋体"/>
                <w:b w:val="0"/>
                <w:sz w:val="15"/>
              </w:rPr>
              <w:t>[4] 黄源, 张婧慧, 唐京瑞. 工业互联网导论[M]. 北京：机械工业出版社，2024. ISBN 9787111748069</w:t>
            </w:r>
          </w:p>
        </w:tc>
      </w:tr>
    </w:tbl>
    <w:sectPr>
      <w:pgSz w:w="11906" w:h="16838"/>
      <w:pgMar w:top="1088" w:right="1134" w:bottom="130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
        <w:separator/>
      </w:r>
    </w:p>
  </w:endnote>
  <w:endnote w:type="continuationSeparator" w:id="0">
    <w:p w14:paraId="2AEF66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
        <w:separator/>
      </w:r>
    </w:p>
  </w:footnote>
  <w:footnote w:type="continuationSeparator" w:id="0">
    <w:p w14:paraId="15203F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2023-10-13T00:08:00Z</dcterms:created>
  <dcterms:modified xsi:type="dcterms:W3CDTF">2026-03-08T05:24:00Z</dcterms:modified>
  <dc:title>信息物理系统（CPS）教案</dc:title>
</cp:coreProperties>
</file>