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FreightProof should do in iteration 4</w:t>
      </w:r>
    </w:p>
    <w:p>
      <w:pPr>
        <w:pStyle w:val="Subtitle"/>
      </w:pPr>
      <w:r>
        <w:t>Plain language guide for the team   22 September 2026</w:t>
      </w:r>
    </w:p>
    <w:p>
      <w:pPr>
        <w:pStyle w:val="Heading1"/>
      </w:pPr>
      <w:r>
        <w:t>What iteration 4 should achieve</w:t>
      </w:r>
    </w:p>
    <w:p>
      <w:pPr/>
      <w:r>
        <w:t>Iteration 4 is the final planned development period before submission. FreightProof already has a working base for recording cargo journeys. The next step should be to make one useful evidence workflow reliable and easy to demonstrate.</w:t>
      </w:r>
    </w:p>
    <w:p>
      <w:pPr/>
      <w:r>
        <w:t>The proposed goal is simple: after a delivery problem, an authorised person can understand what was recorded, find the supporting evidence, see what is missing and check the records that have external fingerprints.</w:t>
      </w:r>
    </w:p>
    <w:p>
      <w:pPr>
        <w:pStyle w:val="Heading2"/>
      </w:pPr>
      <w:r>
        <w:t>A short explanation of the people involved</w:t>
      </w:r>
    </w:p>
    <w:p>
      <w:pPr/>
      <w:r>
        <w:rPr>
          <w:b/>
        </w:rPr>
        <w:t xml:space="preserve">Driver: </w:t>
      </w:r>
      <w:r>
        <w:t>The person transporting the goods and recording events on the trip.</w:t>
      </w:r>
    </w:p>
    <w:p>
      <w:pPr/>
      <w:r>
        <w:rPr>
          <w:b/>
        </w:rPr>
        <w:t xml:space="preserve">Dispatcher: </w:t>
      </w:r>
      <w:r>
        <w:t>The office user who monitors trips and reviews problems.</w:t>
      </w:r>
    </w:p>
    <w:p>
      <w:pPr/>
      <w:r>
        <w:rPr>
          <w:b/>
        </w:rPr>
        <w:t xml:space="preserve">Receiver: </w:t>
      </w:r>
      <w:r>
        <w:t>The person accepting the delivery. Accepting a sealed delivery does not necessarily mean checking everything inside.</w:t>
      </w:r>
    </w:p>
    <w:p>
      <w:pPr/>
      <w:r>
        <w:rPr>
          <w:b/>
        </w:rPr>
        <w:t xml:space="preserve">Evidence user: </w:t>
      </w:r>
      <w:r>
        <w:t>Someone investigating the problem, such as an operator, insurer or loss assessor.</w:t>
      </w:r>
    </w:p>
    <w:p>
      <w:pPr>
        <w:pStyle w:val="Heading2"/>
      </w:pPr>
      <w:r>
        <w:t>What we recommend changing</w:t>
      </w:r>
    </w:p>
    <w:p>
      <w:pPr/>
      <w:r>
        <w:rPr>
          <w:b/>
        </w:rPr>
        <w:t xml:space="preserve">Recommendation from the research: </w:t>
      </w:r>
      <w:r>
        <w:t>Give priority to reliable evidence capture, clear handover statements, preserving files and preparing a useful evidence package. The legal, cargo insurance, digital-forensics and retail interviews support this direction.</w:t>
      </w:r>
    </w:p>
    <w:p>
      <w:pPr/>
      <w:r>
        <w:t>The separate Research Recommendations guide explains the reasoning and blockchain concepts. This guide explains the proposed work order and the decisions the team needs to make.</w:t>
      </w:r>
    </w:p>
    <w:p>
      <w:pPr>
        <w:pStyle w:val="Heading2"/>
      </w:pPr>
      <w:r>
        <w:t>What has and has not been decided</w:t>
      </w:r>
    </w:p>
    <w:p>
      <w:pPr/>
      <w:r>
        <w:t>These are planning recommendations, not a promise that every feature will be delivered. The team still needs to check what is already complete, choose a small scope and estimate the remaining work. Earlier estimates and implementation descriptions in the September 18 draft may need updating.</w:t>
      </w:r>
    </w:p>
    <w:p>
      <w:pPr/>
      <w:r>
        <w:t>The Markdown plan and research note remain the detailed technical reference. This Word document explains the proposed direction in everyday language; it is not a replacement ticket list.</w:t>
      </w:r>
    </w:p>
    <w:p>
      <w:r>
        <w:br w:type="page"/>
      </w:r>
    </w:p>
    <w:p>
      <w:pPr>
        <w:pStyle w:val="Heading1"/>
      </w:pPr>
      <w:r>
        <w:t>First make the evidence reliable</w:t>
      </w:r>
    </w:p>
    <w:p>
      <w:pPr>
        <w:pStyle w:val="Heading2"/>
      </w:pPr>
      <w:r>
        <w:t>Keep records safe and access controlled</w:t>
      </w:r>
    </w:p>
    <w:p>
      <w:pPr/>
      <w:r>
        <w:rPr>
          <w:b/>
        </w:rPr>
        <w:t xml:space="preserve">Recommendation from the research: </w:t>
      </w:r>
      <w:r>
        <w:t>Finish the reliability and security work before adding optional features. Evidence is less useful if it is lost, attributed to the wrong person or visible to the wrong customer. Support: legal, digital-forensics and retail interviews.</w:t>
      </w:r>
    </w:p>
    <w:p>
      <w:pPr>
        <w:pStyle w:val="ListBullet"/>
      </w:pPr>
      <w:r>
        <w:t>Keep evidence captured without a connection and send it when a connection returns. Do not silently discard a record because the app cannot submit it yet.</w:t>
      </w:r>
    </w:p>
    <w:p>
      <w:pPr>
        <w:pStyle w:val="ListBullet"/>
      </w:pPr>
      <w:r>
        <w:t>Ensure a driver cannot complete a step that requires a receiver’s acknowledgement by substituting the driver’s own signature.</w:t>
      </w:r>
    </w:p>
    <w:p>
      <w:pPr>
        <w:pStyle w:val="ListBullet"/>
      </w:pPr>
      <w:r>
        <w:t>Limit viewing and exports to the people allowed to see those records.</w:t>
      </w:r>
    </w:p>
    <w:p>
      <w:pPr>
        <w:pStyle w:val="ListBullet"/>
      </w:pPr>
      <w:r>
        <w:t>Finish required trip-setup checks, such as preventing conflicting vehicle assignments and impossible journey timings.</w:t>
      </w:r>
    </w:p>
    <w:p>
      <w:pPr>
        <w:pStyle w:val="Heading2"/>
      </w:pPr>
      <w:r>
        <w:t>Make handover statements precise</w:t>
      </w:r>
    </w:p>
    <w:p>
      <w:pPr/>
      <w:r>
        <w:rPr>
          <w:b/>
        </w:rPr>
        <w:t xml:space="preserve">Recommendation from the research: </w:t>
      </w:r>
      <w:r>
        <w:t>Record what each person actually checked. Support: systems provider, cargo insurance, retail and transport interviews.</w:t>
      </w:r>
    </w:p>
    <w:p>
      <w:pPr/>
      <w:r>
        <w:t>For example, the receiver might acknowledge “sealed delivery received; contents not inspected”. After opening it, a separate report could say “two cartons damaged”. Keep both records and link them. Do not change the earlier statement to make it appear that the later inspection happened at handover.</w:t>
      </w:r>
    </w:p>
    <w:p>
      <w:pPr/>
      <w:r>
        <w:t>Checking someone’s identity and recording what they acknowledge are different jobs. A one-time passcode can help check access to a phone; it does not tell us whether the goods were inspected or whether the person had authority to accept them.</w:t>
      </w:r>
    </w:p>
    <w:p>
      <w:pPr>
        <w:pStyle w:val="Heading2"/>
      </w:pPr>
      <w:r>
        <w:t>Keep this small</w:t>
      </w:r>
    </w:p>
    <w:p>
      <w:pPr/>
      <w:r>
        <w:t>Confirm the partner’s real receiving procedure before choosing the design. These recommendations do not automatically require new receiver accounts, facial recognition or a redesigned trip sequence. A later receiver-reporting feature needs its own permissions and estimate.</w:t>
      </w:r>
    </w:p>
    <w:p>
      <w:pPr/>
      <w:r>
        <w:t>In the technical plan, much of the reliability work is called Track A. A “track” is simply a group of related tasks.</w:t>
      </w:r>
    </w:p>
    <w:p>
      <w:r>
        <w:br w:type="page"/>
      </w:r>
    </w:p>
    <w:p>
      <w:pPr>
        <w:pStyle w:val="Heading1"/>
      </w:pPr>
      <w:r>
        <w:t>Then make one useful evidence package</w:t>
      </w:r>
    </w:p>
    <w:p>
      <w:pPr/>
      <w:r>
        <w:t>An evidence package is a readable report plus the supporting files and data the recipient is permitted to receive. The report explains the story; the files let the recipient examine the evidence.</w:t>
      </w:r>
    </w:p>
    <w:p>
      <w:pPr>
        <w:pStyle w:val="Heading2"/>
      </w:pPr>
      <w:r>
        <w:t>What it should contain</w:t>
      </w:r>
    </w:p>
    <w:p>
      <w:pPr>
        <w:pStyle w:val="ListBullet"/>
      </w:pPr>
      <w:r>
        <w:t>The trip and delivery involved, and a timeline of recorded events.</w:t>
      </w:r>
    </w:p>
    <w:p>
      <w:pPr>
        <w:pStyle w:val="ListBullet"/>
      </w:pPr>
      <w:r>
        <w:t>Who reported each event and what they actually observed or acknowledged.</w:t>
      </w:r>
    </w:p>
    <w:p>
      <w:pPr>
        <w:pStyle w:val="ListBullet"/>
      </w:pPr>
      <w:r>
        <w:t>Relevant photographs, incident reports, handover records and later inspection reports.</w:t>
      </w:r>
    </w:p>
    <w:p>
      <w:pPr>
        <w:pStyle w:val="ListBullet"/>
      </w:pPr>
      <w:r>
        <w:t>A clear list of missing material and outside evidence that has been requested.</w:t>
      </w:r>
    </w:p>
    <w:p>
      <w:pPr>
        <w:pStyle w:val="ListBullet"/>
      </w:pPr>
      <w:r>
        <w:t>Which records can be checked against external fingerprints, and which cannot.</w:t>
      </w:r>
    </w:p>
    <w:p>
      <w:pPr>
        <w:pStyle w:val="Heading2"/>
      </w:pPr>
      <w:r>
        <w:t>Preserve outside evidence before it disappears</w:t>
      </w:r>
    </w:p>
    <w:p>
      <w:pPr/>
      <w:r>
        <w:rPr>
          <w:b/>
        </w:rPr>
        <w:t xml:space="preserve">Recommendation from the research: </w:t>
      </w:r>
      <w:r>
        <w:t>Add a simple preservation note for evidence held elsewhere. Record who holds it, who requested it, when it was requested and any known deletion date. Support: legal, cargo insurance, retail and transport interviews.</w:t>
      </w:r>
    </w:p>
    <w:p>
      <w:pPr/>
      <w:r>
        <w:t>Example: “Depot camera footage requested on Tuesday; held by depot manager; expected deletion Friday; not yet received.” This helps explain an evidence gap. It does not mean FreightProof has obtained or saved that footage.</w:t>
      </w:r>
    </w:p>
    <w:p>
      <w:pPr>
        <w:pStyle w:val="Heading2"/>
      </w:pPr>
      <w:r>
        <w:t>Demonstrate two situations</w:t>
      </w:r>
    </w:p>
    <w:p>
      <w:pPr/>
      <w:r>
        <w:rPr>
          <w:b/>
        </w:rPr>
        <w:t xml:space="preserve">Existing plan retained: </w:t>
      </w:r>
      <w:r>
        <w:t>Show a crash during a trip, a driver’s incident report with photographs, dispatcher review and cancellation of the trip. The evidence must remain available even though the delivery never finishes.</w:t>
      </w:r>
    </w:p>
    <w:p>
      <w:pPr/>
      <w:r>
        <w:rPr>
          <w:b/>
        </w:rPr>
        <w:t xml:space="preserve">Recommendation from the research: </w:t>
      </w:r>
      <w:r>
        <w:t>Also show a sealed delivery accepted first and a problem discovered during a later inspection. Support: cargo insurance and retail interviews. If the reporting feature is not built, present this as a clearly labelled walkthrough, not a live capability.</w:t>
      </w:r>
    </w:p>
    <w:p>
      <w:pPr/>
      <w:r>
        <w:t>Start by using the records FreightProof already holds. A new database structure is only worth building if the chosen workflow needs it. Producing a report does not inherently require a new ledger, which simply means an organised event record.</w:t>
      </w:r>
    </w:p>
    <w:p>
      <w:r>
        <w:br w:type="page"/>
      </w:r>
    </w:p>
    <w:p>
      <w:pPr>
        <w:pStyle w:val="Heading1"/>
      </w:pPr>
      <w:r>
        <w:t>Give blockchain a specific job</w:t>
      </w:r>
    </w:p>
    <w:p>
      <w:pPr/>
      <w:r>
        <w:t>A hash is a digital fingerprint of a record or file. FreightProof records selected fingerprints on Hedera, an external network. Anchoring means making that external record. It can help detect changes to the recorded version; it cannot prove that the original statement was true.</w:t>
      </w:r>
    </w:p>
    <w:p>
      <w:pPr>
        <w:pStyle w:val="Heading2"/>
      </w:pPr>
      <w:r>
        <w:t>Three proposed pieces of work</w:t>
      </w:r>
    </w:p>
    <w:p>
      <w:pPr/>
      <w:r>
        <w:rPr>
          <w:b/>
        </w:rPr>
        <w:t xml:space="preserve">Portable check — P5a: </w:t>
      </w:r>
      <w:r>
        <w:t>Give an authorised recipient the files, recorded data and external receipt references, plus a small tool that checks them without access to FreightProof’s database. This checks whether the supplied files match the supplied receipts.</w:t>
      </w:r>
    </w:p>
    <w:p>
      <w:pPr/>
      <w:r>
        <w:rPr>
          <w:b/>
        </w:rPr>
        <w:t xml:space="preserve">Retained reference — P5b: </w:t>
      </w:r>
      <w:r>
        <w:t>Let an authorised party keep the expected receipt reference before a dispute. This lets a later check detect that a different record and matching new receipt have been substituted together. A basic portable check cannot do this alone.</w:t>
      </w:r>
    </w:p>
    <w:p>
      <w:pPr/>
      <w:r>
        <w:rPr>
          <w:b/>
        </w:rPr>
        <w:t xml:space="preserve">Cover the incident — P6: </w:t>
      </w:r>
      <w:r>
        <w:t>Record fingerprints for the agreed incident evidence, cancellation and handover records. An earlier trip or departure fingerprint does not automatically cover later events.</w:t>
      </w:r>
    </w:p>
    <w:p>
      <w:pPr/>
      <w:r>
        <w:t>All three are technical proposals informed by the research. The participants raised evidence problems; they did not specify or validate these particular software designs. Estimate these pieces separately.</w:t>
      </w:r>
    </w:p>
    <w:p>
      <w:pPr>
        <w:pStyle w:val="Heading2"/>
      </w:pPr>
      <w:r>
        <w:t>What must happen if a service fails</w:t>
      </w:r>
    </w:p>
    <w:p>
      <w:pPr/>
      <w:r>
        <w:t>Keep the evidence even if external recording fails. Show that recording is pending and retry safely. If a verification service cannot be reached, report “unable to check”, not “tampered”. Distinguish when an event reportedly happened, when FreightProof received it and when its fingerprint was recorded externally.</w:t>
      </w:r>
    </w:p>
    <w:p>
      <w:pPr>
        <w:pStyle w:val="Heading2"/>
      </w:pPr>
      <w:r>
        <w:t>What can wait</w:t>
      </w:r>
    </w:p>
    <w:p>
      <w:pPr/>
      <w:r>
        <w:t>The original plan includes Merkle batching, a way to combine several fingerprints into one external entry. Do not assume it covers every event. Prioritise the selected incident records first; add batching only if its benefit justifies the extra work.</w:t>
      </w:r>
    </w:p>
    <w:p>
      <w:pPr/>
      <w:r>
        <w:t>The longer Research Recommendations guide explains the receipt-substitution example. The practical rule is: checking a file against a receipt and knowing which receipt was originally expected are two separate requirements.</w:t>
      </w:r>
    </w:p>
    <w:p>
      <w:r>
        <w:br w:type="page"/>
      </w:r>
    </w:p>
    <w:p>
      <w:pPr>
        <w:pStyle w:val="Heading1"/>
      </w:pPr>
      <w:r>
        <w:t>Choose the scope and prove that it helps</w:t>
      </w:r>
    </w:p>
    <w:p>
      <w:pPr>
        <w:pStyle w:val="Heading2"/>
      </w:pPr>
      <w:r>
        <w:t>Keep the essential work</w:t>
      </w:r>
    </w:p>
    <w:p>
      <w:pPr/>
      <w:r>
        <w:t>Keep a basic view of multiple trips, necessary alerts and a small demonstration of movement along a route. Keep the ability to follow a parcel through its records. Retain required code cleanup where it makes the agreed changes safer. Reserve time for testing, the written submission and the final presentation.</w:t>
      </w:r>
    </w:p>
    <w:p>
      <w:pPr>
        <w:pStyle w:val="Heading2"/>
      </w:pPr>
      <w:r>
        <w:t>Reduce optional work first</w:t>
      </w:r>
    </w:p>
    <w:p>
      <w:pPr/>
      <w:r>
        <w:rPr>
          <w:b/>
        </w:rPr>
        <w:t xml:space="preserve">Planning judgement informed by the research: </w:t>
      </w:r>
      <w:r>
        <w:t>Defer optional map features and custom boundary shapes before cutting the evidence package. Keep route playback if the remaining effort is small and it helps the assessment. Only count a deferral as saved effort if that work was actually planned.</w:t>
      </w:r>
    </w:p>
    <w:p>
      <w:pPr/>
      <w:r>
        <w:t>Treat repeated-incident analysis as optional until its full effort is understood. Repeated problems may deserve investigation, but do not prove collusion. A driver with more trips naturally has more opportunities for incidents, so raw counts can mislead.</w:t>
      </w:r>
    </w:p>
    <w:p>
      <w:pPr>
        <w:pStyle w:val="Heading2"/>
      </w:pPr>
      <w:r>
        <w:t>Show that the workflow works</w:t>
      </w:r>
    </w:p>
    <w:p>
      <w:pPr>
        <w:pStyle w:val="ListBullet"/>
      </w:pPr>
      <w:r>
        <w:t>A completed or cancelled trip can produce a readable package, with missing evidence clearly identified.</w:t>
      </w:r>
    </w:p>
    <w:p>
      <w:pPr>
        <w:pStyle w:val="ListBullet"/>
      </w:pPr>
      <w:r>
        <w:t>The original files pass the agreed check; changing a covered file produces a mismatch; removing a required file is reported as incomplete.</w:t>
      </w:r>
    </w:p>
    <w:p>
      <w:pPr>
        <w:pStyle w:val="ListBullet"/>
      </w:pPr>
      <w:r>
        <w:t>A retained expected receipt detects a substituted receipt. Demonstrate this separately from the basic portable check.</w:t>
      </w:r>
    </w:p>
    <w:p>
      <w:pPr>
        <w:pStyle w:val="ListBullet"/>
      </w:pPr>
      <w:r>
        <w:t>Connection failures do not lose incident evidence or produce a false claim of tampering.</w:t>
      </w:r>
    </w:p>
    <w:p>
      <w:pPr>
        <w:pStyle w:val="ListBullet"/>
      </w:pPr>
      <w:r>
        <w:t>Only the right recipient can obtain the relevant records. A later inspection does not overwrite the earlier handover statement.</w:t>
      </w:r>
    </w:p>
    <w:p>
      <w:pPr>
        <w:pStyle w:val="Heading2"/>
      </w:pPr>
      <w:r>
        <w:t>Decide whether the result is useful</w:t>
      </w:r>
    </w:p>
    <w:p>
      <w:pPr/>
      <w:r>
        <w:rPr>
          <w:b/>
        </w:rPr>
        <w:t xml:space="preserve">Recommendation from the research: </w:t>
      </w:r>
      <w:r>
        <w:t>Compare the package with an operator’s existing process. Measure preparation time, missing records, follow-up requests and capture effort. Then ask whether the external fingerprint check adds value of its own. Support: operator, systems provider and retail logistics interviews.</w:t>
      </w:r>
    </w:p>
    <w:p>
      <w:pPr/>
      <w:r>
        <w:t>At the next team discussion, choose the demonstration, agree what each handover statement means, select which records need external fingerprints, assign owners and estimate the work. Keep claims in the presentation limited to what has actually been built and shown.</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FreightProof 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59" w:lineRule="auto"/>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59" w:lineRule="auto"/>
      <w:contextualSpacing/>
    </w:pPr>
    <w:rPr>
      <w:rFonts w:ascii="Calibri" w:hAnsi="Calibr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FreightProof should do in iteration 4</dc:title>
  <dc:subject>Plain language explanation for team discussion</dc:subject>
  <dc:creator>FreightProof SA</dc:creator>
  <cp:keywords/>
  <dc:description>generated by python-docx</dc:description>
  <cp:lastModifiedBy/>
  <cp:revision>1</cp:revision>
  <dcterms:created xsi:type="dcterms:W3CDTF">2013-12-23T23:15:00Z</dcterms:created>
  <dcterms:modified xsi:type="dcterms:W3CDTF">2013-12-23T23:15:00Z</dcterms:modified>
  <cp:category/>
</cp:coreProperties>
</file>