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FieldSync</w:t>
      </w:r>
    </w:p>
    <w:p>
      <w:pPr>
        <w:spacing w:after="240"/>
        <w:jc w:val="center"/>
      </w:pPr>
      <w:r>
        <w:rPr>
          <w:b/>
          <w:bCs/>
          <w:color w:val="1F4E79"/>
          <w:sz w:val="28"/>
          <w:szCs w:val="28"/>
        </w:rPr>
        <w:t xml:space="preserve">Database Schema Design (ERD)</w:t>
      </w:r>
    </w:p>
    <w:p>
      <w:pPr>
        <w:jc w:val="center"/>
      </w:pPr>
      <w:r>
        <w:drawing>
          <wp:inline distT="0" distB="0" distL="0" distR="0">
            <wp:extent cx="3619500" cy="702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fa3983bdbd4ca6054adee6dd6b7518b9d1487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2026-05-11T18:31:07.070Z</dcterms:created>
  <dcterms:modified xsi:type="dcterms:W3CDTF">2026-05-11T18:31:07.085Z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