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88591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885913" w:rsidRDefault="0088591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885913" w:rsidRDefault="00885913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885913" w:rsidRDefault="00885913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885913" w:rsidRDefault="00885913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85913" w:rsidRDefault="0088591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885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9" o:title=""/>
          </v:shape>
          <o:OLEObject Type="Embed" ProgID="Visio.Drawing.15" ShapeID="_x0000_i1025" DrawAspect="Content" ObjectID="_1486973344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BE2429" w:rsidP="00E81935">
      <w:r>
        <w:object w:dxaOrig="9336" w:dyaOrig="6276">
          <v:shape id="_x0000_i1026" type="#_x0000_t75" style="width:466.5pt;height:313.5pt" o:ole="">
            <v:imagedata r:id="rId11" o:title=""/>
          </v:shape>
          <o:OLEObject Type="Embed" ProgID="Visio.Drawing.15" ShapeID="_x0000_i1026" DrawAspect="Content" ObjectID="_1486973345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E81935" w:rsidP="00E81935">
      <w:r>
        <w:object w:dxaOrig="11052" w:dyaOrig="11100">
          <v:shape id="_x0000_i1027" type="#_x0000_t75" style="width:467.25pt;height:469.5pt" o:ole="">
            <v:imagedata r:id="rId13" o:title=""/>
          </v:shape>
          <o:OLEObject Type="Embed" ProgID="Visio.Drawing.15" ShapeID="_x0000_i1027" DrawAspect="Content" ObjectID="_1486973346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0E3A59" w:rsidP="00423F85">
      <w:r>
        <w:object w:dxaOrig="8352" w:dyaOrig="6972">
          <v:shape id="_x0000_i1028" type="#_x0000_t75" style="width:417.75pt;height:348.75pt" o:ole="">
            <v:imagedata r:id="rId15" o:title=""/>
          </v:shape>
          <o:OLEObject Type="Embed" ProgID="Visio.Drawing.15" ShapeID="_x0000_i1028" DrawAspect="Content" ObjectID="_1486973347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9" type="#_x0000_t75" style="width:302.25pt;height:321.75pt" o:ole="">
            <v:imagedata r:id="rId17" o:title=""/>
          </v:shape>
          <o:OLEObject Type="Embed" ProgID="Visio.Drawing.15" ShapeID="_x0000_i1029" DrawAspect="Content" ObjectID="_1486973348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proofErr w:type="spellStart"/>
      <w:r>
        <w:lastRenderedPageBreak/>
        <w:t>Pseudocode</w:t>
      </w:r>
      <w:bookmarkEnd w:id="17"/>
      <w:proofErr w:type="spellEnd"/>
    </w:p>
    <w:p w:rsidR="00CD7F35" w:rsidRDefault="00CD7F35" w:rsidP="00CD7F35"/>
    <w:p w:rsidR="00CD7F35" w:rsidRDefault="0054211F" w:rsidP="00CD7F35">
      <w:pPr>
        <w:pStyle w:val="Heading2"/>
      </w:pPr>
      <w:bookmarkStart w:id="18" w:name="_Toc413174774"/>
      <w:r>
        <w:rPr>
          <w:noProof/>
        </w:rPr>
        <w:pict>
          <v:shape id="_x0000_s1046" type="#_x0000_t202" style="position:absolute;margin-left:1.65pt;margin-top:19.35pt;width:464.85pt;height:582.75pt;z-index:251665408" fillcolor="white [3201]" strokecolor="#4c4c72 [3207]" strokeweight="2.5pt">
            <v:shadow color="#868686"/>
            <v:textbox style="mso-next-textbox:#_x0000_s1046">
              <w:txbxContent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Set up GUI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 // details to come later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create Accept thread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Start multicasting on random until server shuts down</w:t>
                  </w:r>
                </w:p>
                <w:p w:rsidR="006A6AF5" w:rsidRPr="00020F9B" w:rsidRDefault="006A6AF5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54211F" w:rsidRPr="00020F9B" w:rsidRDefault="0054211F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Accept Thread function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sessionMap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Create a socket and Listen on SERVER TCP LISTEN PORT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arrives, validate 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valid, create new Session to handle connection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211F" w:rsidRPr="00020F9B" w:rsidRDefault="0054211F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allocate new session structure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control socket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threads in suspend state: control, mic send, mic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rcv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, send file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sendFile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 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store client network info in session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access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sessionMap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session to map of sessions 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release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sessionMap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threads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211F" w:rsidRPr="00020F9B" w:rsidRDefault="0054211F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as call-back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alertable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state and wait for control socket to receive</w:t>
                  </w:r>
                </w:p>
                <w:p w:rsidR="0054211F" w:rsidRPr="00020F9B" w:rsidRDefault="0054211F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211F" w:rsidRPr="00020F9B" w:rsidRDefault="0054211F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socket used for transfer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file transfer requested, 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set filename in session object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sendFile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close start cleanup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send error message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else do TCP Receive call with callback to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71F9D" w:rsidRPr="00020F9B" w:rsidRDefault="00B71F9D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A6AF5" w:rsidRPr="00020F9B" w:rsidRDefault="006A6AF5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CD7F35">
        <w:t>Server</w:t>
      </w:r>
      <w:bookmarkEnd w:id="18"/>
    </w:p>
    <w:p w:rsidR="00283284" w:rsidRDefault="00613A40" w:rsidP="00283284">
      <w:r>
        <w:rPr>
          <w:noProof/>
        </w:rPr>
        <w:lastRenderedPageBreak/>
        <w:pict>
          <v:shape id="_x0000_s1049" type="#_x0000_t202" style="position:absolute;margin-left:1.65pt;margin-top:1.6pt;width:464.85pt;height:466.4pt;z-index:251668480" fillcolor="white [3201]" strokecolor="#4c4c72 [3207]" strokeweight="2.5pt">
            <v:shadow color="#868686"/>
            <v:textbox style="mso-next-textbox:#_x0000_s1049">
              <w:txbxContent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socket used for transfer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file transfer requested, 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set filename in session object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</w:t>
                  </w:r>
                  <w:proofErr w:type="spellStart"/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>sendFile</w:t>
                  </w:r>
                  <w:proofErr w:type="spellEnd"/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close start cleanup</w:t>
                  </w: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send error message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334A4F" w:rsidRP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else do TCP Receive call with callback to </w:t>
                  </w:r>
                  <w:proofErr w:type="spellStart"/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</w:p>
                <w:p w:rsidR="00334A4F" w:rsidRDefault="00334A4F" w:rsidP="0025148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34A4F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613A40" w:rsidRDefault="00613A40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Send Thread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structure from parameter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enter forever loop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</w:t>
                  </w:r>
                  <w:proofErr w:type="spellStart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sendFile</w:t>
                  </w:r>
                  <w:proofErr w:type="spellEnd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 session sending flag to true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create socket to send on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open file, load contents into memory 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connect socket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post first send with callback to </w:t>
                  </w:r>
                  <w:proofErr w:type="spellStart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sendRoutine</w:t>
                  </w:r>
                  <w:proofErr w:type="spellEnd"/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forever loop 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enter </w:t>
                  </w:r>
                  <w:proofErr w:type="spellStart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alertable</w:t>
                  </w:r>
                  <w:proofErr w:type="spellEnd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state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if session sending flag is false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close socket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signal </w:t>
                  </w:r>
                  <w:proofErr w:type="spellStart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sendFile</w:t>
                  </w:r>
                  <w:proofErr w:type="spellEnd"/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613A40" w:rsidRPr="003A05D5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Break</w:t>
                  </w:r>
                </w:p>
                <w:p w:rsidR="00613A40" w:rsidRPr="00D20CCF" w:rsidRDefault="00613A40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613A40" w:rsidRDefault="00613A40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Send Routine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adjust pointers so next chunk of file is sent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whole file is sent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set session sending flag to false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return</w:t>
                  </w:r>
                </w:p>
                <w:p w:rsidR="00613A40" w:rsidRPr="00613A40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send call with this function as callback</w:t>
                  </w:r>
                </w:p>
                <w:p w:rsidR="00334A4F" w:rsidRPr="00D103BD" w:rsidRDefault="00613A40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283284" w:rsidRDefault="00283284" w:rsidP="00283284"/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8F2F7B" w:rsidRPr="00BB3400" w:rsidRDefault="008F2F7B" w:rsidP="00E16939">
      <w:pPr>
        <w:pStyle w:val="NoSpacing"/>
        <w:rPr>
          <w:rFonts w:ascii="BatangChe" w:eastAsia="BatangChe" w:hAnsi="BatangChe"/>
        </w:rPr>
      </w:pPr>
    </w:p>
    <w:p w:rsidR="00CD7F35" w:rsidRDefault="00CD7F35" w:rsidP="00CD7F35"/>
    <w:p w:rsidR="00D103BD" w:rsidRDefault="00D103BD" w:rsidP="00CD7F35">
      <w:pPr>
        <w:pStyle w:val="Heading2"/>
      </w:pPr>
      <w:bookmarkStart w:id="19" w:name="_Toc413174775"/>
      <w:r>
        <w:rPr>
          <w:noProof/>
        </w:rPr>
        <w:lastRenderedPageBreak/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P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613A40" w:rsidRDefault="00D103BD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103BD" w:rsidRDefault="00D103BD" w:rsidP="00CD7F35">
      <w:pPr>
        <w:pStyle w:val="Heading2"/>
      </w:pPr>
      <w:r>
        <w:rPr>
          <w:noProof/>
        </w:rPr>
        <w:pict>
          <v:shape id="_x0000_s1052" type="#_x0000_t202" style="position:absolute;margin-left:1.65pt;margin-top:-476.15pt;width:464.85pt;height:456.75pt;z-index:251670528" fillcolor="white [3201]" strokecolor="#4c4c72 [3207]" strokeweight="2.5pt">
            <v:shadow color="#868686"/>
            <v:textbox style="mso-next-textbox:#_x0000_s1052">
              <w:txbxContent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D103BD" w:rsidRPr="00613A40" w:rsidRDefault="00D103BD" w:rsidP="002514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P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D103BD" w:rsidRDefault="00D103BD" w:rsidP="0025148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103BD" w:rsidRDefault="00D103BD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D103BD" w:rsidRPr="00D103BD" w:rsidRDefault="00D103BD" w:rsidP="0025148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DB539A" w:rsidRDefault="00DB539A" w:rsidP="00CD7F35">
      <w:pPr>
        <w:pStyle w:val="Heading2"/>
      </w:pPr>
    </w:p>
    <w:p w:rsidR="00CD7F35" w:rsidRDefault="008026E5" w:rsidP="00DB539A">
      <w:pPr>
        <w:pStyle w:val="Heading2"/>
      </w:pPr>
      <w:r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B539A" w:rsidRPr="00020F9B" w:rsidRDefault="00DB539A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Join Multicast function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membership to multicast session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recieving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 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playing function 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 is dead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B539A" w:rsidRPr="00020F9B" w:rsidRDefault="00DB539A" w:rsidP="008026E5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following functions require these initial conditions: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binary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mRecv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binary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mPlay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</w:t>
                  </w:r>
                </w:p>
                <w:p w:rsidR="00DB539A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mBuffer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size of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multicastBuffer</w:t>
                  </w:r>
                  <w:proofErr w:type="spellEnd"/>
                </w:p>
                <w:p w:rsidR="008026E5" w:rsidRPr="00020F9B" w:rsidRDefault="00DB539A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*/</w:t>
                  </w:r>
                  <w:r w:rsidR="008026E5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Multicast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Recv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listening socket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song data 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mBuffer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mRecv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place data into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multicastBuffer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mRecv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mPlay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library information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songs list and GUI elements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client information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list of clients and update GUI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now playing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now playing GUI 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19"/>
    </w:p>
    <w:p w:rsidR="008F2F7B" w:rsidRPr="008F2F7B" w:rsidRDefault="008026E5" w:rsidP="008F2F7B">
      <w:pPr>
        <w:pStyle w:val="NoSpacing"/>
        <w:rPr>
          <w:rFonts w:ascii="BatangChe" w:eastAsia="BatangChe" w:hAnsi="BatangChe"/>
        </w:rPr>
      </w:pPr>
      <w:r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 Play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mPlay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mRecv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multicastBuffer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mRecv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mBuffer</w:t>
                  </w:r>
                  <w:proofErr w:type="spellEnd"/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8026E5" w:rsidRPr="00020F9B" w:rsidRDefault="008026E5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display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songlist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8026E5" w:rsidRPr="00020F9B" w:rsidRDefault="008026E5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st with the message data set to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8026E5" w:rsidRPr="00020F9B" w:rsidRDefault="008026E5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6C2C81" w:rsidRPr="00020F9B" w:rsidRDefault="006C2C81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6C2C81" w:rsidRPr="00020F9B" w:rsidRDefault="006C2C81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6C2C81" w:rsidRPr="00020F9B" w:rsidRDefault="006C2C81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8F2F7B" w:rsidRPr="008F2F7B" w:rsidRDefault="009F7ED4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53.25pt;z-index:251673600" fillcolor="white [3201]" strokecolor="#4c4c72 [3207]" strokeweight="2.5pt">
            <v:shadow color="#868686"/>
            <v:textbox style="mso-next-textbox:#_x0000_s1058">
              <w:txbxContent>
                <w:p w:rsidR="009F7ED4" w:rsidRP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9F7ED4" w:rsidRP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F7ED4" w:rsidRP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9F7ED4" w:rsidRPr="009F7ED4" w:rsidRDefault="009F7ED4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9F7ED4" w:rsidRP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9F7ED4" w:rsidRP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9F7ED4" w:rsidRDefault="009F7ED4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3499B" w:rsidRDefault="0003499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03499B" w:rsidRDefault="0003499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03499B" w:rsidRDefault="0003499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Should be started as a thread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Start Voice Chat function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sending thread   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recieving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 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recording thread 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sound playing function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threads are dead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03499B" w:rsidRPr="0003499B" w:rsidRDefault="0003499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DE3417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The following functions require these initial conditions: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size of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size of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*/</w:t>
                  </w:r>
                </w:p>
                <w:p w:rsidR="00DE3417" w:rsidRDefault="00DE3417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All the following functions would be in a separate thread</w:t>
                  </w:r>
                </w:p>
                <w:p w:rsidR="00DE3417" w:rsidRDefault="00DE3417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</w:t>
                  </w:r>
                  <w:bookmarkStart w:id="20" w:name="_GoBack"/>
                  <w:bookmarkEnd w:id="20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oice Record function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microphone    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record data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DE3417" w:rsidRDefault="00DE3417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E3417" w:rsidRDefault="00DE3417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Send function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sending socket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send data on socket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DE3417" w:rsidRPr="0003499B" w:rsidRDefault="00DE3417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DE3417" w:rsidP="00E81AB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Voice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Recv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listening socket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DE3417" w:rsidRDefault="00DE3417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DE3417" w:rsidRDefault="00DE3417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DE3417" w:rsidRPr="00DE3417" w:rsidRDefault="00DE3417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48D" w:rsidRDefault="0025148D" w:rsidP="00770CDF">
      <w:pPr>
        <w:spacing w:after="0" w:line="240" w:lineRule="auto"/>
      </w:pPr>
      <w:r>
        <w:separator/>
      </w:r>
    </w:p>
  </w:endnote>
  <w:endnote w:type="continuationSeparator" w:id="0">
    <w:p w:rsidR="0025148D" w:rsidRDefault="0025148D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5913" w:rsidRDefault="008859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9D7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5913" w:rsidRDefault="008859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48D" w:rsidRDefault="0025148D" w:rsidP="00770CDF">
      <w:pPr>
        <w:spacing w:after="0" w:line="240" w:lineRule="auto"/>
      </w:pPr>
      <w:r>
        <w:separator/>
      </w:r>
    </w:p>
  </w:footnote>
  <w:footnote w:type="continuationSeparator" w:id="0">
    <w:p w:rsidR="0025148D" w:rsidRDefault="0025148D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9"/>
  </w:num>
  <w:num w:numId="2">
    <w:abstractNumId w:val="32"/>
  </w:num>
  <w:num w:numId="3">
    <w:abstractNumId w:val="7"/>
  </w:num>
  <w:num w:numId="4">
    <w:abstractNumId w:val="12"/>
  </w:num>
  <w:num w:numId="5">
    <w:abstractNumId w:val="4"/>
  </w:num>
  <w:num w:numId="6">
    <w:abstractNumId w:val="21"/>
  </w:num>
  <w:num w:numId="7">
    <w:abstractNumId w:val="8"/>
  </w:num>
  <w:num w:numId="8">
    <w:abstractNumId w:val="29"/>
  </w:num>
  <w:num w:numId="9">
    <w:abstractNumId w:val="5"/>
  </w:num>
  <w:num w:numId="10">
    <w:abstractNumId w:val="28"/>
  </w:num>
  <w:num w:numId="11">
    <w:abstractNumId w:val="25"/>
  </w:num>
  <w:num w:numId="12">
    <w:abstractNumId w:val="3"/>
  </w:num>
  <w:num w:numId="13">
    <w:abstractNumId w:val="36"/>
  </w:num>
  <w:num w:numId="14">
    <w:abstractNumId w:val="40"/>
  </w:num>
  <w:num w:numId="15">
    <w:abstractNumId w:val="20"/>
  </w:num>
  <w:num w:numId="16">
    <w:abstractNumId w:val="18"/>
  </w:num>
  <w:num w:numId="17">
    <w:abstractNumId w:val="10"/>
  </w:num>
  <w:num w:numId="18">
    <w:abstractNumId w:val="1"/>
  </w:num>
  <w:num w:numId="19">
    <w:abstractNumId w:val="9"/>
  </w:num>
  <w:num w:numId="20">
    <w:abstractNumId w:val="19"/>
  </w:num>
  <w:num w:numId="21">
    <w:abstractNumId w:val="35"/>
  </w:num>
  <w:num w:numId="22">
    <w:abstractNumId w:val="31"/>
  </w:num>
  <w:num w:numId="23">
    <w:abstractNumId w:val="16"/>
  </w:num>
  <w:num w:numId="24">
    <w:abstractNumId w:val="13"/>
  </w:num>
  <w:num w:numId="25">
    <w:abstractNumId w:val="27"/>
  </w:num>
  <w:num w:numId="26">
    <w:abstractNumId w:val="24"/>
  </w:num>
  <w:num w:numId="27">
    <w:abstractNumId w:val="11"/>
  </w:num>
  <w:num w:numId="28">
    <w:abstractNumId w:val="15"/>
  </w:num>
  <w:num w:numId="29">
    <w:abstractNumId w:val="38"/>
  </w:num>
  <w:num w:numId="30">
    <w:abstractNumId w:val="33"/>
  </w:num>
  <w:num w:numId="31">
    <w:abstractNumId w:val="34"/>
  </w:num>
  <w:num w:numId="32">
    <w:abstractNumId w:val="41"/>
  </w:num>
  <w:num w:numId="33">
    <w:abstractNumId w:val="14"/>
  </w:num>
  <w:num w:numId="34">
    <w:abstractNumId w:val="23"/>
  </w:num>
  <w:num w:numId="35">
    <w:abstractNumId w:val="37"/>
  </w:num>
  <w:num w:numId="36">
    <w:abstractNumId w:val="17"/>
  </w:num>
  <w:num w:numId="37">
    <w:abstractNumId w:val="30"/>
  </w:num>
  <w:num w:numId="38">
    <w:abstractNumId w:val="26"/>
  </w:num>
  <w:num w:numId="39">
    <w:abstractNumId w:val="2"/>
  </w:num>
  <w:num w:numId="40">
    <w:abstractNumId w:val="22"/>
  </w:num>
  <w:num w:numId="41">
    <w:abstractNumId w:val="0"/>
  </w:num>
  <w:num w:numId="42">
    <w:abstractNumId w:val="6"/>
  </w:num>
  <w:num w:numId="43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4211F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5C0B7-D76D-438E-97C6-5D429143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Julian</cp:lastModifiedBy>
  <cp:revision>286</cp:revision>
  <cp:lastPrinted>2015-02-08T04:56:00Z</cp:lastPrinted>
  <dcterms:created xsi:type="dcterms:W3CDTF">2015-01-08T22:26:00Z</dcterms:created>
  <dcterms:modified xsi:type="dcterms:W3CDTF">2015-03-04T19:21:00Z</dcterms:modified>
</cp:coreProperties>
</file>