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r/>
        <w:br/>
        <w:br/>
        <w:br/>
      </w:r>
    </w:p>
    <w:p>
      <w:pPr>
        <w:pStyle w:val="Normal"/>
        <w:jc w:val="center"/>
        <w:rPr/>
      </w:pPr>
      <w:r>
        <w:rPr>
          <w:b/>
          <w:sz w:val="56"/>
        </w:rPr>
        <w:t>Tuning Pack Requirements Specification</w:t>
      </w:r>
    </w:p>
    <w:p>
      <w:pPr>
        <w:pStyle w:val="Normal"/>
        <w:jc w:val="center"/>
        <w:rPr/>
      </w:pPr>
      <w:r>
        <w:rPr>
          <w:sz w:val="36"/>
        </w:rPr>
        <w:t>for</w:t>
        <w:br/>
        <w:br/>
      </w:r>
      <w:r>
        <w:rPr>
          <w:b/>
          <w:bCs/>
          <w:sz w:val="80"/>
          <w:szCs w:val="80"/>
        </w:rPr>
        <w:t>COH2:</w:t>
      </w:r>
      <w:r>
        <w:rPr>
          <w:b/>
          <w:bCs/>
          <w:sz w:val="80"/>
          <w:szCs w:val="80"/>
        </w:rPr>
        <w:t xml:space="preserve"> DEFIANCE</w:t>
      </w:r>
    </w:p>
    <w:p>
      <w:pPr>
        <w:pStyle w:val="Normal"/>
        <w:rPr/>
      </w:pPr>
      <w:r>
        <w:rPr/>
        <w:br/>
        <w:br/>
        <w:br/>
      </w:r>
    </w:p>
    <w:p>
      <w:pPr>
        <w:pStyle w:val="Normal"/>
        <w:jc w:val="center"/>
        <w:rPr/>
      </w:pPr>
      <w:r>
        <w:rPr/>
        <w:t>Version 1.0 Approved</w:t>
        <w:br/>
        <w:t>Prepared by: “Ribs”</w:t>
        <w:br/>
        <w:t>Team Defiance</w:t>
        <w:br/>
        <w:t>Date: August 8</w:t>
      </w:r>
      <w:r>
        <w:rPr>
          <w:vertAlign w:val="superscript"/>
        </w:rPr>
        <w:t>th</w:t>
      </w:r>
      <w:r>
        <w:rPr/>
        <w:t>, 2025</w:t>
      </w:r>
    </w:p>
    <w:p>
      <w:pPr>
        <w:pStyle w:val="Normal"/>
        <w:rPr/>
      </w:pPr>
      <w:r>
        <w:rPr/>
      </w:r>
      <w:r>
        <w:br w:type="page"/>
      </w:r>
    </w:p>
    <w:p>
      <w:pPr>
        <w:pStyle w:val="Heading1"/>
        <w:spacing w:before="0" w:after="0"/>
        <w:rPr/>
      </w:pPr>
      <w:r>
        <w:rPr/>
        <w:t>1. Introduction</w:t>
      </w:r>
    </w:p>
    <w:p>
      <w:pPr>
        <w:pStyle w:val="Heading2"/>
        <w:rPr/>
      </w:pPr>
      <w:r>
        <w:rPr/>
        <w:t>1.1 Purpose</w:t>
      </w:r>
    </w:p>
    <w:p>
      <w:pPr>
        <w:pStyle w:val="BodyText"/>
        <w:spacing w:before="0" w:after="200"/>
        <w:rPr/>
      </w:pPr>
      <w:r>
        <w:rPr/>
        <w:t>CoH2: Defiance is a squad-based real-time strategy modification for Company of Heroes 2, designed to offer a fresh but familiar battlefield experience. It preserves the core identity of CoH2 while reworking its balance, abilities, and gameplay flow to address the shortcomings of the base game.</w:t>
      </w:r>
    </w:p>
    <w:p>
      <w:pPr>
        <w:pStyle w:val="BodyText"/>
        <w:spacing w:before="0" w:after="200"/>
        <w:rPr/>
      </w:pPr>
      <w:r>
        <w:rPr/>
        <w:t>The purpose of this document is to provide a high-level overview of the project in a structured format, defining its scope, goals, design rules, and non-functional requirements. This ensures consistency in both development and presentation, while serving as a reference point for the team and the wider community.</w:t>
      </w:r>
    </w:p>
    <w:p>
      <w:pPr>
        <w:pStyle w:val="Heading2"/>
        <w:rPr/>
      </w:pPr>
      <w:r>
        <w:rPr/>
        <w:t>1.2 Scope</w:t>
      </w:r>
    </w:p>
    <w:p>
      <w:pPr>
        <w:pStyle w:val="BodyText"/>
        <w:spacing w:before="0" w:after="200"/>
        <w:rPr/>
      </w:pPr>
      <w:r>
        <w:rPr/>
        <w:t>CoH2: Defiance is set in an alternate 1946–47 timeline, a narrative framework that justifies certain late-war prototypes and fictional designs appearing alongside historical equipment. The setting exists to serve gameplay rather than to tell a historical story.</w:t>
      </w:r>
    </w:p>
    <w:p>
      <w:pPr>
        <w:pStyle w:val="BodyText"/>
        <w:numPr>
          <w:ilvl w:val="0"/>
          <w:numId w:val="7"/>
        </w:numPr>
        <w:tabs>
          <w:tab w:val="clear" w:pos="720"/>
          <w:tab w:val="left" w:pos="0" w:leader="none"/>
        </w:tabs>
        <w:spacing w:before="0" w:after="0"/>
        <w:ind w:hanging="283" w:left="709"/>
        <w:rPr/>
      </w:pPr>
      <w:r>
        <w:rPr/>
        <w:t xml:space="preserve">Core gameplay remains grounded in CoH2's squad-based RTS mechanics. </w:t>
      </w:r>
    </w:p>
    <w:p>
      <w:pPr>
        <w:pStyle w:val="BodyText"/>
        <w:numPr>
          <w:ilvl w:val="0"/>
          <w:numId w:val="7"/>
        </w:numPr>
        <w:tabs>
          <w:tab w:val="clear" w:pos="720"/>
          <w:tab w:val="left" w:pos="0" w:leader="none"/>
        </w:tabs>
        <w:spacing w:before="0" w:after="0"/>
        <w:ind w:hanging="283" w:left="709"/>
        <w:rPr/>
      </w:pPr>
      <w:r>
        <w:rPr/>
        <w:t xml:space="preserve">Continuity is emphasized: players familiar with CoH2 should transition into Defiance smoothly without relearning the entire game. </w:t>
      </w:r>
    </w:p>
    <w:p>
      <w:pPr>
        <w:pStyle w:val="BodyText"/>
        <w:numPr>
          <w:ilvl w:val="0"/>
          <w:numId w:val="7"/>
        </w:numPr>
        <w:tabs>
          <w:tab w:val="clear" w:pos="720"/>
          <w:tab w:val="left" w:pos="0" w:leader="none"/>
        </w:tabs>
        <w:spacing w:before="0" w:after="0"/>
        <w:ind w:hanging="283" w:left="709"/>
        <w:rPr/>
      </w:pPr>
      <w:r>
        <w:rPr/>
        <w:t xml:space="preserve">New content includes units, abilities, and upgrade systems designed for strategic depth and faction variety. </w:t>
      </w:r>
    </w:p>
    <w:p>
      <w:pPr>
        <w:pStyle w:val="BodyText"/>
        <w:numPr>
          <w:ilvl w:val="0"/>
          <w:numId w:val="7"/>
        </w:numPr>
        <w:tabs>
          <w:tab w:val="clear" w:pos="720"/>
          <w:tab w:val="left" w:pos="0" w:leader="none"/>
        </w:tabs>
        <w:ind w:hanging="283" w:left="709"/>
        <w:rPr/>
      </w:pPr>
      <w:r>
        <w:rPr/>
        <w:t>Philosophy emphasizes consistency and balance over historical accuracy, ensuring every faction has the tools to compete on equal footing.</w:t>
      </w:r>
    </w:p>
    <w:p>
      <w:pPr>
        <w:pStyle w:val="Normal"/>
        <w:rPr/>
      </w:pPr>
      <w:r>
        <w:rPr/>
      </w:r>
    </w:p>
    <w:p>
      <w:pPr>
        <w:pStyle w:val="Heading2"/>
        <w:rPr/>
      </w:pPr>
      <w:r>
        <w:rPr/>
        <w:t>1.3 Definitions, Acronyms, and Abbreviations</w:t>
      </w:r>
    </w:p>
    <w:p>
      <w:pPr>
        <w:pStyle w:val="Normal"/>
        <w:rPr/>
      </w:pPr>
      <w:r>
        <w:rPr/>
        <w:t>The following terms are specific to Project Defiance and will be defined collaboratively by the team:</w:t>
      </w:r>
    </w:p>
    <w:tbl>
      <w:tblPr>
        <w:tblW w:w="8640" w:type="dxa"/>
        <w:jc w:val="center"/>
        <w:tblInd w:w="0" w:type="dxa"/>
        <w:tblLayout w:type="fixed"/>
        <w:tblCellMar>
          <w:top w:w="0" w:type="dxa"/>
          <w:left w:w="0" w:type="dxa"/>
          <w:bottom w:w="0" w:type="dxa"/>
          <w:right w:w="0" w:type="dxa"/>
        </w:tblCellMar>
      </w:tblPr>
      <w:tblGrid>
        <w:gridCol w:w="2160"/>
        <w:gridCol w:w="3285"/>
        <w:gridCol w:w="1036"/>
        <w:gridCol w:w="2159"/>
      </w:tblGrid>
      <w:tr>
        <w:trPr/>
        <w:tc>
          <w:tcPr>
            <w:tcW w:w="2160"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Term</w:t>
            </w:r>
          </w:p>
        </w:tc>
        <w:tc>
          <w:tcPr>
            <w:tcW w:w="3285"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Definition</w:t>
            </w:r>
          </w:p>
        </w:tc>
        <w:tc>
          <w:tcPr>
            <w:tcW w:w="1036"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Type</w:t>
            </w:r>
          </w:p>
        </w:tc>
        <w:tc>
          <w:tcPr>
            <w:tcW w:w="2159"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Alias</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Vanilla</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base Company of Heroes 2 game, unmodified.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VCoH</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Tuning Pack</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Relic Entertainment's official mod support format for CoH2. Limited to modifying unit statistics and icons; all other file types are inaccessible. CoH2: Defiance operates within this format.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RNG</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Random Number Generation. Refers to the random elements that influence combat outcomes such as scatter, accuracy rolls, and explosive damage variance.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Acronym</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Target Size</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A multiplier applied to incoming fire that determines how likely a unit is to be hit. Higher target size means the unit is easier to hit.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Received Accuracy</w:t>
            </w:r>
          </w:p>
        </w:tc>
      </w:tr>
      <w:tr>
        <w:trPr>
          <w:trHeight w:val="600"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Armor</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A unit's resistance to incoming damage. Determines whether an attack penetrates or is deflected.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603"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Penetration</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ability of a projectile to overcome a target's armor value. A successful penetration deals full damage; a failure results in a deflection.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Criticals</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Negative status effects applied to a unit as a result of combat. Can be ephemeral, resolving after a short duration, or persistent, remaining until the unit is repaired or otherwise addressed. Examples include engine damage, main gun destruction, or crew </w:t>
            </w:r>
            <w:r>
              <w:rPr>
                <w:rFonts w:ascii="Liberation Serif" w:hAnsi="Liberation Serif"/>
                <w:b w:val="false"/>
                <w:bCs w:val="false"/>
                <w:i w:val="false"/>
                <w:iCs w:val="false"/>
                <w:strike w:val="false"/>
                <w:dstrike w:val="false"/>
                <w:outline w:val="false"/>
                <w:shadow w:val="false"/>
                <w:color w:val="000000"/>
                <w:sz w:val="24"/>
                <w:szCs w:val="24"/>
                <w:u w:val="none"/>
              </w:rPr>
              <w:t>shocked</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Crits</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Accuracy</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likelihood of a unit's attack connecting with its target.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2222"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Moving </w:t>
            </w:r>
            <w:r>
              <w:rPr>
                <w:rFonts w:ascii="Liberation Serif" w:hAnsi="Liberation Serif"/>
                <w:b w:val="false"/>
                <w:bCs w:val="false"/>
                <w:i w:val="false"/>
                <w:iCs w:val="false"/>
                <w:strike w:val="false"/>
                <w:dstrike w:val="false"/>
                <w:outline w:val="false"/>
                <w:shadow w:val="false"/>
                <w:color w:val="000000"/>
                <w:sz w:val="24"/>
                <w:szCs w:val="24"/>
                <w:u w:val="none"/>
              </w:rPr>
              <w:t>Accuracy</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A modifier applied to a unit's base accuracy while in motion. Expressed as a multiplier of the unit's stationary accuracy. For example, a moving accuracy of 0.75 means the unit fires at 75% of its stationary accuracy while moving.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Burst Duration</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length of time a weapon fires in a single burst before pausing to reload or reacquire a target.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Burst</w:t>
            </w:r>
          </w:p>
        </w:tc>
      </w:tr>
      <w:tr>
        <w:trPr>
          <w:trHeight w:val="459"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AoE</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Area of Effect. Refers to attacks that deal damage across a radius rather than to a single target.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Acronym</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AoE Penetration</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penetration value applied to area of effect damage. Determines whether armored units within an AoE radius take full damage or have it reduced by their armor value, using the same penetration system as direct fire attacks.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Super Unit</w:t>
            </w:r>
          </w:p>
        </w:tc>
        <w:tc>
          <w:tcPr>
            <w:tcW w:w="3285"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A high-cost, late-game unit limited to a single deployment on the battlefield at any given time. Super Units are not guaranteed to appear in every match, but their presence can significantly alter the course of a game. While formidable, Super Units are not without counters: both soft and hard counters exist, consistent with Defiance's overall balance philosophy. </w:t>
            </w:r>
          </w:p>
        </w:tc>
        <w:tc>
          <w:tcPr>
            <w:tcW w:w="103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2159"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top w:val="single" w:sz="6" w:space="0" w:color="999999"/>
              <w:bottom w:val="single" w:sz="1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Term</w:t>
            </w:r>
          </w:p>
        </w:tc>
        <w:tc>
          <w:tcPr>
            <w:tcW w:w="3285" w:type="dxa"/>
            <w:tcBorders>
              <w:top w:val="single" w:sz="6" w:space="0" w:color="999999"/>
              <w:bottom w:val="single" w:sz="1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Definition</w:t>
            </w:r>
          </w:p>
        </w:tc>
        <w:tc>
          <w:tcPr>
            <w:tcW w:w="1036" w:type="dxa"/>
            <w:tcBorders>
              <w:top w:val="single" w:sz="6" w:space="0" w:color="999999"/>
              <w:bottom w:val="single" w:sz="1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Type</w:t>
            </w:r>
          </w:p>
        </w:tc>
        <w:tc>
          <w:tcPr>
            <w:tcW w:w="2159" w:type="dxa"/>
            <w:tcBorders>
              <w:top w:val="single" w:sz="6" w:space="0" w:color="999999"/>
              <w:bottom w:val="single" w:sz="1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Alias</w:t>
            </w:r>
          </w:p>
        </w:tc>
      </w:tr>
    </w:tbl>
    <w:p>
      <w:pPr>
        <w:pStyle w:val="Normal"/>
        <w:rPr/>
      </w:pPr>
      <w:r>
        <w:rPr/>
      </w:r>
    </w:p>
    <w:p>
      <w:pPr>
        <w:pStyle w:val="Heading1"/>
        <w:rPr/>
      </w:pPr>
      <w:r>
        <w:rPr/>
        <w:t>2. Overall Description</w:t>
      </w:r>
    </w:p>
    <w:p>
      <w:pPr>
        <w:pStyle w:val="Heading2"/>
        <w:rPr/>
      </w:pPr>
      <w:r>
        <w:rPr/>
        <w:t>2.1 Product Perspective</w:t>
      </w:r>
    </w:p>
    <w:p>
      <w:pPr>
        <w:pStyle w:val="BodyText"/>
        <w:spacing w:before="0" w:after="200"/>
        <w:rPr/>
      </w:pPr>
      <w:r>
        <w:rPr/>
        <w:t>CoH2: Defiance is a tuning pack–style modification built on the Company of Heroes 2 framework. It operates within the constraints of the CoH2 tuning pack format, modifying unit statistics, abilities, and upgrade systems without altering core game modes or engine-level functionality.</w:t>
      </w:r>
    </w:p>
    <w:p>
      <w:pPr>
        <w:pStyle w:val="BodyText"/>
        <w:spacing w:before="0" w:after="200"/>
        <w:rPr/>
      </w:pPr>
      <w:r>
        <w:rPr/>
        <w:t>The mod functions as a comprehensive balance and design overhaul rather than a total conversion. Core visual assets, game modes, and mechanical systems inherited from CoH2 remain intact. All modifications are confined to unit definitions, weapon statistics, ability parameters, and localization strings.</w:t>
      </w:r>
    </w:p>
    <w:p>
      <w:pPr>
        <w:pStyle w:val="BodyText"/>
        <w:spacing w:before="0" w:after="200"/>
        <w:rPr/>
      </w:pPr>
      <w:r>
        <w:rPr/>
        <w:t>An alternate 1946–47 timeline serves as a narrative framework to justify select fictional and late-war unit designs. This setting does not alter the fundamental gameplay systems inherited from CoH2.</w:t>
      </w:r>
    </w:p>
    <w:p>
      <w:pPr>
        <w:pStyle w:val="Heading2"/>
        <w:rPr/>
      </w:pPr>
      <w:r>
        <w:rPr/>
        <w:t>2.2 Product Features</w:t>
      </w:r>
    </w:p>
    <w:p>
      <w:pPr>
        <w:pStyle w:val="BodyText"/>
        <w:numPr>
          <w:ilvl w:val="0"/>
          <w:numId w:val="8"/>
        </w:numPr>
        <w:tabs>
          <w:tab w:val="clear" w:pos="720"/>
          <w:tab w:val="left" w:pos="0" w:leader="none"/>
        </w:tabs>
        <w:spacing w:before="0" w:after="0"/>
        <w:ind w:hanging="283" w:left="720"/>
        <w:rPr/>
      </w:pPr>
      <w:r>
        <w:rPr>
          <w:rStyle w:val="Strong"/>
        </w:rPr>
        <w:t>Faction System:</w:t>
      </w:r>
      <w:r>
        <w:rPr/>
        <w:t xml:space="preserve"> Five playable factions, each with distinct unit rosters, abilities, and playstyles. </w:t>
      </w:r>
    </w:p>
    <w:p>
      <w:pPr>
        <w:pStyle w:val="BodyText"/>
        <w:numPr>
          <w:ilvl w:val="0"/>
          <w:numId w:val="9"/>
        </w:numPr>
        <w:tabs>
          <w:tab w:val="clear" w:pos="720"/>
          <w:tab w:val="left" w:pos="0" w:leader="none"/>
        </w:tabs>
        <w:spacing w:before="0" w:after="0"/>
        <w:ind w:hanging="283" w:left="720"/>
        <w:rPr/>
      </w:pPr>
      <w:r>
        <w:rPr>
          <w:rStyle w:val="Strong"/>
        </w:rPr>
        <w:t>Doctrine System:</w:t>
      </w:r>
      <w:r>
        <w:rPr/>
        <w:t xml:space="preserve"> A standalone doctrine system replacing the vanilla commander model. Each faction has access to 4 doctrines at launch, with additional doctrines planned as post-launch additions. </w:t>
      </w:r>
    </w:p>
    <w:p>
      <w:pPr>
        <w:pStyle w:val="BodyText"/>
        <w:numPr>
          <w:ilvl w:val="0"/>
          <w:numId w:val="10"/>
        </w:numPr>
        <w:tabs>
          <w:tab w:val="clear" w:pos="720"/>
          <w:tab w:val="left" w:pos="0" w:leader="none"/>
        </w:tabs>
        <w:spacing w:before="0" w:after="0"/>
        <w:ind w:hanging="283" w:left="720"/>
        <w:rPr/>
      </w:pPr>
      <w:r>
        <w:rPr>
          <w:rStyle w:val="Strong"/>
        </w:rPr>
        <w:t>Unit Balance:</w:t>
      </w:r>
      <w:r>
        <w:rPr/>
        <w:t xml:space="preserve"> All unit statistics including weapon damage, accuracy, and armor values have been reworked from vanilla baselines. </w:t>
      </w:r>
    </w:p>
    <w:p>
      <w:pPr>
        <w:pStyle w:val="BodyText"/>
        <w:numPr>
          <w:ilvl w:val="0"/>
          <w:numId w:val="11"/>
        </w:numPr>
        <w:tabs>
          <w:tab w:val="clear" w:pos="720"/>
          <w:tab w:val="left" w:pos="0" w:leader="none"/>
        </w:tabs>
        <w:spacing w:before="0" w:after="0"/>
        <w:ind w:hanging="283" w:left="720"/>
        <w:rPr/>
      </w:pPr>
      <w:r>
        <w:rPr>
          <w:rStyle w:val="Strong"/>
        </w:rPr>
        <w:t>Ability System:</w:t>
      </w:r>
      <w:r>
        <w:rPr/>
        <w:t xml:space="preserve"> Units feature new and reworked abilities replacing or supplementing vanilla functionality. </w:t>
      </w:r>
    </w:p>
    <w:p>
      <w:pPr>
        <w:pStyle w:val="BodyText"/>
        <w:numPr>
          <w:ilvl w:val="0"/>
          <w:numId w:val="12"/>
        </w:numPr>
        <w:tabs>
          <w:tab w:val="clear" w:pos="720"/>
          <w:tab w:val="left" w:pos="0" w:leader="none"/>
        </w:tabs>
        <w:spacing w:before="0" w:after="0"/>
        <w:ind w:hanging="283" w:left="720"/>
        <w:rPr/>
      </w:pPr>
      <w:r>
        <w:rPr>
          <w:rStyle w:val="Strong"/>
        </w:rPr>
        <w:t>RNG Reduction:</w:t>
      </w:r>
      <w:r>
        <w:rPr/>
        <w:t xml:space="preserve"> Random elements such as vehicle criticals and explosive damage variance have been streamlined or removed. </w:t>
      </w:r>
    </w:p>
    <w:p>
      <w:pPr>
        <w:pStyle w:val="BodyText"/>
        <w:numPr>
          <w:ilvl w:val="0"/>
          <w:numId w:val="13"/>
        </w:numPr>
        <w:tabs>
          <w:tab w:val="clear" w:pos="720"/>
          <w:tab w:val="left" w:pos="0" w:leader="none"/>
        </w:tabs>
        <w:spacing w:before="0" w:after="0"/>
        <w:ind w:hanging="283" w:left="720"/>
        <w:rPr/>
      </w:pPr>
      <w:r>
        <w:rPr>
          <w:rStyle w:val="Strong"/>
        </w:rPr>
        <w:t>Upgrade System:</w:t>
      </w:r>
      <w:r>
        <w:rPr/>
        <w:t xml:space="preserve"> Unit upgrade paths have been reworked to provide distinct strategic choices. </w:t>
      </w:r>
    </w:p>
    <w:p>
      <w:pPr>
        <w:pStyle w:val="Heading2"/>
        <w:rPr/>
      </w:pPr>
      <w:r>
        <w:rPr/>
        <w:t>2.3 User Classes and Characteristics</w:t>
      </w:r>
    </w:p>
    <w:p>
      <w:pPr>
        <w:pStyle w:val="BodyText"/>
        <w:numPr>
          <w:ilvl w:val="0"/>
          <w:numId w:val="14"/>
        </w:numPr>
        <w:tabs>
          <w:tab w:val="clear" w:pos="720"/>
          <w:tab w:val="left" w:pos="0" w:leader="none"/>
        </w:tabs>
        <w:spacing w:before="0" w:after="0"/>
        <w:ind w:hanging="283" w:left="720"/>
        <w:rPr/>
      </w:pPr>
      <w:r>
        <w:rPr>
          <w:rStyle w:val="Strong"/>
        </w:rPr>
        <w:t>Casual Players:</w:t>
      </w:r>
      <w:r>
        <w:rPr/>
        <w:t xml:space="preserve"> Familiar with CoH2 or RTS games in general. Seeking a fresh experience without a steep relearning curve. Expected to engage primarily with the default faction rosters and base doctrine options. </w:t>
      </w:r>
    </w:p>
    <w:p>
      <w:pPr>
        <w:pStyle w:val="BodyText"/>
        <w:numPr>
          <w:ilvl w:val="0"/>
          <w:numId w:val="15"/>
        </w:numPr>
        <w:tabs>
          <w:tab w:val="clear" w:pos="720"/>
          <w:tab w:val="left" w:pos="0" w:leader="none"/>
        </w:tabs>
        <w:spacing w:before="0" w:after="0"/>
        <w:ind w:hanging="283" w:left="720"/>
        <w:rPr/>
      </w:pPr>
      <w:r>
        <w:rPr>
          <w:rStyle w:val="Strong"/>
        </w:rPr>
        <w:t>Competitive Players:</w:t>
      </w:r>
      <w:r>
        <w:rPr/>
        <w:t xml:space="preserve"> Experienced CoH2 players seeking deeper strategic options and a balanced alternative to the vanilla meta. Expected to engage extensively with the doctrine system and faction matchups. </w:t>
      </w:r>
    </w:p>
    <w:p>
      <w:pPr>
        <w:pStyle w:val="BodyText"/>
        <w:numPr>
          <w:ilvl w:val="0"/>
          <w:numId w:val="16"/>
        </w:numPr>
        <w:tabs>
          <w:tab w:val="clear" w:pos="720"/>
          <w:tab w:val="left" w:pos="0" w:leader="none"/>
        </w:tabs>
        <w:spacing w:before="0" w:after="200"/>
        <w:ind w:hanging="283" w:left="720"/>
        <w:rPr/>
      </w:pPr>
      <w:r>
        <w:rPr>
          <w:rStyle w:val="Strong"/>
        </w:rPr>
        <w:t>Modding Community:</w:t>
      </w:r>
      <w:r>
        <w:rPr/>
        <w:t xml:space="preserve"> Players and developers familiar with CoH2's tuning pack format. May reference this document for structural and design inspiration. </w:t>
      </w:r>
    </w:p>
    <w:p>
      <w:pPr>
        <w:pStyle w:val="Heading2"/>
        <w:rPr/>
      </w:pPr>
      <w:r>
        <w:rPr/>
        <w:t>2.4 Operating Environment</w:t>
      </w:r>
    </w:p>
    <w:p>
      <w:pPr>
        <w:pStyle w:val="BodyText"/>
        <w:numPr>
          <w:ilvl w:val="0"/>
          <w:numId w:val="17"/>
        </w:numPr>
        <w:tabs>
          <w:tab w:val="clear" w:pos="720"/>
          <w:tab w:val="left" w:pos="0" w:leader="none"/>
        </w:tabs>
        <w:spacing w:before="0" w:after="0"/>
        <w:ind w:hanging="283" w:left="720"/>
        <w:rPr/>
      </w:pPr>
      <w:r>
        <w:rPr>
          <w:rStyle w:val="Strong"/>
        </w:rPr>
        <w:t>Base Game:</w:t>
      </w:r>
      <w:r>
        <w:rPr/>
        <w:t xml:space="preserve"> Company of Heroes 2 (Relic Entertainment, 2013). </w:t>
      </w:r>
    </w:p>
    <w:p>
      <w:pPr>
        <w:pStyle w:val="BodyText"/>
        <w:numPr>
          <w:ilvl w:val="0"/>
          <w:numId w:val="18"/>
        </w:numPr>
        <w:tabs>
          <w:tab w:val="clear" w:pos="720"/>
          <w:tab w:val="left" w:pos="0" w:leader="none"/>
        </w:tabs>
        <w:spacing w:before="0" w:after="0"/>
        <w:ind w:hanging="283" w:left="720"/>
        <w:rPr/>
      </w:pPr>
      <w:r>
        <w:rPr>
          <w:rStyle w:val="Strong"/>
        </w:rPr>
        <w:t>Platform:</w:t>
      </w:r>
      <w:r>
        <w:rPr/>
        <w:t xml:space="preserve"> PC (Windows). </w:t>
      </w:r>
    </w:p>
    <w:p>
      <w:pPr>
        <w:pStyle w:val="BodyText"/>
        <w:numPr>
          <w:ilvl w:val="0"/>
          <w:numId w:val="19"/>
        </w:numPr>
        <w:tabs>
          <w:tab w:val="clear" w:pos="720"/>
          <w:tab w:val="left" w:pos="0" w:leader="none"/>
        </w:tabs>
        <w:spacing w:before="0" w:after="0"/>
        <w:ind w:hanging="283" w:left="720"/>
        <w:rPr/>
      </w:pPr>
      <w:r>
        <w:rPr>
          <w:rStyle w:val="Strong"/>
        </w:rPr>
        <w:t>Distribution:</w:t>
      </w:r>
      <w:r>
        <w:rPr/>
        <w:t xml:space="preserve"> Steam Workshop. </w:t>
      </w:r>
    </w:p>
    <w:p>
      <w:pPr>
        <w:pStyle w:val="BodyText"/>
        <w:numPr>
          <w:ilvl w:val="0"/>
          <w:numId w:val="20"/>
        </w:numPr>
        <w:tabs>
          <w:tab w:val="clear" w:pos="720"/>
          <w:tab w:val="left" w:pos="0" w:leader="none"/>
        </w:tabs>
        <w:spacing w:before="0" w:after="0"/>
        <w:ind w:hanging="283" w:left="720"/>
        <w:rPr/>
      </w:pPr>
      <w:r>
        <w:rPr>
          <w:rStyle w:val="Strong"/>
        </w:rPr>
        <w:t>Mod Format:</w:t>
      </w:r>
      <w:r>
        <w:rPr/>
        <w:t xml:space="preserve"> Tuning Pack. Modifies unit statistics, ability parameters, weapon definitions, and localization strings. Does not alter core game modes, engine files, or base game assets. </w:t>
      </w:r>
    </w:p>
    <w:p>
      <w:pPr>
        <w:pStyle w:val="BodyText"/>
        <w:numPr>
          <w:ilvl w:val="0"/>
          <w:numId w:val="21"/>
        </w:numPr>
        <w:tabs>
          <w:tab w:val="clear" w:pos="720"/>
          <w:tab w:val="left" w:pos="0" w:leader="none"/>
        </w:tabs>
        <w:spacing w:before="0" w:after="0"/>
        <w:ind w:hanging="283" w:left="720"/>
        <w:rPr/>
      </w:pPr>
      <w:r>
        <w:rPr>
          <w:rStyle w:val="Strong"/>
        </w:rPr>
        <w:t>Multiplayer Compatibility:</w:t>
      </w:r>
      <w:r>
        <w:rPr/>
        <w:t xml:space="preserve"> Compatible with all players who have the mod active via Steam Workshop subscription. Incompatible with other tuning packs running simultaneously. </w:t>
      </w:r>
    </w:p>
    <w:p>
      <w:pPr>
        <w:pStyle w:val="BodyText"/>
        <w:numPr>
          <w:ilvl w:val="0"/>
          <w:numId w:val="22"/>
        </w:numPr>
        <w:tabs>
          <w:tab w:val="clear" w:pos="720"/>
          <w:tab w:val="left" w:pos="0" w:leader="none"/>
        </w:tabs>
        <w:spacing w:before="0" w:after="200"/>
        <w:ind w:hanging="283" w:left="720"/>
        <w:rPr/>
      </w:pPr>
      <w:r>
        <w:rPr>
          <w:rStyle w:val="Strong"/>
        </w:rPr>
        <w:t>Skin Pack Compatibility:</w:t>
      </w:r>
      <w:r>
        <w:rPr/>
        <w:t xml:space="preserve"> Custom skin packs are supported and can be used alongside CoH2: Defiance without conflict. </w:t>
      </w:r>
    </w:p>
    <w:p>
      <w:pPr>
        <w:pStyle w:val="Heading2"/>
        <w:rPr/>
      </w:pPr>
      <w:r>
        <w:rPr/>
        <w:t>2.5 Design Constraints</w:t>
      </w:r>
    </w:p>
    <w:p>
      <w:pPr>
        <w:pStyle w:val="BodyText"/>
        <w:numPr>
          <w:ilvl w:val="0"/>
          <w:numId w:val="23"/>
        </w:numPr>
        <w:tabs>
          <w:tab w:val="clear" w:pos="720"/>
          <w:tab w:val="left" w:pos="0" w:leader="none"/>
        </w:tabs>
        <w:spacing w:before="0" w:after="0"/>
        <w:ind w:hanging="283" w:left="720"/>
        <w:rPr/>
      </w:pPr>
      <w:r>
        <w:rPr>
          <w:rStyle w:val="Strong"/>
        </w:rPr>
        <w:t>Format Limitations:</w:t>
      </w:r>
      <w:r>
        <w:rPr/>
        <w:t xml:space="preserve"> As a tuning pack, CoH2: Defiance is restricted to modifying unit statistics, ability parameters, weapon definitions, and localization strings. Custom models, textures, and engine-level changes are outside the scope of the format. </w:t>
      </w:r>
    </w:p>
    <w:p>
      <w:pPr>
        <w:pStyle w:val="BodyText"/>
        <w:numPr>
          <w:ilvl w:val="0"/>
          <w:numId w:val="24"/>
        </w:numPr>
        <w:tabs>
          <w:tab w:val="clear" w:pos="720"/>
          <w:tab w:val="left" w:pos="0" w:leader="none"/>
        </w:tabs>
        <w:spacing w:before="0" w:after="0"/>
        <w:ind w:hanging="283" w:left="720"/>
        <w:rPr/>
      </w:pPr>
      <w:r>
        <w:rPr>
          <w:rStyle w:val="Strong"/>
        </w:rPr>
        <w:t>Visual Consistency:</w:t>
      </w:r>
      <w:r>
        <w:rPr/>
        <w:t xml:space="preserve"> All units and abilities must utilise existing CoH2 assets. No custom models or textures may be introduced. </w:t>
      </w:r>
    </w:p>
    <w:p>
      <w:pPr>
        <w:pStyle w:val="BodyText"/>
        <w:numPr>
          <w:ilvl w:val="0"/>
          <w:numId w:val="25"/>
        </w:numPr>
        <w:tabs>
          <w:tab w:val="clear" w:pos="720"/>
          <w:tab w:val="left" w:pos="0" w:leader="none"/>
        </w:tabs>
        <w:spacing w:before="0" w:after="0"/>
        <w:ind w:hanging="283" w:left="720"/>
        <w:rPr/>
      </w:pPr>
      <w:r>
        <w:rPr>
          <w:rStyle w:val="Strong"/>
        </w:rPr>
        <w:t>Accessibility:</w:t>
      </w:r>
      <w:r>
        <w:rPr/>
        <w:t xml:space="preserve"> The mod must remain accessible to players familiar with vanilla CoH2. The learning curve should be shallow enough that experienced CoH2 players can transition without relearning fundamental mechanics. </w:t>
      </w:r>
    </w:p>
    <w:p>
      <w:pPr>
        <w:pStyle w:val="BodyText"/>
        <w:numPr>
          <w:ilvl w:val="0"/>
          <w:numId w:val="26"/>
        </w:numPr>
        <w:tabs>
          <w:tab w:val="clear" w:pos="720"/>
          <w:tab w:val="left" w:pos="0" w:leader="none"/>
        </w:tabs>
        <w:spacing w:before="0" w:after="0"/>
        <w:ind w:hanging="283" w:left="720"/>
        <w:rPr/>
      </w:pPr>
      <w:r>
        <w:rPr>
          <w:rStyle w:val="Strong"/>
        </w:rPr>
        <w:t>Faction Balance:</w:t>
      </w:r>
      <w:r>
        <w:rPr/>
        <w:t xml:space="preserve"> No faction may have a decisive, unavoidable advantage over another. All matchups must have viable counters, both soft and hard. </w:t>
      </w:r>
    </w:p>
    <w:p>
      <w:pPr>
        <w:pStyle w:val="BodyText"/>
        <w:numPr>
          <w:ilvl w:val="0"/>
          <w:numId w:val="27"/>
        </w:numPr>
        <w:tabs>
          <w:tab w:val="clear" w:pos="720"/>
          <w:tab w:val="left" w:pos="0" w:leader="none"/>
        </w:tabs>
        <w:spacing w:before="0" w:after="0"/>
        <w:ind w:hanging="283" w:left="720"/>
        <w:rPr/>
      </w:pPr>
      <w:r>
        <w:rPr>
          <w:rStyle w:val="Strong"/>
        </w:rPr>
        <w:t>RNG Management:</w:t>
      </w:r>
      <w:r>
        <w:rPr/>
        <w:t xml:space="preserve"> Random elements must be preserved to maintain unpredictability, but must not be the primary determining factor in match outcomes. </w:t>
      </w:r>
    </w:p>
    <w:p>
      <w:pPr>
        <w:pStyle w:val="BodyText"/>
        <w:numPr>
          <w:ilvl w:val="0"/>
          <w:numId w:val="28"/>
        </w:numPr>
        <w:tabs>
          <w:tab w:val="clear" w:pos="720"/>
          <w:tab w:val="left" w:pos="0" w:leader="none"/>
        </w:tabs>
        <w:spacing w:before="0" w:after="200"/>
        <w:ind w:hanging="283" w:left="720"/>
        <w:rPr/>
      </w:pPr>
      <w:r>
        <w:rPr>
          <w:rStyle w:val="Strong"/>
        </w:rPr>
        <w:t>Content Scope:</w:t>
      </w:r>
      <w:r>
        <w:rPr/>
        <w:t xml:space="preserve"> Unit rosters are intentionally limited in size. Quality and balance of existing units takes precedence over quantity of new additions. </w:t>
      </w:r>
    </w:p>
    <w:p>
      <w:pPr>
        <w:pStyle w:val="Heading1"/>
        <w:rPr/>
      </w:pPr>
      <w:r>
        <w:rPr/>
        <w:t>3. System Features</w:t>
      </w:r>
    </w:p>
    <w:p>
      <w:pPr>
        <w:pStyle w:val="Normal"/>
        <w:rPr/>
      </w:pPr>
      <w:r>
        <w:rPr/>
        <w:t>(To be discussed and filled in by the team.)</w:t>
      </w:r>
    </w:p>
    <w:p>
      <w:pPr>
        <w:pStyle w:val="Heading1"/>
        <w:rPr/>
      </w:pPr>
      <w:r>
        <w:rPr/>
        <w:t>4. External Interface Requirements</w:t>
      </w:r>
    </w:p>
    <w:p>
      <w:pPr>
        <w:pStyle w:val="Heading2"/>
        <w:rPr/>
      </w:pPr>
      <w:r>
        <w:rPr/>
        <w:t>4.1 User Interface (UI/UX)</w:t>
      </w:r>
    </w:p>
    <w:p>
      <w:pPr>
        <w:pStyle w:val="BodyText"/>
        <w:numPr>
          <w:ilvl w:val="0"/>
          <w:numId w:val="29"/>
        </w:numPr>
        <w:tabs>
          <w:tab w:val="clear" w:pos="720"/>
          <w:tab w:val="left" w:pos="0" w:leader="none"/>
        </w:tabs>
        <w:spacing w:before="0" w:after="0"/>
        <w:ind w:hanging="283" w:left="720"/>
        <w:rPr/>
      </w:pPr>
      <w:r>
        <w:rPr/>
        <w:t xml:space="preserve">All tooltips, unit descriptions, and ability text must be clear, concise, and written in an immersive in-universe tone consistent with the faction they represent. </w:t>
      </w:r>
    </w:p>
    <w:p>
      <w:pPr>
        <w:pStyle w:val="BodyText"/>
        <w:numPr>
          <w:ilvl w:val="0"/>
          <w:numId w:val="30"/>
        </w:numPr>
        <w:tabs>
          <w:tab w:val="clear" w:pos="720"/>
          <w:tab w:val="left" w:pos="0" w:leader="none"/>
        </w:tabs>
        <w:spacing w:before="0" w:after="0"/>
        <w:ind w:hanging="283" w:left="720"/>
        <w:rPr/>
      </w:pPr>
      <w:r>
        <w:rPr/>
        <w:t xml:space="preserve">Icons and visual cues must integrate seamlessly with existing vanilla CoH2 assets. </w:t>
      </w:r>
    </w:p>
    <w:p>
      <w:pPr>
        <w:pStyle w:val="BodyText"/>
        <w:numPr>
          <w:ilvl w:val="0"/>
          <w:numId w:val="31"/>
        </w:numPr>
        <w:tabs>
          <w:tab w:val="clear" w:pos="720"/>
          <w:tab w:val="left" w:pos="0" w:leader="none"/>
        </w:tabs>
        <w:spacing w:before="0" w:after="0"/>
        <w:ind w:hanging="283" w:left="720"/>
        <w:rPr/>
      </w:pPr>
      <w:r>
        <w:rPr/>
        <w:t xml:space="preserve">Status effect descriptions must be consistent in format and tone across all factions. </w:t>
      </w:r>
    </w:p>
    <w:p>
      <w:pPr>
        <w:pStyle w:val="BodyText"/>
        <w:numPr>
          <w:ilvl w:val="0"/>
          <w:numId w:val="32"/>
        </w:numPr>
        <w:tabs>
          <w:tab w:val="clear" w:pos="720"/>
          <w:tab w:val="left" w:pos="0" w:leader="none"/>
        </w:tabs>
        <w:spacing w:before="0" w:after="200"/>
        <w:ind w:hanging="283" w:left="720"/>
        <w:rPr/>
      </w:pPr>
      <w:r>
        <w:rPr/>
        <w:t xml:space="preserve">Ability and upgrade descriptions must communicate function without the use of explicit game terms or fourth-wall language where immersion is required. </w:t>
      </w:r>
    </w:p>
    <w:p>
      <w:pPr>
        <w:pStyle w:val="Heading2"/>
        <w:rPr/>
      </w:pPr>
      <w:r>
        <w:rPr/>
        <w:t>4.2 Localization</w:t>
      </w:r>
    </w:p>
    <w:p>
      <w:pPr>
        <w:pStyle w:val="BodyText"/>
        <w:numPr>
          <w:ilvl w:val="0"/>
          <w:numId w:val="33"/>
        </w:numPr>
        <w:tabs>
          <w:tab w:val="clear" w:pos="720"/>
          <w:tab w:val="left" w:pos="0" w:leader="none"/>
        </w:tabs>
        <w:spacing w:before="0" w:after="0"/>
        <w:ind w:hanging="283" w:left="720"/>
        <w:rPr/>
      </w:pPr>
      <w:r>
        <w:rPr/>
        <w:t xml:space="preserve">All strings including unit names, ability descriptions, upgrade text, and status effects must use consistent terminology as defined in Section 1.3. </w:t>
      </w:r>
    </w:p>
    <w:p>
      <w:pPr>
        <w:pStyle w:val="BodyText"/>
        <w:numPr>
          <w:ilvl w:val="0"/>
          <w:numId w:val="34"/>
        </w:numPr>
        <w:tabs>
          <w:tab w:val="clear" w:pos="720"/>
          <w:tab w:val="left" w:pos="0" w:leader="none"/>
        </w:tabs>
        <w:spacing w:before="0" w:after="0"/>
        <w:ind w:hanging="283" w:left="720"/>
        <w:rPr/>
      </w:pPr>
      <w:r>
        <w:rPr/>
        <w:t xml:space="preserve">English is the primary supported language at launch. </w:t>
      </w:r>
    </w:p>
    <w:p>
      <w:pPr>
        <w:pStyle w:val="BodyText"/>
        <w:numPr>
          <w:ilvl w:val="0"/>
          <w:numId w:val="35"/>
        </w:numPr>
        <w:tabs>
          <w:tab w:val="clear" w:pos="720"/>
          <w:tab w:val="left" w:pos="0" w:leader="none"/>
        </w:tabs>
        <w:spacing w:before="0" w:after="200"/>
        <w:ind w:hanging="283" w:left="720"/>
        <w:rPr/>
      </w:pPr>
      <w:r>
        <w:rPr/>
        <w:t xml:space="preserve">String formatting must remain extensible to allow for potential community localization contributions post-launch. </w:t>
      </w:r>
    </w:p>
    <w:p>
      <w:pPr>
        <w:pStyle w:val="Heading1"/>
        <w:rPr/>
      </w:pPr>
      <w:r>
        <w:rPr/>
        <w:t>5. Nonfunctional Requirements</w:t>
      </w:r>
    </w:p>
    <w:p>
      <w:pPr>
        <w:pStyle w:val="Heading2"/>
        <w:rPr/>
      </w:pPr>
      <w:r>
        <w:rPr/>
        <w:t>5.1 Tone and Style Rules</w:t>
      </w:r>
    </w:p>
    <w:p>
      <w:pPr>
        <w:pStyle w:val="BodyText"/>
        <w:numPr>
          <w:ilvl w:val="0"/>
          <w:numId w:val="36"/>
        </w:numPr>
        <w:tabs>
          <w:tab w:val="clear" w:pos="720"/>
          <w:tab w:val="left" w:pos="0" w:leader="none"/>
        </w:tabs>
        <w:spacing w:before="0" w:after="0"/>
        <w:ind w:hanging="283" w:left="720"/>
        <w:rPr/>
      </w:pPr>
      <w:r>
        <w:rPr/>
        <w:t xml:space="preserve">Unit, ability, and upgrade descriptions must be written in an immersive, in-universe voice appropriate to the faction they represent. </w:t>
      </w:r>
    </w:p>
    <w:p>
      <w:pPr>
        <w:pStyle w:val="BodyText"/>
        <w:numPr>
          <w:ilvl w:val="0"/>
          <w:numId w:val="37"/>
        </w:numPr>
        <w:tabs>
          <w:tab w:val="clear" w:pos="720"/>
          <w:tab w:val="left" w:pos="0" w:leader="none"/>
        </w:tabs>
        <w:spacing w:before="0" w:after="0"/>
        <w:ind w:hanging="283" w:left="720"/>
        <w:rPr/>
      </w:pPr>
      <w:r>
        <w:rPr/>
        <w:t xml:space="preserve">Descriptions must avoid explicit game terminology, fourth-wall language, and hyperbolic phrasing. </w:t>
      </w:r>
    </w:p>
    <w:p>
      <w:pPr>
        <w:pStyle w:val="BodyText"/>
        <w:numPr>
          <w:ilvl w:val="0"/>
          <w:numId w:val="38"/>
        </w:numPr>
        <w:tabs>
          <w:tab w:val="clear" w:pos="720"/>
          <w:tab w:val="left" w:pos="0" w:leader="none"/>
        </w:tabs>
        <w:spacing w:before="0" w:after="200"/>
        <w:ind w:hanging="283" w:left="720"/>
        <w:rPr/>
      </w:pPr>
      <w:r>
        <w:rPr/>
        <w:t xml:space="preserve">Each faction maintains a distinct narrative voice: </w:t>
      </w:r>
    </w:p>
    <w:p>
      <w:pPr>
        <w:pStyle w:val="BodyText"/>
        <w:numPr>
          <w:ilvl w:val="1"/>
          <w:numId w:val="39"/>
        </w:numPr>
        <w:tabs>
          <w:tab w:val="clear" w:pos="720"/>
          <w:tab w:val="left" w:pos="0" w:leader="none"/>
        </w:tabs>
        <w:spacing w:before="0" w:after="0"/>
        <w:ind w:hanging="283" w:left="1418"/>
        <w:rPr/>
      </w:pPr>
      <w:r>
        <w:rPr>
          <w:rStyle w:val="Strong"/>
        </w:rPr>
        <w:t>Soviet Union:</w:t>
      </w:r>
      <w:r>
        <w:rPr/>
        <w:t xml:space="preserve"> Propagandistic undertones with measured sentimentality. </w:t>
      </w:r>
    </w:p>
    <w:p>
      <w:pPr>
        <w:pStyle w:val="BodyText"/>
        <w:numPr>
          <w:ilvl w:val="1"/>
          <w:numId w:val="39"/>
        </w:numPr>
        <w:tabs>
          <w:tab w:val="clear" w:pos="720"/>
          <w:tab w:val="left" w:pos="0" w:leader="none"/>
        </w:tabs>
        <w:spacing w:before="0" w:after="0"/>
        <w:ind w:hanging="283" w:left="1418"/>
        <w:rPr/>
      </w:pPr>
      <w:r>
        <w:rPr>
          <w:rStyle w:val="Strong"/>
        </w:rPr>
        <w:t>Wehrmacht:</w:t>
      </w:r>
      <w:r>
        <w:rPr/>
        <w:t xml:space="preserve"> Clinical and precise. </w:t>
      </w:r>
    </w:p>
    <w:p>
      <w:pPr>
        <w:pStyle w:val="BodyText"/>
        <w:numPr>
          <w:ilvl w:val="1"/>
          <w:numId w:val="39"/>
        </w:numPr>
        <w:tabs>
          <w:tab w:val="clear" w:pos="720"/>
          <w:tab w:val="left" w:pos="0" w:leader="none"/>
        </w:tabs>
        <w:spacing w:before="0" w:after="0"/>
        <w:ind w:hanging="283" w:left="1418"/>
        <w:rPr/>
      </w:pPr>
      <w:r>
        <w:rPr>
          <w:rStyle w:val="Strong"/>
        </w:rPr>
        <w:t>OKW:</w:t>
      </w:r>
      <w:r>
        <w:rPr/>
        <w:t xml:space="preserve"> Clinical with restrained character. </w:t>
      </w:r>
    </w:p>
    <w:p>
      <w:pPr>
        <w:pStyle w:val="BodyText"/>
        <w:numPr>
          <w:ilvl w:val="1"/>
          <w:numId w:val="39"/>
        </w:numPr>
        <w:tabs>
          <w:tab w:val="clear" w:pos="720"/>
          <w:tab w:val="left" w:pos="0" w:leader="none"/>
        </w:tabs>
        <w:spacing w:before="0" w:after="0"/>
        <w:ind w:hanging="283" w:left="1418"/>
        <w:rPr/>
      </w:pPr>
      <w:r>
        <w:rPr>
          <w:rStyle w:val="Strong"/>
        </w:rPr>
        <w:t>US Forces:</w:t>
      </w:r>
      <w:r>
        <w:rPr/>
        <w:t xml:space="preserve"> Pragmatic and matter-of-fact with dry humor. </w:t>
      </w:r>
    </w:p>
    <w:p>
      <w:pPr>
        <w:pStyle w:val="BodyText"/>
        <w:numPr>
          <w:ilvl w:val="1"/>
          <w:numId w:val="39"/>
        </w:numPr>
        <w:tabs>
          <w:tab w:val="clear" w:pos="720"/>
          <w:tab w:val="left" w:pos="0" w:leader="none"/>
        </w:tabs>
        <w:ind w:hanging="283" w:left="1418"/>
        <w:rPr/>
      </w:pPr>
      <w:r>
        <w:rPr>
          <w:rStyle w:val="Strong"/>
        </w:rPr>
        <w:t>UK Forces:</w:t>
      </w:r>
      <w:r>
        <w:rPr/>
        <w:t xml:space="preserve"> Stoic with understated dry humor. </w:t>
      </w:r>
    </w:p>
    <w:p>
      <w:pPr>
        <w:pStyle w:val="BodyText"/>
        <w:numPr>
          <w:ilvl w:val="0"/>
          <w:numId w:val="40"/>
        </w:numPr>
        <w:tabs>
          <w:tab w:val="clear" w:pos="720"/>
          <w:tab w:val="left" w:pos="0" w:leader="none"/>
        </w:tabs>
        <w:spacing w:before="0" w:after="0"/>
        <w:ind w:hanging="283" w:left="720"/>
        <w:rPr/>
      </w:pPr>
      <w:r>
        <w:rPr/>
        <w:t xml:space="preserve">Patch notes and technical documentation may use explicit game terminology and fourth-wall language where appropriate. </w:t>
      </w:r>
    </w:p>
    <w:p>
      <w:pPr>
        <w:pStyle w:val="BodyText"/>
        <w:numPr>
          <w:ilvl w:val="0"/>
          <w:numId w:val="41"/>
        </w:numPr>
        <w:tabs>
          <w:tab w:val="clear" w:pos="720"/>
          <w:tab w:val="left" w:pos="0" w:leader="none"/>
        </w:tabs>
        <w:spacing w:before="0" w:after="200"/>
        <w:ind w:hanging="283" w:left="720"/>
        <w:rPr/>
      </w:pPr>
      <w:r>
        <w:rPr/>
        <w:t xml:space="preserve">All descriptions are subject to a hard character limit of 285 characters. </w:t>
      </w:r>
    </w:p>
    <w:p>
      <w:pPr>
        <w:pStyle w:val="Heading2"/>
        <w:rPr/>
      </w:pPr>
      <w:r>
        <w:rPr/>
        <w:t>5.2 Balance Goals</w:t>
      </w:r>
    </w:p>
    <w:p>
      <w:pPr>
        <w:pStyle w:val="BodyText"/>
        <w:numPr>
          <w:ilvl w:val="0"/>
          <w:numId w:val="42"/>
        </w:numPr>
        <w:tabs>
          <w:tab w:val="clear" w:pos="720"/>
          <w:tab w:val="left" w:pos="0" w:leader="none"/>
        </w:tabs>
        <w:spacing w:before="0" w:after="0"/>
        <w:ind w:hanging="283" w:left="720"/>
        <w:rPr/>
      </w:pPr>
      <w:r>
        <w:rPr/>
        <w:t xml:space="preserve">No faction may have a decisive, unavoidable advantage over another. </w:t>
      </w:r>
    </w:p>
    <w:p>
      <w:pPr>
        <w:pStyle w:val="BodyText"/>
        <w:numPr>
          <w:ilvl w:val="0"/>
          <w:numId w:val="43"/>
        </w:numPr>
        <w:tabs>
          <w:tab w:val="clear" w:pos="720"/>
          <w:tab w:val="left" w:pos="0" w:leader="none"/>
        </w:tabs>
        <w:spacing w:before="0" w:after="0"/>
        <w:ind w:hanging="283" w:left="720"/>
        <w:rPr/>
      </w:pPr>
      <w:r>
        <w:rPr/>
        <w:t xml:space="preserve">All playstyles and unit compositions must have viable counters, both soft and hard. </w:t>
      </w:r>
    </w:p>
    <w:p>
      <w:pPr>
        <w:pStyle w:val="BodyText"/>
        <w:numPr>
          <w:ilvl w:val="0"/>
          <w:numId w:val="44"/>
        </w:numPr>
        <w:tabs>
          <w:tab w:val="clear" w:pos="720"/>
          <w:tab w:val="left" w:pos="0" w:leader="none"/>
        </w:tabs>
        <w:spacing w:before="0" w:after="0"/>
        <w:ind w:hanging="283" w:left="720"/>
        <w:rPr/>
      </w:pPr>
      <w:r>
        <w:rPr/>
        <w:t xml:space="preserve">Soft counters are preferred over hard counters where possible, to preserve strategic flexibility and raise the skill ceiling. </w:t>
      </w:r>
    </w:p>
    <w:p>
      <w:pPr>
        <w:pStyle w:val="BodyText"/>
        <w:numPr>
          <w:ilvl w:val="0"/>
          <w:numId w:val="45"/>
        </w:numPr>
        <w:tabs>
          <w:tab w:val="clear" w:pos="720"/>
          <w:tab w:val="left" w:pos="0" w:leader="none"/>
        </w:tabs>
        <w:spacing w:before="0" w:after="0"/>
        <w:ind w:hanging="283" w:left="720"/>
        <w:rPr/>
      </w:pPr>
      <w:r>
        <w:rPr/>
        <w:t xml:space="preserve">Random elements must be preserved to maintain unpredictability, but must not be the primary determining factor in match outcomes. </w:t>
      </w:r>
    </w:p>
    <w:p>
      <w:pPr>
        <w:pStyle w:val="BodyText"/>
        <w:numPr>
          <w:ilvl w:val="0"/>
          <w:numId w:val="46"/>
        </w:numPr>
        <w:tabs>
          <w:tab w:val="clear" w:pos="720"/>
          <w:tab w:val="left" w:pos="0" w:leader="none"/>
        </w:tabs>
        <w:spacing w:before="0" w:after="0"/>
        <w:ind w:hanging="283" w:left="720"/>
        <w:rPr/>
      </w:pPr>
      <w:r>
        <w:rPr/>
        <w:t xml:space="preserve">Super Units must remain counterable despite their battlefield presence. </w:t>
      </w:r>
    </w:p>
    <w:p>
      <w:pPr>
        <w:pStyle w:val="BodyText"/>
        <w:numPr>
          <w:ilvl w:val="0"/>
          <w:numId w:val="47"/>
        </w:numPr>
        <w:tabs>
          <w:tab w:val="clear" w:pos="720"/>
          <w:tab w:val="left" w:pos="0" w:leader="none"/>
        </w:tabs>
        <w:spacing w:before="0" w:after="200"/>
        <w:ind w:hanging="283" w:left="720"/>
        <w:rPr/>
      </w:pPr>
      <w:r>
        <w:rPr/>
        <w:t xml:space="preserve">Balance is verified through iterative playtesting rather than purely theoretical modelling. </w:t>
      </w:r>
    </w:p>
    <w:p>
      <w:pPr>
        <w:pStyle w:val="Heading2"/>
        <w:rPr/>
      </w:pPr>
      <w:r>
        <w:rPr/>
        <w:t>5.3 Performance and Compatibility</w:t>
      </w:r>
    </w:p>
    <w:p>
      <w:pPr>
        <w:pStyle w:val="BodyText"/>
        <w:numPr>
          <w:ilvl w:val="0"/>
          <w:numId w:val="48"/>
        </w:numPr>
        <w:tabs>
          <w:tab w:val="clear" w:pos="720"/>
          <w:tab w:val="left" w:pos="0" w:leader="none"/>
        </w:tabs>
        <w:spacing w:before="0" w:after="0"/>
        <w:ind w:hanging="283" w:left="720"/>
        <w:rPr/>
      </w:pPr>
      <w:r>
        <w:rPr/>
        <w:t xml:space="preserve">CoH2: Defiance must run reliably on any system capable of running vanilla CoH2. </w:t>
      </w:r>
    </w:p>
    <w:p>
      <w:pPr>
        <w:pStyle w:val="BodyText"/>
        <w:numPr>
          <w:ilvl w:val="0"/>
          <w:numId w:val="49"/>
        </w:numPr>
        <w:tabs>
          <w:tab w:val="clear" w:pos="720"/>
          <w:tab w:val="left" w:pos="0" w:leader="none"/>
        </w:tabs>
        <w:spacing w:before="0" w:after="0"/>
        <w:ind w:hanging="283" w:left="720"/>
        <w:rPr/>
      </w:pPr>
      <w:r>
        <w:rPr/>
        <w:t xml:space="preserve">The mod must not introduce noticeable performance degradation compared to vanilla. </w:t>
      </w:r>
    </w:p>
    <w:p>
      <w:pPr>
        <w:pStyle w:val="BodyText"/>
        <w:numPr>
          <w:ilvl w:val="0"/>
          <w:numId w:val="50"/>
        </w:numPr>
        <w:tabs>
          <w:tab w:val="clear" w:pos="720"/>
          <w:tab w:val="left" w:pos="0" w:leader="none"/>
        </w:tabs>
        <w:spacing w:before="0" w:after="200"/>
        <w:ind w:hanging="283" w:left="720"/>
        <w:rPr/>
      </w:pPr>
      <w:r>
        <w:rPr/>
        <w:t xml:space="preserve">Compatibility with future CoH2 patches must be monitored. (LMAO) </w:t>
      </w:r>
    </w:p>
    <w:p>
      <w:pPr>
        <w:pStyle w:val="Heading1"/>
        <w:rPr/>
      </w:pPr>
      <w:r>
        <w:rPr/>
        <w:t>6. Appendices</w:t>
      </w:r>
    </w:p>
    <w:p>
      <w:pPr>
        <w:pStyle w:val="Heading2"/>
        <w:rPr/>
      </w:pPr>
      <w:r>
        <w:rPr/>
        <w:t>6.1 Design Philosophy Summary</w:t>
      </w:r>
    </w:p>
    <w:p>
      <w:pPr>
        <w:pStyle w:val="BodyText"/>
        <w:spacing w:before="0" w:after="200"/>
        <w:rPr/>
      </w:pPr>
      <w:r>
        <w:rPr/>
        <w:t>CoH2: Defiance exists to address the shortcomings of vanilla CoH2 and deliver a version of the game where every match is decided by strategy and skill. Two years of iterative playtesting have produced a mod that prioritises consistency, faction balance, and strategic depth over content volume or spectacle.</w:t>
      </w:r>
    </w:p>
    <w:p>
      <w:pPr>
        <w:pStyle w:val="BodyText"/>
        <w:spacing w:before="0" w:after="200"/>
        <w:rPr/>
      </w:pPr>
      <w:r>
        <w:rPr/>
        <w:t>The core design principles of CoH2: Defiance are:</w:t>
      </w:r>
    </w:p>
    <w:p>
      <w:pPr>
        <w:pStyle w:val="BodyText"/>
        <w:numPr>
          <w:ilvl w:val="0"/>
          <w:numId w:val="51"/>
        </w:numPr>
        <w:tabs>
          <w:tab w:val="clear" w:pos="720"/>
          <w:tab w:val="left" w:pos="0" w:leader="none"/>
        </w:tabs>
        <w:spacing w:before="0" w:after="0"/>
        <w:ind w:hanging="283" w:left="709"/>
        <w:rPr/>
      </w:pPr>
      <w:r>
        <w:rPr/>
        <w:t xml:space="preserve">Every engagement should have a viable counter. </w:t>
      </w:r>
    </w:p>
    <w:p>
      <w:pPr>
        <w:pStyle w:val="BodyText"/>
        <w:numPr>
          <w:ilvl w:val="0"/>
          <w:numId w:val="51"/>
        </w:numPr>
        <w:tabs>
          <w:tab w:val="clear" w:pos="720"/>
          <w:tab w:val="left" w:pos="0" w:leader="none"/>
        </w:tabs>
        <w:spacing w:before="0" w:after="0"/>
        <w:ind w:hanging="283" w:left="709"/>
        <w:rPr/>
      </w:pPr>
      <w:r>
        <w:rPr/>
        <w:t xml:space="preserve">Player skill and game knowledge should be the primary determinants of match outcomes. </w:t>
      </w:r>
    </w:p>
    <w:p>
      <w:pPr>
        <w:pStyle w:val="BodyText"/>
        <w:numPr>
          <w:ilvl w:val="0"/>
          <w:numId w:val="51"/>
        </w:numPr>
        <w:tabs>
          <w:tab w:val="clear" w:pos="720"/>
          <w:tab w:val="left" w:pos="0" w:leader="none"/>
        </w:tabs>
        <w:spacing w:before="0" w:after="0"/>
        <w:ind w:hanging="283" w:left="709"/>
        <w:rPr/>
      </w:pPr>
      <w:r>
        <w:rPr/>
        <w:t xml:space="preserve">No unit, ability, or mechanic should feel arbitrary or beyond the influence of good play. </w:t>
      </w:r>
    </w:p>
    <w:p>
      <w:pPr>
        <w:pStyle w:val="BodyText"/>
        <w:numPr>
          <w:ilvl w:val="0"/>
          <w:numId w:val="51"/>
        </w:numPr>
        <w:tabs>
          <w:tab w:val="clear" w:pos="720"/>
          <w:tab w:val="left" w:pos="0" w:leader="none"/>
        </w:tabs>
        <w:ind w:hanging="283" w:left="709"/>
        <w:rPr/>
      </w:pPr>
      <w:r>
        <w:rPr/>
        <w:t>Quality and consistency take precedence over quantity.</w:t>
      </w:r>
    </w:p>
    <w:p>
      <w:pPr>
        <w:pStyle w:val="Normal"/>
        <w:rPr/>
      </w:pPr>
      <w:r>
        <w:rPr/>
      </w:r>
    </w:p>
    <w:p>
      <w:pPr>
        <w:pStyle w:val="Heading2"/>
        <w:rPr/>
      </w:pPr>
      <w:r>
        <w:rPr/>
        <w:t>6.2 Inspirations and References</w:t>
      </w:r>
    </w:p>
    <w:p>
      <w:pPr>
        <w:pStyle w:val="BodyText"/>
        <w:numPr>
          <w:ilvl w:val="0"/>
          <w:numId w:val="52"/>
        </w:numPr>
        <w:tabs>
          <w:tab w:val="clear" w:pos="720"/>
          <w:tab w:val="left" w:pos="0" w:leader="none"/>
        </w:tabs>
        <w:spacing w:before="0" w:after="0"/>
        <w:ind w:hanging="283" w:left="720"/>
        <w:rPr/>
      </w:pPr>
      <w:r>
        <w:rPr/>
        <w:t xml:space="preserve">Company of Heroes 2 (Relic Entertainment, 2013) — base framework and mechanical foundation. </w:t>
      </w:r>
    </w:p>
    <w:p>
      <w:pPr>
        <w:pStyle w:val="BodyText"/>
        <w:numPr>
          <w:ilvl w:val="0"/>
          <w:numId w:val="53"/>
        </w:numPr>
        <w:tabs>
          <w:tab w:val="clear" w:pos="720"/>
          <w:tab w:val="left" w:pos="0" w:leader="none"/>
        </w:tabs>
        <w:spacing w:before="0" w:after="0"/>
        <w:ind w:hanging="283" w:left="720"/>
        <w:rPr/>
      </w:pPr>
      <w:r>
        <w:rPr/>
        <w:t xml:space="preserve">Historical WWII equipment, doctrine, and unit organisation — reference for unit design and faction identity. </w:t>
      </w:r>
    </w:p>
    <w:p>
      <w:pPr>
        <w:pStyle w:val="BodyText"/>
        <w:numPr>
          <w:ilvl w:val="0"/>
          <w:numId w:val="54"/>
        </w:numPr>
        <w:tabs>
          <w:tab w:val="clear" w:pos="720"/>
          <w:tab w:val="left" w:pos="0" w:leader="none"/>
        </w:tabs>
        <w:spacing w:before="0" w:after="200"/>
        <w:ind w:hanging="283" w:left="720"/>
        <w:rPr/>
      </w:pPr>
      <w:r>
        <w:rPr/>
        <w:t xml:space="preserve">CoH2 community overhaul mods and tuning packs — structural and design inspiration. </w:t>
      </w:r>
    </w:p>
    <w:p>
      <w:pPr>
        <w:pStyle w:val="Heading2"/>
        <w:rPr/>
      </w:pPr>
      <w:r>
        <w:rPr/>
        <w:t>6.3 Glossary / Abbreviations</w:t>
      </w:r>
    </w:p>
    <w:p>
      <w:pPr>
        <w:pStyle w:val="Normal"/>
        <w:widowControl/>
        <w:bidi w:val="0"/>
        <w:spacing w:lineRule="auto" w:line="276" w:before="0" w:after="200"/>
        <w:jc w:val="left"/>
        <w:rPr/>
      </w:pPr>
      <w:r>
        <w:rPr/>
        <w:t>See Section 1.3.</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000000"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000000"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000000"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000000"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000000"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000000"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000000" w:themeFill="text1" w:themeFillShade="99"/>
      </w:tcPr>
    </w:tblStylePr>
    <w:tblStylePr w:type="firstCol">
      <w:rPr>
        <w:color w:val="000000"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000000" w:themeColor="background1"/>
      </w:rPr>
      <w:tblPr/>
      <w:tcPr>
        <w:tcBorders>
          <w:bottom w:val="single" w:color="FFFFFF" w:themeColor="background1" w:sz="12" w:space="0"/>
        </w:tcBorders>
        <w:shd w:val="clear" w:color="auto" w:fill="664E82" w:themeFill="accent4" w:themeFillShade="cc"/>
      </w:tcPr>
    </w:tblStylePr>
    <w:tblStylePr w:type="lastRow">
      <w:rPr>
        <w:b/>
        <w:bCs/>
        <w:color w:val="000000"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000000" w:themeColor="background1"/>
      </w:rPr>
      <w:tblPr/>
      <w:tcPr>
        <w:tcBorders>
          <w:bottom w:val="single" w:color="FFFFFF" w:themeColor="background1" w:sz="12" w:space="0"/>
        </w:tcBorders>
        <w:shd w:val="clear" w:color="auto" w:fill="7E9C40" w:themeFill="accent3" w:themeFillShade="cc"/>
      </w:tcPr>
    </w:tblStylePr>
    <w:tblStylePr w:type="lastRow">
      <w:rPr>
        <w:b/>
        <w:bCs/>
        <w:color w:val="00000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000000" w:themeColor="background1"/>
      </w:rPr>
      <w:tblPr/>
      <w:tcPr>
        <w:tcBorders>
          <w:bottom w:val="single" w:color="FFFFFF" w:themeColor="background1" w:sz="12" w:space="0"/>
        </w:tcBorders>
        <w:shd w:val="clear" w:color="auto" w:fill="F2730A" w:themeFill="accent6" w:themeFillShade="cc"/>
      </w:tcPr>
    </w:tblStylePr>
    <w:tblStylePr w:type="lastRow">
      <w:rPr>
        <w:b/>
        <w:bCs/>
        <w:color w:val="000000"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000000" w:themeColor="background1"/>
      </w:rPr>
      <w:tblPr/>
      <w:tcPr>
        <w:tcBorders>
          <w:bottom w:val="single" w:color="FFFFFF" w:themeColor="background1" w:sz="12" w:space="0"/>
        </w:tcBorders>
        <w:shd w:val="clear" w:color="auto" w:fill="348DA5" w:themeFill="accent5" w:themeFillShade="cc"/>
      </w:tcPr>
    </w:tblStylePr>
    <w:tblStylePr w:type="lastRow">
      <w:rPr>
        <w:b/>
        <w:bCs/>
        <w:color w:val="000000"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000000" w:themeColor="background1"/>
      </w:rPr>
      <w:tblPr/>
      <w:tcPr>
        <w:shd w:val="clear" w:color="auto" w:fill="000000" w:themeFill="text1" w:themeFillShade="bf"/>
      </w:tcPr>
    </w:tblStylePr>
    <w:tblStylePr w:type="lastCol">
      <w:rPr>
        <w:color w:val="000000"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Application>LibreOffice/25.8.5.2$Windows_X86_64 LibreOffice_project/9c8b85f387cc00a89945a79c9e6239f32e450ac2</Application>
  <AppVersion>15.0000</AppVersion>
  <Pages>8</Pages>
  <Words>1740</Words>
  <Characters>9922</Characters>
  <CharactersWithSpaces>11527</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2026-04-21T15:17:46Z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