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r/>
        <w:br/>
        <w:br/>
        <w:br/>
      </w:r>
    </w:p>
    <w:p>
      <w:pPr>
        <w:pStyle w:val="Normal"/>
        <w:jc w:val="center"/>
        <w:rPr/>
      </w:pPr>
      <w:r>
        <w:rPr>
          <w:b/>
          <w:sz w:val="56"/>
        </w:rPr>
        <w:t>Tuning Pack Requirements Specification</w:t>
      </w:r>
    </w:p>
    <w:p>
      <w:pPr>
        <w:pStyle w:val="Normal"/>
        <w:jc w:val="center"/>
        <w:rPr/>
      </w:pPr>
      <w:r>
        <w:rPr>
          <w:sz w:val="36"/>
        </w:rPr>
        <w:t>for</w:t>
        <w:br/>
        <w:br/>
      </w:r>
      <w:r>
        <w:rPr>
          <w:b/>
          <w:bCs/>
          <w:sz w:val="80"/>
          <w:szCs w:val="80"/>
        </w:rPr>
        <w:t>COH2: DEFIANCE</w:t>
      </w:r>
    </w:p>
    <w:p>
      <w:pPr>
        <w:pStyle w:val="Normal"/>
        <w:rPr/>
      </w:pPr>
      <w:r>
        <w:rPr/>
        <w:br/>
        <w:br/>
        <w:br/>
      </w:r>
    </w:p>
    <w:p>
      <w:pPr>
        <w:pStyle w:val="Normal"/>
        <w:jc w:val="center"/>
        <w:rPr/>
      </w:pPr>
      <w:r>
        <w:rPr/>
        <w:t>Version 1.0 Approved</w:t>
        <w:br/>
        <w:t>Prepared by: “Ribs”</w:t>
        <w:br/>
        <w:t>Team Defiance</w:t>
        <w:br/>
        <w:t>Date: 8</w:t>
      </w:r>
      <w:r>
        <w:rPr>
          <w:vertAlign w:val="superscript"/>
        </w:rPr>
        <w:t xml:space="preserve">th </w:t>
      </w:r>
      <w:r>
        <w:rPr/>
        <w:t>August, 2025</w:t>
      </w:r>
    </w:p>
    <w:p>
      <w:pPr>
        <w:pStyle w:val="Normal"/>
        <w:rPr/>
      </w:pPr>
      <w:r>
        <w:rPr/>
      </w:r>
      <w:r>
        <w:br w:type="page"/>
      </w:r>
    </w:p>
    <w:p>
      <w:pPr>
        <w:pStyle w:val="Heading1"/>
        <w:spacing w:before="0" w:after="0"/>
        <w:rPr/>
      </w:pPr>
      <w:r>
        <w:rPr/>
        <w:t>1. Introduction</w:t>
      </w:r>
    </w:p>
    <w:p>
      <w:pPr>
        <w:pStyle w:val="Heading2"/>
        <w:rPr/>
      </w:pPr>
      <w:r>
        <w:rPr/>
        <w:t>1.1 Purpose</w:t>
      </w:r>
    </w:p>
    <w:p>
      <w:pPr>
        <w:pStyle w:val="BodyText"/>
        <w:spacing w:before="0" w:after="200"/>
        <w:rPr/>
      </w:pPr>
      <w:r>
        <w:rPr/>
        <w:t>CoH2: Defiance is a squad-based real-time strategy modification for Company of Heroes 2, designed to offer a fresh but familiar battlefield experience. It preserves the core identity of CoH2 while reworking its balance, abilities, and gameplay flow to address the shortcomings of the base game.</w:t>
      </w:r>
    </w:p>
    <w:p>
      <w:pPr>
        <w:pStyle w:val="BodyText"/>
        <w:spacing w:before="0" w:after="200"/>
        <w:rPr/>
      </w:pPr>
      <w:r>
        <w:rPr/>
        <w:t>The purpose of this document is to provide a high-level overview of the project in a structured format, defining its scope, goals, design rules, and non-functional requirements. This ensures consistency in both development and presentation, while serving as a reference point for the team and the wider community.</w:t>
      </w:r>
    </w:p>
    <w:p>
      <w:pPr>
        <w:pStyle w:val="Heading2"/>
        <w:rPr/>
      </w:pPr>
      <w:r>
        <w:rPr/>
        <w:t>1.2 Scope</w:t>
      </w:r>
    </w:p>
    <w:p>
      <w:pPr>
        <w:pStyle w:val="BodyText"/>
        <w:spacing w:before="0" w:after="200"/>
        <w:rPr/>
      </w:pPr>
      <w:r>
        <w:rPr/>
        <w:t>CoH2: Defiance is set in an alternate 1946–47 timeline, a narrative framework that justifies certain late-war prototypes and fictional designs appearing alongside historical equipment. The setting exists to serve gameplay rather than to tell a historical story.</w:t>
      </w:r>
    </w:p>
    <w:p>
      <w:pPr>
        <w:pStyle w:val="BodyText"/>
        <w:numPr>
          <w:ilvl w:val="0"/>
          <w:numId w:val="7"/>
        </w:numPr>
        <w:tabs>
          <w:tab w:val="clear" w:pos="720"/>
          <w:tab w:val="left" w:pos="0" w:leader="none"/>
        </w:tabs>
        <w:spacing w:before="0" w:after="0"/>
        <w:ind w:hanging="283" w:left="709"/>
        <w:rPr/>
      </w:pPr>
      <w:r>
        <w:rPr/>
        <w:t xml:space="preserve">Core gameplay remains grounded in CoH2's squad-based RTS mechanics. </w:t>
      </w:r>
    </w:p>
    <w:p>
      <w:pPr>
        <w:pStyle w:val="BodyText"/>
        <w:numPr>
          <w:ilvl w:val="0"/>
          <w:numId w:val="7"/>
        </w:numPr>
        <w:tabs>
          <w:tab w:val="clear" w:pos="720"/>
          <w:tab w:val="left" w:pos="0" w:leader="none"/>
        </w:tabs>
        <w:spacing w:before="0" w:after="0"/>
        <w:ind w:hanging="283" w:left="709"/>
        <w:rPr/>
      </w:pPr>
      <w:r>
        <w:rPr/>
        <w:t xml:space="preserve">Continuity is emphasized: players familiar with CoH2 should transition into Defiance smoothly without relearning the entire game. </w:t>
      </w:r>
    </w:p>
    <w:p>
      <w:pPr>
        <w:pStyle w:val="BodyText"/>
        <w:numPr>
          <w:ilvl w:val="0"/>
          <w:numId w:val="7"/>
        </w:numPr>
        <w:tabs>
          <w:tab w:val="clear" w:pos="720"/>
          <w:tab w:val="left" w:pos="0" w:leader="none"/>
        </w:tabs>
        <w:spacing w:before="0" w:after="0"/>
        <w:ind w:hanging="283" w:left="709"/>
        <w:rPr/>
      </w:pPr>
      <w:r>
        <w:rPr/>
        <w:t xml:space="preserve">New content includes units, abilities, and upgrade systems designed for strategic depth and faction variety. </w:t>
      </w:r>
    </w:p>
    <w:p>
      <w:pPr>
        <w:pStyle w:val="BodyText"/>
        <w:numPr>
          <w:ilvl w:val="0"/>
          <w:numId w:val="7"/>
        </w:numPr>
        <w:tabs>
          <w:tab w:val="clear" w:pos="720"/>
          <w:tab w:val="left" w:pos="0" w:leader="none"/>
        </w:tabs>
        <w:ind w:hanging="283" w:left="709"/>
        <w:rPr/>
      </w:pPr>
      <w:r>
        <w:rPr/>
        <w:t>Philosophy emphasizes consistency and balance over historical accuracy, ensuring every faction has the tools to compete on equal footing.</w:t>
      </w:r>
    </w:p>
    <w:p>
      <w:pPr>
        <w:pStyle w:val="Normal"/>
        <w:rPr/>
      </w:pPr>
      <w:r>
        <w:rPr/>
      </w:r>
    </w:p>
    <w:p>
      <w:pPr>
        <w:pStyle w:val="Heading2"/>
        <w:rPr/>
      </w:pPr>
      <w:r>
        <w:rPr/>
        <w:t>1.3 Definitions, Acronyms, and Abbreviations</w:t>
      </w:r>
    </w:p>
    <w:p>
      <w:pPr>
        <w:pStyle w:val="Normal"/>
        <w:rPr/>
      </w:pPr>
      <w:r>
        <w:rPr/>
        <w:t>The following terms are specific to Defiance and will be defined collaboratively by the team:</w:t>
      </w:r>
    </w:p>
    <w:tbl>
      <w:tblPr>
        <w:tblW w:w="8640" w:type="dxa"/>
        <w:jc w:val="center"/>
        <w:tblInd w:w="0" w:type="dxa"/>
        <w:tblLayout w:type="fixed"/>
        <w:tblCellMar>
          <w:top w:w="0" w:type="dxa"/>
          <w:left w:w="0" w:type="dxa"/>
          <w:bottom w:w="0" w:type="dxa"/>
          <w:right w:w="0" w:type="dxa"/>
        </w:tblCellMar>
      </w:tblPr>
      <w:tblGrid>
        <w:gridCol w:w="2160"/>
        <w:gridCol w:w="3284"/>
        <w:gridCol w:w="1036"/>
        <w:gridCol w:w="2160"/>
      </w:tblGrid>
      <w:tr>
        <w:trPr/>
        <w:tc>
          <w:tcPr>
            <w:tcW w:w="2160" w:type="dxa"/>
            <w:tcBorders>
              <w:top w:val="single" w:sz="16" w:space="0" w:color="000000"/>
              <w:bottom w:val="single" w:sz="6" w:space="0" w:color="000000"/>
            </w:tcBorders>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Term</w:t>
            </w:r>
          </w:p>
        </w:tc>
        <w:tc>
          <w:tcPr>
            <w:tcW w:w="3284" w:type="dxa"/>
            <w:tcBorders>
              <w:top w:val="single" w:sz="16" w:space="0" w:color="000000"/>
              <w:bottom w:val="single" w:sz="6" w:space="0" w:color="000000"/>
            </w:tcBorders>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Definition</w:t>
            </w:r>
          </w:p>
        </w:tc>
        <w:tc>
          <w:tcPr>
            <w:tcW w:w="1036" w:type="dxa"/>
            <w:tcBorders>
              <w:top w:val="single" w:sz="16" w:space="0" w:color="000000"/>
              <w:bottom w:val="single" w:sz="6" w:space="0" w:color="000000"/>
            </w:tcBorders>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Type</w:t>
            </w:r>
          </w:p>
        </w:tc>
        <w:tc>
          <w:tcPr>
            <w:tcW w:w="2160" w:type="dxa"/>
            <w:tcBorders>
              <w:top w:val="single" w:sz="16" w:space="0" w:color="000000"/>
              <w:bottom w:val="single" w:sz="6" w:space="0" w:color="000000"/>
            </w:tcBorders>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Alias</w:t>
            </w:r>
          </w:p>
        </w:tc>
      </w:tr>
      <w:tr>
        <w:trPr/>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Vanilla</w:t>
            </w:r>
          </w:p>
        </w:tc>
        <w:tc>
          <w:tcPr>
            <w:tcW w:w="3284" w:type="dxa"/>
            <w:tcBorders>
              <w:bottom w:val="single" w:sz="6" w:space="0" w:color="999999"/>
            </w:tcBorders>
            <w:shd w:fill="EEEEEE" w:val="clear"/>
            <w:vAlign w:val="center"/>
          </w:tcPr>
          <w:p>
            <w:pPr>
              <w:pStyle w:val="TableContents"/>
              <w:spacing w:before="0" w:after="200"/>
              <w:jc w:val="center"/>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The base Company of Heroes 2 game, unmodified.</w:t>
            </w:r>
          </w:p>
        </w:tc>
        <w:tc>
          <w:tcPr>
            <w:tcW w:w="1036"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Noun</w:t>
            </w:r>
          </w:p>
        </w:tc>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VCoH</w:t>
            </w:r>
          </w:p>
        </w:tc>
      </w:tr>
      <w:tr>
        <w:trPr>
          <w:trHeight w:val="2397" w:hRule="atLeast"/>
        </w:trPr>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Tuning Pack</w:t>
            </w:r>
          </w:p>
        </w:tc>
        <w:tc>
          <w:tcPr>
            <w:tcW w:w="3284" w:type="dxa"/>
            <w:tcBorders>
              <w:bottom w:val="single" w:sz="6" w:space="0" w:color="999999"/>
            </w:tcBorders>
            <w:shd w:fill="EEEEEE" w:val="clear"/>
            <w:vAlign w:val="center"/>
          </w:tcPr>
          <w:p>
            <w:pPr>
              <w:pStyle w:val="TableContents"/>
              <w:spacing w:before="0" w:after="200"/>
              <w:jc w:val="center"/>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Relic Entertainment's official mod support format for CoH2. Limited to modifying unit statistics and icons; all other file types are inaccessible. Defiance operates within this format.</w:t>
            </w:r>
          </w:p>
        </w:tc>
        <w:tc>
          <w:tcPr>
            <w:tcW w:w="1036"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Noun</w:t>
            </w:r>
          </w:p>
        </w:tc>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w:t>
            </w:r>
          </w:p>
        </w:tc>
      </w:tr>
      <w:tr>
        <w:trPr/>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RNG</w:t>
            </w:r>
          </w:p>
        </w:tc>
        <w:tc>
          <w:tcPr>
            <w:tcW w:w="3284" w:type="dxa"/>
            <w:tcBorders>
              <w:bottom w:val="single" w:sz="6" w:space="0" w:color="999999"/>
            </w:tcBorders>
            <w:shd w:fill="EEEEEE" w:val="clear"/>
            <w:vAlign w:val="center"/>
          </w:tcPr>
          <w:p>
            <w:pPr>
              <w:pStyle w:val="TableContents"/>
              <w:spacing w:before="0" w:after="200"/>
              <w:jc w:val="center"/>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Random Number Generation. Refers to the random elements that influence combat outcomes such as scatter, accuracy rolls, reload time, weapon cooldown and weapon burst duration.</w:t>
            </w:r>
          </w:p>
        </w:tc>
        <w:tc>
          <w:tcPr>
            <w:tcW w:w="1036"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Acronym</w:t>
            </w:r>
          </w:p>
        </w:tc>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w:t>
            </w:r>
          </w:p>
        </w:tc>
      </w:tr>
      <w:tr>
        <w:trPr/>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Target Size</w:t>
            </w:r>
          </w:p>
        </w:tc>
        <w:tc>
          <w:tcPr>
            <w:tcW w:w="3284" w:type="dxa"/>
            <w:tcBorders>
              <w:bottom w:val="single" w:sz="6" w:space="0" w:color="999999"/>
            </w:tcBorders>
            <w:shd w:fill="EEEEEE" w:val="clear"/>
            <w:vAlign w:val="center"/>
          </w:tcPr>
          <w:p>
            <w:pPr>
              <w:pStyle w:val="TableContents"/>
              <w:spacing w:before="0" w:after="200"/>
              <w:jc w:val="center"/>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A multiplier applied to incoming fire that determines how likely a unit is to be hit. Higher target size means the unit is easier to hit.</w:t>
            </w:r>
          </w:p>
        </w:tc>
        <w:tc>
          <w:tcPr>
            <w:tcW w:w="1036"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Noun</w:t>
            </w:r>
          </w:p>
        </w:tc>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Received Accuracy</w:t>
            </w:r>
          </w:p>
        </w:tc>
      </w:tr>
      <w:tr>
        <w:trPr>
          <w:trHeight w:val="600" w:hRule="atLeast"/>
        </w:trPr>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Armor</w:t>
            </w:r>
          </w:p>
        </w:tc>
        <w:tc>
          <w:tcPr>
            <w:tcW w:w="3284" w:type="dxa"/>
            <w:tcBorders>
              <w:bottom w:val="single" w:sz="6" w:space="0" w:color="999999"/>
            </w:tcBorders>
            <w:shd w:fill="EEEEEE" w:val="clear"/>
            <w:vAlign w:val="center"/>
          </w:tcPr>
          <w:p>
            <w:pPr>
              <w:pStyle w:val="TableContents"/>
              <w:spacing w:before="0" w:after="200"/>
              <w:jc w:val="center"/>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A unit's resistance to incoming damage. Determines whether an attack penetrates or is deflected.</w:t>
            </w:r>
          </w:p>
        </w:tc>
        <w:tc>
          <w:tcPr>
            <w:tcW w:w="1036"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Noun</w:t>
            </w:r>
          </w:p>
        </w:tc>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w:t>
            </w:r>
          </w:p>
        </w:tc>
      </w:tr>
      <w:tr>
        <w:trPr>
          <w:trHeight w:val="603" w:hRule="atLeast"/>
        </w:trPr>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Penetration</w:t>
            </w:r>
          </w:p>
        </w:tc>
        <w:tc>
          <w:tcPr>
            <w:tcW w:w="3284" w:type="dxa"/>
            <w:tcBorders>
              <w:bottom w:val="single" w:sz="6" w:space="0" w:color="999999"/>
            </w:tcBorders>
            <w:shd w:fill="EEEEEE" w:val="clear"/>
            <w:vAlign w:val="center"/>
          </w:tcPr>
          <w:p>
            <w:pPr>
              <w:pStyle w:val="TableContents"/>
              <w:spacing w:before="0" w:after="200"/>
              <w:jc w:val="center"/>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The ability of a projectile to overcome a target's armor value. A successful penetration deals full damage; a failure results in a deflection.</w:t>
            </w:r>
          </w:p>
        </w:tc>
        <w:tc>
          <w:tcPr>
            <w:tcW w:w="1036"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Noun</w:t>
            </w:r>
          </w:p>
        </w:tc>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w:t>
            </w:r>
          </w:p>
        </w:tc>
      </w:tr>
      <w:tr>
        <w:trPr>
          <w:trHeight w:val="603" w:hRule="atLeast"/>
        </w:trPr>
        <w:tc>
          <w:tcPr>
            <w:tcW w:w="2160" w:type="dxa"/>
            <w:tcBorders>
              <w:bottom w:val="single" w:sz="6" w:space="0" w:color="999999"/>
            </w:tcBorders>
            <w:shd w:fill="EEEEEE" w:val="clear"/>
            <w:vAlign w:val="center"/>
          </w:tcPr>
          <w:p>
            <w:pPr>
              <w:pStyle w:val="TableContents"/>
              <w:spacing w:before="0" w:after="200"/>
              <w:jc w:val="center"/>
              <w:rPr/>
            </w:pPr>
            <w:r>
              <w:rPr/>
              <w:t>Deflection Damage</w:t>
            </w:r>
          </w:p>
        </w:tc>
        <w:tc>
          <w:tcPr>
            <w:tcW w:w="3284" w:type="dxa"/>
            <w:tcBorders>
              <w:bottom w:val="single" w:sz="6" w:space="0" w:color="999999"/>
            </w:tcBorders>
            <w:shd w:fill="EEEEEE" w:val="clear"/>
            <w:vAlign w:val="center"/>
          </w:tcPr>
          <w:p>
            <w:pPr>
              <w:pStyle w:val="TableContents"/>
              <w:spacing w:before="0" w:after="200"/>
              <w:jc w:val="center"/>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The percentage of a weapon's base damage applied to a target when a penetration check fails. Rather than dealing zero damage on a failed penetration, the attack deals a reduced amount determined by the deflection damage value.</w:t>
            </w:r>
          </w:p>
        </w:tc>
        <w:tc>
          <w:tcPr>
            <w:tcW w:w="1036" w:type="dxa"/>
            <w:tcBorders>
              <w:bottom w:val="single" w:sz="6" w:space="0" w:color="999999"/>
            </w:tcBorders>
            <w:shd w:fill="EEEEEE" w:val="clear"/>
            <w:vAlign w:val="center"/>
          </w:tcPr>
          <w:p>
            <w:pPr>
              <w:pStyle w:val="TableContents"/>
              <w:spacing w:before="0" w:after="200"/>
              <w:jc w:val="center"/>
              <w:rPr/>
            </w:pPr>
            <w:r>
              <w:rPr/>
              <w:t>Noun</w:t>
            </w:r>
          </w:p>
        </w:tc>
        <w:tc>
          <w:tcPr>
            <w:tcW w:w="2160" w:type="dxa"/>
            <w:tcBorders>
              <w:bottom w:val="single" w:sz="6" w:space="0" w:color="999999"/>
            </w:tcBorders>
            <w:shd w:fill="EEEEEE" w:val="clear"/>
            <w:vAlign w:val="center"/>
          </w:tcPr>
          <w:p>
            <w:pPr>
              <w:pStyle w:val="TableContents"/>
              <w:spacing w:before="0" w:after="200"/>
              <w:jc w:val="center"/>
              <w:rPr/>
            </w:pPr>
            <w:r>
              <w:rPr/>
              <w:t>Deflection, Deflect</w:t>
            </w:r>
          </w:p>
        </w:tc>
      </w:tr>
      <w:tr>
        <w:trPr>
          <w:trHeight w:val="3629" w:hRule="atLeast"/>
        </w:trPr>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Criticals</w:t>
            </w:r>
          </w:p>
        </w:tc>
        <w:tc>
          <w:tcPr>
            <w:tcW w:w="3284" w:type="dxa"/>
            <w:tcBorders>
              <w:bottom w:val="single" w:sz="6" w:space="0" w:color="999999"/>
            </w:tcBorders>
            <w:shd w:fill="EEEEEE" w:val="clear"/>
            <w:vAlign w:val="center"/>
          </w:tcPr>
          <w:p>
            <w:pPr>
              <w:pStyle w:val="TableContents"/>
              <w:spacing w:before="0" w:after="200"/>
              <w:jc w:val="center"/>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Negative status effects applied to a unit as a result of combat. Can be ephemeral, resolving after a short duration, or persistent, remaining until the unit is repaired or otherwise addressed. Examples include engine damage, main gun destruction, or crew shocked.</w:t>
            </w:r>
          </w:p>
        </w:tc>
        <w:tc>
          <w:tcPr>
            <w:tcW w:w="1036"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Noun</w:t>
            </w:r>
          </w:p>
        </w:tc>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Crits</w:t>
            </w:r>
          </w:p>
        </w:tc>
      </w:tr>
      <w:tr>
        <w:trPr/>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Accuracy</w:t>
            </w:r>
          </w:p>
        </w:tc>
        <w:tc>
          <w:tcPr>
            <w:tcW w:w="3284" w:type="dxa"/>
            <w:tcBorders>
              <w:bottom w:val="single" w:sz="6" w:space="0" w:color="999999"/>
            </w:tcBorders>
            <w:shd w:fill="EEEEEE" w:val="clear"/>
            <w:vAlign w:val="center"/>
          </w:tcPr>
          <w:p>
            <w:pPr>
              <w:pStyle w:val="TableContents"/>
              <w:spacing w:before="0" w:after="200"/>
              <w:jc w:val="center"/>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The likelihood of a unit's attack connecting with its target.</w:t>
            </w:r>
          </w:p>
        </w:tc>
        <w:tc>
          <w:tcPr>
            <w:tcW w:w="1036"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Noun</w:t>
            </w:r>
          </w:p>
        </w:tc>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w:t>
            </w:r>
          </w:p>
        </w:tc>
      </w:tr>
      <w:tr>
        <w:trPr>
          <w:trHeight w:val="2222" w:hRule="atLeast"/>
        </w:trPr>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Moving Accuracy</w:t>
            </w:r>
          </w:p>
        </w:tc>
        <w:tc>
          <w:tcPr>
            <w:tcW w:w="3284" w:type="dxa"/>
            <w:tcBorders>
              <w:bottom w:val="single" w:sz="6" w:space="0" w:color="999999"/>
            </w:tcBorders>
            <w:shd w:fill="EEEEEE" w:val="clear"/>
            <w:vAlign w:val="center"/>
          </w:tcPr>
          <w:p>
            <w:pPr>
              <w:pStyle w:val="TableContents"/>
              <w:spacing w:before="0" w:after="200"/>
              <w:jc w:val="center"/>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A modifier applied to a unit's base accuracy while in motion. Expressed as a multiplier of the unit's stationary accuracy.</w:t>
            </w:r>
          </w:p>
        </w:tc>
        <w:tc>
          <w:tcPr>
            <w:tcW w:w="1036"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Noun</w:t>
            </w:r>
          </w:p>
        </w:tc>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w:t>
            </w:r>
          </w:p>
        </w:tc>
      </w:tr>
      <w:tr>
        <w:trPr/>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Burst Duration</w:t>
            </w:r>
          </w:p>
        </w:tc>
        <w:tc>
          <w:tcPr>
            <w:tcW w:w="3284" w:type="dxa"/>
            <w:tcBorders>
              <w:bottom w:val="single" w:sz="6" w:space="0" w:color="999999"/>
            </w:tcBorders>
            <w:shd w:fill="EEEEEE" w:val="clear"/>
            <w:vAlign w:val="center"/>
          </w:tcPr>
          <w:p>
            <w:pPr>
              <w:pStyle w:val="TableContents"/>
              <w:spacing w:before="0" w:after="200"/>
              <w:jc w:val="center"/>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The length of time a weapon fires in a single burst before pausing to reload or reacquire a target.</w:t>
            </w:r>
          </w:p>
        </w:tc>
        <w:tc>
          <w:tcPr>
            <w:tcW w:w="1036"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Noun</w:t>
            </w:r>
          </w:p>
        </w:tc>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Burst</w:t>
            </w:r>
          </w:p>
        </w:tc>
      </w:tr>
      <w:tr>
        <w:trPr>
          <w:trHeight w:val="459" w:hRule="atLeast"/>
        </w:trPr>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AoE</w:t>
            </w:r>
          </w:p>
        </w:tc>
        <w:tc>
          <w:tcPr>
            <w:tcW w:w="3284" w:type="dxa"/>
            <w:tcBorders>
              <w:bottom w:val="single" w:sz="6" w:space="0" w:color="999999"/>
            </w:tcBorders>
            <w:shd w:fill="EEEEEE" w:val="clear"/>
            <w:vAlign w:val="center"/>
          </w:tcPr>
          <w:p>
            <w:pPr>
              <w:pStyle w:val="TableContents"/>
              <w:spacing w:before="0" w:after="200"/>
              <w:jc w:val="center"/>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Area of Effect. Refers to attacks that deal damage across a radius rather than to a single target.</w:t>
            </w:r>
          </w:p>
        </w:tc>
        <w:tc>
          <w:tcPr>
            <w:tcW w:w="1036"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Acronym</w:t>
            </w:r>
          </w:p>
        </w:tc>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w:t>
            </w:r>
          </w:p>
        </w:tc>
      </w:tr>
      <w:tr>
        <w:trPr/>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AoE Penetration</w:t>
            </w:r>
          </w:p>
        </w:tc>
        <w:tc>
          <w:tcPr>
            <w:tcW w:w="3284" w:type="dxa"/>
            <w:tcBorders>
              <w:bottom w:val="single" w:sz="6" w:space="0" w:color="999999"/>
            </w:tcBorders>
            <w:shd w:fill="EEEEEE" w:val="clear"/>
            <w:vAlign w:val="center"/>
          </w:tcPr>
          <w:p>
            <w:pPr>
              <w:pStyle w:val="TableContents"/>
              <w:spacing w:before="0" w:after="200"/>
              <w:jc w:val="center"/>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The penetration value applied to area of effect damage against armored targets. Determines whether an armored unit within an AoE radius takes full damage or deflection damage, using the same pass/fail penetration system as direct fire attacks.</w:t>
            </w:r>
          </w:p>
        </w:tc>
        <w:tc>
          <w:tcPr>
            <w:tcW w:w="1036"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Noun</w:t>
            </w:r>
          </w:p>
        </w:tc>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w:t>
            </w:r>
          </w:p>
        </w:tc>
      </w:tr>
      <w:tr>
        <w:trPr/>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Super Unit</w:t>
            </w:r>
          </w:p>
        </w:tc>
        <w:tc>
          <w:tcPr>
            <w:tcW w:w="3284" w:type="dxa"/>
            <w:tcBorders>
              <w:bottom w:val="single" w:sz="6" w:space="0" w:color="999999"/>
            </w:tcBorders>
            <w:shd w:fill="EEEEEE" w:val="clear"/>
            <w:vAlign w:val="center"/>
          </w:tcPr>
          <w:p>
            <w:pPr>
              <w:pStyle w:val="TableContents"/>
              <w:spacing w:before="0" w:after="200"/>
              <w:jc w:val="center"/>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A unit classification applied to high-cost, late-game units with a field presence limit of one per player at any given time. Super Units are doctrine locked and are not available in every match. Despite their combat capabilities, Super Units are subject to the same counter system as all other units in Defiance, with both soft and hard counters available to opposing players.</w:t>
            </w:r>
          </w:p>
        </w:tc>
        <w:tc>
          <w:tcPr>
            <w:tcW w:w="1036"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Noun</w:t>
            </w:r>
          </w:p>
        </w:tc>
        <w:tc>
          <w:tcPr>
            <w:tcW w:w="2160" w:type="dxa"/>
            <w:tcBorders>
              <w:bottom w:val="single" w:sz="6" w:space="0" w:color="999999"/>
            </w:tcBorders>
            <w:shd w:fill="EEEEEE" w:val="clear"/>
            <w:vAlign w:val="center"/>
          </w:tcPr>
          <w:p>
            <w:pPr>
              <w:pStyle w:val="TableContents"/>
              <w:spacing w:before="0" w:after="200"/>
              <w:jc w:val="center"/>
              <w:rPr/>
            </w:pPr>
            <w:r>
              <w:rPr>
                <w:rFonts w:ascii="Liberation Serif" w:hAnsi="Liberation Serif"/>
                <w:b w:val="false"/>
                <w:bCs w:val="false"/>
                <w:i w:val="false"/>
                <w:iCs w:val="false"/>
                <w:strike w:val="false"/>
                <w:dstrike w:val="false"/>
                <w:outline w:val="false"/>
                <w:shadow w:val="false"/>
                <w:color w:val="000000"/>
                <w:sz w:val="24"/>
                <w:szCs w:val="24"/>
                <w:u w:val="none"/>
              </w:rPr>
              <w:t>-</w:t>
            </w:r>
          </w:p>
        </w:tc>
      </w:tr>
    </w:tbl>
    <w:p>
      <w:pPr>
        <w:pStyle w:val="Normal"/>
        <w:rPr/>
      </w:pPr>
      <w:r>
        <w:rPr/>
      </w:r>
    </w:p>
    <w:p>
      <w:pPr>
        <w:pStyle w:val="Heading1"/>
        <w:rPr/>
      </w:pPr>
      <w:r>
        <w:rPr/>
        <w:t>2. Overall Description</w:t>
      </w:r>
    </w:p>
    <w:p>
      <w:pPr>
        <w:pStyle w:val="Heading2"/>
        <w:rPr/>
      </w:pPr>
      <w:r>
        <w:rPr/>
        <w:t>2.1 Product Perspective</w:t>
      </w:r>
    </w:p>
    <w:p>
      <w:pPr>
        <w:pStyle w:val="BodyText"/>
        <w:spacing w:before="0" w:after="200"/>
        <w:rPr/>
      </w:pPr>
      <w:r>
        <w:rPr/>
        <w:t>CoH2: Defiance is a tuning pack–style modification built on the Company of Heroes 2 framework. It operates within the constraints of the CoH2 tuning pack format, modifying unit statistics, abilities, and upgrade systems without altering core game modes or engine-level functionality.</w:t>
      </w:r>
    </w:p>
    <w:p>
      <w:pPr>
        <w:pStyle w:val="BodyText"/>
        <w:spacing w:before="0" w:after="200"/>
        <w:rPr/>
      </w:pPr>
      <w:r>
        <w:rPr/>
        <w:t>The mod functions as a comprehensive balance and design overhaul rather than a total conversion. Core visual assets, game modes, and mechanical systems inherited from CoH2 remain intact. All modifications are confined to unit definitions, weapon statistics, ability parameters, and localization strings.</w:t>
      </w:r>
    </w:p>
    <w:p>
      <w:pPr>
        <w:pStyle w:val="BodyText"/>
        <w:spacing w:before="0" w:after="200"/>
        <w:rPr/>
      </w:pPr>
      <w:r>
        <w:rPr/>
        <w:t>An alternate 1946–47 timeline serves as a narrative framework to justify select fictional and late-war unit designs. This setting does not alter the fundamental gameplay systems inherited from CoH2.</w:t>
      </w:r>
    </w:p>
    <w:p>
      <w:pPr>
        <w:pStyle w:val="Heading2"/>
        <w:rPr/>
      </w:pPr>
      <w:r>
        <w:rPr/>
        <w:t>2.2 Product Features</w:t>
      </w:r>
    </w:p>
    <w:p>
      <w:pPr>
        <w:pStyle w:val="BodyText"/>
        <w:numPr>
          <w:ilvl w:val="0"/>
          <w:numId w:val="8"/>
        </w:numPr>
        <w:tabs>
          <w:tab w:val="clear" w:pos="720"/>
          <w:tab w:val="left" w:pos="0" w:leader="none"/>
        </w:tabs>
        <w:spacing w:before="0" w:after="0"/>
        <w:ind w:hanging="283" w:left="720"/>
        <w:rPr/>
      </w:pPr>
      <w:r>
        <w:rPr>
          <w:rStyle w:val="Strong"/>
        </w:rPr>
        <w:t>Faction System:</w:t>
      </w:r>
      <w:r>
        <w:rPr/>
        <w:t xml:space="preserve"> Five playable factions, each with distinct unit rosters, abilities, and playstyles. </w:t>
      </w:r>
    </w:p>
    <w:p>
      <w:pPr>
        <w:pStyle w:val="BodyText"/>
        <w:numPr>
          <w:ilvl w:val="0"/>
          <w:numId w:val="9"/>
        </w:numPr>
        <w:tabs>
          <w:tab w:val="clear" w:pos="720"/>
          <w:tab w:val="left" w:pos="0" w:leader="none"/>
        </w:tabs>
        <w:spacing w:before="0" w:after="0"/>
        <w:ind w:hanging="283" w:left="720"/>
        <w:rPr/>
      </w:pPr>
      <w:r>
        <w:rPr>
          <w:rStyle w:val="Strong"/>
        </w:rPr>
        <w:t>Doctrine System:</w:t>
      </w:r>
      <w:r>
        <w:rPr/>
        <w:t xml:space="preserve"> A standalone doctrine system replacing the vanilla commander model. Each faction has access to 4 doctrines at launch, with additional doctrines planned as post-launch additions. </w:t>
      </w:r>
    </w:p>
    <w:p>
      <w:pPr>
        <w:pStyle w:val="BodyText"/>
        <w:numPr>
          <w:ilvl w:val="0"/>
          <w:numId w:val="10"/>
        </w:numPr>
        <w:tabs>
          <w:tab w:val="clear" w:pos="720"/>
          <w:tab w:val="left" w:pos="0" w:leader="none"/>
        </w:tabs>
        <w:spacing w:before="0" w:after="0"/>
        <w:ind w:hanging="283" w:left="720"/>
        <w:rPr/>
      </w:pPr>
      <w:r>
        <w:rPr>
          <w:rStyle w:val="Strong"/>
        </w:rPr>
        <w:t>Unit Balance:</w:t>
      </w:r>
      <w:r>
        <w:rPr/>
        <w:t xml:space="preserve"> All unit statistics including weapon damage, accuracy, and armor values have been reworked from vanilla baselines. </w:t>
      </w:r>
    </w:p>
    <w:p>
      <w:pPr>
        <w:pStyle w:val="BodyText"/>
        <w:numPr>
          <w:ilvl w:val="0"/>
          <w:numId w:val="11"/>
        </w:numPr>
        <w:tabs>
          <w:tab w:val="clear" w:pos="720"/>
          <w:tab w:val="left" w:pos="0" w:leader="none"/>
        </w:tabs>
        <w:spacing w:before="0" w:after="0"/>
        <w:ind w:hanging="283" w:left="720"/>
        <w:rPr/>
      </w:pPr>
      <w:r>
        <w:rPr>
          <w:rStyle w:val="Strong"/>
        </w:rPr>
        <w:t>Ability System:</w:t>
      </w:r>
      <w:r>
        <w:rPr/>
        <w:t xml:space="preserve"> Units feature new and reworked abilities replacing or supplementing vanilla functionality. </w:t>
      </w:r>
    </w:p>
    <w:p>
      <w:pPr>
        <w:pStyle w:val="BodyText"/>
        <w:numPr>
          <w:ilvl w:val="0"/>
          <w:numId w:val="12"/>
        </w:numPr>
        <w:tabs>
          <w:tab w:val="clear" w:pos="720"/>
          <w:tab w:val="left" w:pos="0" w:leader="none"/>
        </w:tabs>
        <w:spacing w:before="0" w:after="0"/>
        <w:ind w:hanging="283" w:left="720"/>
        <w:rPr/>
      </w:pPr>
      <w:r>
        <w:rPr>
          <w:rStyle w:val="Strong"/>
        </w:rPr>
        <w:t>RNG Reduction:</w:t>
      </w:r>
      <w:r>
        <w:rPr/>
        <w:t xml:space="preserve"> Random elements such as vehicle criticals and explosive damage variance have been streamlined or removed. </w:t>
      </w:r>
    </w:p>
    <w:p>
      <w:pPr>
        <w:pStyle w:val="BodyText"/>
        <w:numPr>
          <w:ilvl w:val="0"/>
          <w:numId w:val="13"/>
        </w:numPr>
        <w:tabs>
          <w:tab w:val="clear" w:pos="720"/>
          <w:tab w:val="left" w:pos="0" w:leader="none"/>
        </w:tabs>
        <w:spacing w:before="0" w:after="0"/>
        <w:ind w:hanging="283" w:left="720"/>
        <w:rPr/>
      </w:pPr>
      <w:r>
        <w:rPr>
          <w:rStyle w:val="Strong"/>
        </w:rPr>
        <w:t>Upgrade System:</w:t>
      </w:r>
      <w:r>
        <w:rPr/>
        <w:t xml:space="preserve"> Unit upgrade paths have been reworked to provide distinct strategic choices. </w:t>
      </w:r>
    </w:p>
    <w:p>
      <w:pPr>
        <w:pStyle w:val="Heading2"/>
        <w:rPr/>
      </w:pPr>
      <w:r>
        <w:rPr/>
        <w:t>2.3 User Classes and Characteristics</w:t>
      </w:r>
    </w:p>
    <w:p>
      <w:pPr>
        <w:pStyle w:val="BodyText"/>
        <w:numPr>
          <w:ilvl w:val="0"/>
          <w:numId w:val="14"/>
        </w:numPr>
        <w:tabs>
          <w:tab w:val="clear" w:pos="720"/>
          <w:tab w:val="left" w:pos="0" w:leader="none"/>
        </w:tabs>
        <w:spacing w:before="0" w:after="0"/>
        <w:ind w:hanging="283" w:left="720"/>
        <w:rPr/>
      </w:pPr>
      <w:r>
        <w:rPr>
          <w:rStyle w:val="Strong"/>
        </w:rPr>
        <w:t>Casual Players:</w:t>
      </w:r>
      <w:r>
        <w:rPr/>
        <w:t xml:space="preserve"> Familiar with CoH2 or RTS games in general. Seeking a fresh experience without a steep relearning curve. Expected to engage primarily with the default faction rosters and base doctrine options. </w:t>
      </w:r>
    </w:p>
    <w:p>
      <w:pPr>
        <w:pStyle w:val="BodyText"/>
        <w:numPr>
          <w:ilvl w:val="0"/>
          <w:numId w:val="15"/>
        </w:numPr>
        <w:tabs>
          <w:tab w:val="clear" w:pos="720"/>
          <w:tab w:val="left" w:pos="0" w:leader="none"/>
        </w:tabs>
        <w:spacing w:before="0" w:after="0"/>
        <w:ind w:hanging="283" w:left="720"/>
        <w:rPr/>
      </w:pPr>
      <w:r>
        <w:rPr>
          <w:rStyle w:val="Strong"/>
        </w:rPr>
        <w:t>Competitive Players:</w:t>
      </w:r>
      <w:r>
        <w:rPr/>
        <w:t xml:space="preserve"> Experienced CoH2 players seeking deeper strategic options and a balanced alternative to the vanilla meta. Expected to engage extensively with the doctrine system and faction matchups. </w:t>
      </w:r>
    </w:p>
    <w:p>
      <w:pPr>
        <w:pStyle w:val="BodyText"/>
        <w:numPr>
          <w:ilvl w:val="0"/>
          <w:numId w:val="16"/>
        </w:numPr>
        <w:tabs>
          <w:tab w:val="clear" w:pos="720"/>
          <w:tab w:val="left" w:pos="0" w:leader="none"/>
        </w:tabs>
        <w:spacing w:before="0" w:after="200"/>
        <w:ind w:hanging="283" w:left="720"/>
        <w:rPr/>
      </w:pPr>
      <w:r>
        <w:rPr>
          <w:rStyle w:val="Strong"/>
        </w:rPr>
        <w:t>Modding Community:</w:t>
      </w:r>
      <w:r>
        <w:rPr/>
        <w:t xml:space="preserve"> Players and developers familiar with CoH2's tuning pack format. May reference this document for structural and design inspiration. </w:t>
      </w:r>
    </w:p>
    <w:p>
      <w:pPr>
        <w:pStyle w:val="Heading2"/>
        <w:rPr/>
      </w:pPr>
      <w:r>
        <w:rPr/>
        <w:t>2.4 Operating Environment</w:t>
      </w:r>
    </w:p>
    <w:p>
      <w:pPr>
        <w:pStyle w:val="BodyText"/>
        <w:numPr>
          <w:ilvl w:val="0"/>
          <w:numId w:val="17"/>
        </w:numPr>
        <w:tabs>
          <w:tab w:val="clear" w:pos="720"/>
          <w:tab w:val="left" w:pos="0" w:leader="none"/>
        </w:tabs>
        <w:spacing w:before="0" w:after="0"/>
        <w:ind w:hanging="283" w:left="720"/>
        <w:rPr/>
      </w:pPr>
      <w:r>
        <w:rPr>
          <w:rStyle w:val="Strong"/>
        </w:rPr>
        <w:t>Base Game:</w:t>
      </w:r>
      <w:r>
        <w:rPr/>
        <w:t xml:space="preserve"> Company of Heroes 2 (Relic Entertainment, 2013). </w:t>
      </w:r>
    </w:p>
    <w:p>
      <w:pPr>
        <w:pStyle w:val="BodyText"/>
        <w:numPr>
          <w:ilvl w:val="0"/>
          <w:numId w:val="18"/>
        </w:numPr>
        <w:tabs>
          <w:tab w:val="clear" w:pos="720"/>
          <w:tab w:val="left" w:pos="0" w:leader="none"/>
        </w:tabs>
        <w:spacing w:before="0" w:after="0"/>
        <w:ind w:hanging="283" w:left="720"/>
        <w:rPr/>
      </w:pPr>
      <w:r>
        <w:rPr>
          <w:rStyle w:val="Strong"/>
        </w:rPr>
        <w:t>Platform:</w:t>
      </w:r>
      <w:r>
        <w:rPr/>
        <w:t xml:space="preserve"> PC (Windows). </w:t>
      </w:r>
    </w:p>
    <w:p>
      <w:pPr>
        <w:pStyle w:val="BodyText"/>
        <w:numPr>
          <w:ilvl w:val="0"/>
          <w:numId w:val="19"/>
        </w:numPr>
        <w:tabs>
          <w:tab w:val="clear" w:pos="720"/>
          <w:tab w:val="left" w:pos="0" w:leader="none"/>
        </w:tabs>
        <w:spacing w:before="0" w:after="0"/>
        <w:ind w:hanging="283" w:left="720"/>
        <w:rPr/>
      </w:pPr>
      <w:r>
        <w:rPr>
          <w:rStyle w:val="Strong"/>
        </w:rPr>
        <w:t>Distribution:</w:t>
      </w:r>
      <w:r>
        <w:rPr/>
        <w:t xml:space="preserve"> Steam Workshop. </w:t>
      </w:r>
    </w:p>
    <w:p>
      <w:pPr>
        <w:pStyle w:val="BodyText"/>
        <w:numPr>
          <w:ilvl w:val="0"/>
          <w:numId w:val="20"/>
        </w:numPr>
        <w:tabs>
          <w:tab w:val="clear" w:pos="720"/>
          <w:tab w:val="left" w:pos="0" w:leader="none"/>
        </w:tabs>
        <w:spacing w:before="0" w:after="0"/>
        <w:ind w:hanging="283" w:left="720"/>
        <w:rPr/>
      </w:pPr>
      <w:r>
        <w:rPr>
          <w:rStyle w:val="Strong"/>
        </w:rPr>
        <w:t>Mod Format:</w:t>
      </w:r>
      <w:r>
        <w:rPr/>
        <w:t xml:space="preserve"> Tuning Pack. Modifies unit statistics, ability parameters, weapon definitions, and localization strings. Does not alter core game modes, engine files, or base game assets. </w:t>
      </w:r>
    </w:p>
    <w:p>
      <w:pPr>
        <w:pStyle w:val="BodyText"/>
        <w:numPr>
          <w:ilvl w:val="0"/>
          <w:numId w:val="21"/>
        </w:numPr>
        <w:tabs>
          <w:tab w:val="clear" w:pos="720"/>
          <w:tab w:val="left" w:pos="0" w:leader="none"/>
        </w:tabs>
        <w:spacing w:before="0" w:after="0"/>
        <w:ind w:hanging="283" w:left="720"/>
        <w:rPr/>
      </w:pPr>
      <w:r>
        <w:rPr>
          <w:rStyle w:val="Strong"/>
        </w:rPr>
        <w:t>Multiplayer Compatibility:</w:t>
      </w:r>
      <w:r>
        <w:rPr/>
        <w:t xml:space="preserve"> Compatible with all players who have the mod active via Steam Workshop subscription. Incompatible with other tuning packs running simultaneously. </w:t>
      </w:r>
    </w:p>
    <w:p>
      <w:pPr>
        <w:pStyle w:val="BodyText"/>
        <w:numPr>
          <w:ilvl w:val="0"/>
          <w:numId w:val="22"/>
        </w:numPr>
        <w:tabs>
          <w:tab w:val="clear" w:pos="720"/>
          <w:tab w:val="left" w:pos="0" w:leader="none"/>
        </w:tabs>
        <w:spacing w:before="0" w:after="200"/>
        <w:ind w:hanging="283" w:left="720"/>
        <w:rPr/>
      </w:pPr>
      <w:r>
        <w:rPr>
          <w:rStyle w:val="Strong"/>
        </w:rPr>
        <w:t>Skin Pack Compatibility:</w:t>
      </w:r>
      <w:r>
        <w:rPr/>
        <w:t xml:space="preserve"> Custom skin packs are supported and can be used alongside Defiance without conflict. </w:t>
      </w:r>
    </w:p>
    <w:p>
      <w:pPr>
        <w:pStyle w:val="Heading2"/>
        <w:rPr/>
      </w:pPr>
      <w:r>
        <w:rPr/>
        <w:t>2.5 Design Constraints</w:t>
      </w:r>
    </w:p>
    <w:p>
      <w:pPr>
        <w:pStyle w:val="BodyText"/>
        <w:numPr>
          <w:ilvl w:val="0"/>
          <w:numId w:val="23"/>
        </w:numPr>
        <w:tabs>
          <w:tab w:val="clear" w:pos="720"/>
          <w:tab w:val="left" w:pos="0" w:leader="none"/>
        </w:tabs>
        <w:spacing w:before="0" w:after="0"/>
        <w:ind w:hanging="283" w:left="720"/>
        <w:rPr/>
      </w:pPr>
      <w:r>
        <w:rPr>
          <w:rStyle w:val="Strong"/>
        </w:rPr>
        <w:t>Format Limitations:</w:t>
      </w:r>
      <w:r>
        <w:rPr/>
        <w:t xml:space="preserve"> As a tuning pack, Defiance is restricted to modifying unit statistics, ability parameters, weapon definitions, and localization strings. Custom models, textures, and engine-level changes are outside the scope of the format. </w:t>
      </w:r>
    </w:p>
    <w:p>
      <w:pPr>
        <w:pStyle w:val="BodyText"/>
        <w:numPr>
          <w:ilvl w:val="0"/>
          <w:numId w:val="24"/>
        </w:numPr>
        <w:tabs>
          <w:tab w:val="clear" w:pos="720"/>
          <w:tab w:val="left" w:pos="0" w:leader="none"/>
        </w:tabs>
        <w:spacing w:before="0" w:after="0"/>
        <w:ind w:hanging="283" w:left="720"/>
        <w:rPr/>
      </w:pPr>
      <w:r>
        <w:rPr>
          <w:rStyle w:val="Strong"/>
        </w:rPr>
        <w:t>Visual Consistency:</w:t>
      </w:r>
      <w:r>
        <w:rPr/>
        <w:t xml:space="preserve"> All units and abilities must utilise existing CoH2 assets. No custom models or textures may be introduced. </w:t>
      </w:r>
    </w:p>
    <w:p>
      <w:pPr>
        <w:pStyle w:val="BodyText"/>
        <w:numPr>
          <w:ilvl w:val="0"/>
          <w:numId w:val="25"/>
        </w:numPr>
        <w:tabs>
          <w:tab w:val="clear" w:pos="720"/>
          <w:tab w:val="left" w:pos="0" w:leader="none"/>
        </w:tabs>
        <w:spacing w:before="0" w:after="0"/>
        <w:ind w:hanging="283" w:left="720"/>
        <w:rPr/>
      </w:pPr>
      <w:r>
        <w:rPr>
          <w:rStyle w:val="Strong"/>
        </w:rPr>
        <w:t>Accessibility:</w:t>
      </w:r>
      <w:r>
        <w:rPr/>
        <w:t xml:space="preserve"> The mod must remain accessible to players familiar with vanilla CoH2. The learning curve should be shallow enough that experienced CoH2 players can transition without relearning fundamental mechanics. </w:t>
      </w:r>
    </w:p>
    <w:p>
      <w:pPr>
        <w:pStyle w:val="BodyText"/>
        <w:numPr>
          <w:ilvl w:val="0"/>
          <w:numId w:val="26"/>
        </w:numPr>
        <w:tabs>
          <w:tab w:val="clear" w:pos="720"/>
          <w:tab w:val="left" w:pos="0" w:leader="none"/>
        </w:tabs>
        <w:spacing w:before="0" w:after="0"/>
        <w:ind w:hanging="283" w:left="720"/>
        <w:rPr/>
      </w:pPr>
      <w:r>
        <w:rPr>
          <w:rStyle w:val="Strong"/>
        </w:rPr>
        <w:t>Faction Balance:</w:t>
      </w:r>
      <w:r>
        <w:rPr/>
        <w:t xml:space="preserve"> No faction may have a decisive, unavoidable advantage over another. All matchups must have viable counters, both soft and hard. </w:t>
      </w:r>
    </w:p>
    <w:p>
      <w:pPr>
        <w:pStyle w:val="BodyText"/>
        <w:numPr>
          <w:ilvl w:val="0"/>
          <w:numId w:val="27"/>
        </w:numPr>
        <w:tabs>
          <w:tab w:val="clear" w:pos="720"/>
          <w:tab w:val="left" w:pos="0" w:leader="none"/>
        </w:tabs>
        <w:spacing w:before="0" w:after="0"/>
        <w:ind w:hanging="283" w:left="720"/>
        <w:rPr/>
      </w:pPr>
      <w:r>
        <w:rPr>
          <w:rStyle w:val="Strong"/>
        </w:rPr>
        <w:t>RNG Management:</w:t>
      </w:r>
      <w:r>
        <w:rPr/>
        <w:t xml:space="preserve"> Random elements must be preserved to maintain unpredictability, but must not be the primary determining factor in match outcomes. </w:t>
      </w:r>
    </w:p>
    <w:p>
      <w:pPr>
        <w:pStyle w:val="BodyText"/>
        <w:numPr>
          <w:ilvl w:val="0"/>
          <w:numId w:val="28"/>
        </w:numPr>
        <w:tabs>
          <w:tab w:val="clear" w:pos="720"/>
          <w:tab w:val="left" w:pos="0" w:leader="none"/>
        </w:tabs>
        <w:spacing w:before="0" w:after="200"/>
        <w:ind w:hanging="283" w:left="720"/>
        <w:rPr/>
      </w:pPr>
      <w:r>
        <w:rPr>
          <w:rStyle w:val="Strong"/>
        </w:rPr>
        <w:t>Content Scope:</w:t>
      </w:r>
      <w:r>
        <w:rPr/>
        <w:t xml:space="preserve"> Unit rosters are intentionally limited in size. Quality and balance of existing units takes precedence over quantity of new additions. </w:t>
      </w:r>
    </w:p>
    <w:p>
      <w:pPr>
        <w:pStyle w:val="Heading1"/>
        <w:rPr/>
      </w:pPr>
      <w:r>
        <w:rPr/>
        <w:t>3. System Features</w:t>
      </w:r>
    </w:p>
    <w:p>
      <w:pPr>
        <w:pStyle w:val="Heading2"/>
        <w:rPr/>
      </w:pPr>
      <w:r>
        <w:rPr/>
        <w:t>3.1 Global Mechanics</w:t>
      </w:r>
    </w:p>
    <w:p>
      <w:pPr>
        <w:pStyle w:val="BodyText"/>
        <w:spacing w:before="0" w:after="200"/>
        <w:rPr/>
      </w:pPr>
      <w:r>
        <w:rPr>
          <w:rStyle w:val="Strong"/>
        </w:rPr>
        <w:t>3.1.1 Cover System</w:t>
      </w:r>
    </w:p>
    <w:p>
      <w:pPr>
        <w:pStyle w:val="BodyText"/>
        <w:spacing w:before="0" w:after="200"/>
        <w:rPr/>
      </w:pPr>
      <w:r>
        <w:rPr>
          <w:rStyle w:val="Strong"/>
        </w:rPr>
        <w:t>Description</w:t>
      </w:r>
      <w:r>
        <w:rPr/>
        <w:t xml:space="preserve"> Defiance retains the four cover types from vanilla CoH2 — heavy cover (green), light cover (yellow), negative cover (red), and garrison — while modifying several interactions to improve consistency and reduce frustrating mechanics.</w:t>
      </w:r>
    </w:p>
    <w:p>
      <w:pPr>
        <w:pStyle w:val="BodyText"/>
        <w:spacing w:before="0" w:after="200"/>
        <w:rPr/>
      </w:pPr>
      <w:r>
        <w:rPr>
          <w:rStyle w:val="Strong"/>
        </w:rPr>
        <w:t>Inputs</w:t>
      </w:r>
    </w:p>
    <w:p>
      <w:pPr>
        <w:pStyle w:val="BodyText"/>
        <w:numPr>
          <w:ilvl w:val="0"/>
          <w:numId w:val="63"/>
        </w:numPr>
        <w:tabs>
          <w:tab w:val="clear" w:pos="720"/>
          <w:tab w:val="left" w:pos="0" w:leader="none"/>
        </w:tabs>
        <w:spacing w:before="0" w:after="0"/>
        <w:ind w:hanging="283" w:left="709"/>
        <w:rPr/>
      </w:pPr>
      <w:r>
        <w:rPr/>
        <w:t xml:space="preserve">Infantry squad current cover status and cover type. </w:t>
      </w:r>
    </w:p>
    <w:p>
      <w:pPr>
        <w:pStyle w:val="BodyText"/>
        <w:numPr>
          <w:ilvl w:val="0"/>
          <w:numId w:val="63"/>
        </w:numPr>
        <w:tabs>
          <w:tab w:val="clear" w:pos="720"/>
          <w:tab w:val="left" w:pos="0" w:leader="none"/>
        </w:tabs>
        <w:spacing w:before="0" w:after="0"/>
        <w:ind w:hanging="283" w:left="709"/>
        <w:rPr/>
      </w:pPr>
      <w:r>
        <w:rPr/>
        <w:t xml:space="preserve">Direction of incoming attack relative to the cover's protected arc. </w:t>
      </w:r>
    </w:p>
    <w:p>
      <w:pPr>
        <w:pStyle w:val="BodyText"/>
        <w:numPr>
          <w:ilvl w:val="0"/>
          <w:numId w:val="63"/>
        </w:numPr>
        <w:tabs>
          <w:tab w:val="clear" w:pos="720"/>
          <w:tab w:val="left" w:pos="0" w:leader="none"/>
        </w:tabs>
        <w:ind w:hanging="283" w:left="709"/>
        <w:rPr/>
      </w:pPr>
      <w:r>
        <w:rPr/>
        <w:t xml:space="preserve">Incoming attack type — small arms, explosive, or scoped weapon. </w:t>
      </w:r>
    </w:p>
    <w:p>
      <w:pPr>
        <w:pStyle w:val="BodyText"/>
        <w:spacing w:before="0" w:after="200"/>
        <w:rPr/>
      </w:pPr>
      <w:r>
        <w:rPr>
          <w:rStyle w:val="Strong"/>
        </w:rPr>
        <w:t>Processing</w:t>
      </w:r>
    </w:p>
    <w:p>
      <w:pPr>
        <w:pStyle w:val="BodyText"/>
        <w:numPr>
          <w:ilvl w:val="0"/>
          <w:numId w:val="64"/>
        </w:numPr>
        <w:tabs>
          <w:tab w:val="clear" w:pos="720"/>
          <w:tab w:val="left" w:pos="0" w:leader="none"/>
        </w:tabs>
        <w:spacing w:before="0" w:after="0"/>
        <w:ind w:hanging="283" w:left="709"/>
        <w:rPr/>
      </w:pPr>
      <w:r>
        <w:rPr/>
        <w:t xml:space="preserve">The system evaluates the direction of the incoming attack relative to the target unit's cover position. If the attack originates outside the cover's protected arc, the unit is considered flanked and receives no cover benefits, taking full damage. </w:t>
      </w:r>
    </w:p>
    <w:p>
      <w:pPr>
        <w:pStyle w:val="BodyText"/>
        <w:numPr>
          <w:ilvl w:val="0"/>
          <w:numId w:val="64"/>
        </w:numPr>
        <w:tabs>
          <w:tab w:val="clear" w:pos="720"/>
          <w:tab w:val="left" w:pos="0" w:leader="none"/>
        </w:tabs>
        <w:spacing w:before="0" w:after="0"/>
        <w:ind w:hanging="283" w:left="709"/>
        <w:rPr/>
      </w:pPr>
      <w:r>
        <w:rPr/>
        <w:t xml:space="preserve">If a squad is in negative cover, a penalty is applied to their target size, making them easier to hit. </w:t>
      </w:r>
    </w:p>
    <w:p>
      <w:pPr>
        <w:pStyle w:val="BodyText"/>
        <w:numPr>
          <w:ilvl w:val="0"/>
          <w:numId w:val="64"/>
        </w:numPr>
        <w:tabs>
          <w:tab w:val="clear" w:pos="720"/>
          <w:tab w:val="left" w:pos="0" w:leader="none"/>
        </w:tabs>
        <w:spacing w:before="0" w:after="0"/>
        <w:ind w:hanging="283" w:left="709"/>
        <w:rPr/>
      </w:pPr>
      <w:r>
        <w:rPr/>
        <w:t xml:space="preserve">If a squad is in light cover when an explosive detonates, a minor damage reduction modifier is applied before explosive damage is calculated. </w:t>
      </w:r>
    </w:p>
    <w:p>
      <w:pPr>
        <w:pStyle w:val="BodyText"/>
        <w:numPr>
          <w:ilvl w:val="0"/>
          <w:numId w:val="64"/>
        </w:numPr>
        <w:tabs>
          <w:tab w:val="clear" w:pos="720"/>
          <w:tab w:val="left" w:pos="0" w:leader="none"/>
        </w:tabs>
        <w:spacing w:before="0" w:after="0"/>
        <w:ind w:hanging="283" w:left="709"/>
        <w:rPr/>
      </w:pPr>
      <w:r>
        <w:rPr/>
        <w:t xml:space="preserve">Crater cover is omnidirectional and provides its bonus regardless of attack direction. </w:t>
      </w:r>
    </w:p>
    <w:p>
      <w:pPr>
        <w:pStyle w:val="BodyText"/>
        <w:numPr>
          <w:ilvl w:val="0"/>
          <w:numId w:val="64"/>
        </w:numPr>
        <w:tabs>
          <w:tab w:val="clear" w:pos="720"/>
          <w:tab w:val="left" w:pos="0" w:leader="none"/>
        </w:tabs>
        <w:spacing w:before="0" w:after="0"/>
        <w:ind w:hanging="283" w:left="709"/>
        <w:rPr/>
      </w:pPr>
      <w:r>
        <w:rPr/>
        <w:t xml:space="preserve">A broad range of weapons have increased accuracy modifiers against units in cover. </w:t>
      </w:r>
    </w:p>
    <w:p>
      <w:pPr>
        <w:pStyle w:val="BodyText"/>
        <w:numPr>
          <w:ilvl w:val="0"/>
          <w:numId w:val="64"/>
        </w:numPr>
        <w:tabs>
          <w:tab w:val="clear" w:pos="720"/>
          <w:tab w:val="left" w:pos="0" w:leader="none"/>
        </w:tabs>
        <w:ind w:hanging="283" w:left="709"/>
        <w:rPr/>
      </w:pPr>
      <w:r>
        <w:rPr/>
        <w:t xml:space="preserve">Scoped weapons apply both increased accuracy and increased damage modifiers against units in cover. </w:t>
      </w:r>
    </w:p>
    <w:p>
      <w:pPr>
        <w:pStyle w:val="BodyText"/>
        <w:spacing w:before="0" w:after="200"/>
        <w:rPr/>
      </w:pPr>
      <w:r>
        <w:rPr>
          <w:rStyle w:val="Strong"/>
        </w:rPr>
        <w:t>Outputs</w:t>
      </w:r>
    </w:p>
    <w:p>
      <w:pPr>
        <w:pStyle w:val="BodyText"/>
        <w:numPr>
          <w:ilvl w:val="0"/>
          <w:numId w:val="65"/>
        </w:numPr>
        <w:tabs>
          <w:tab w:val="clear" w:pos="720"/>
          <w:tab w:val="left" w:pos="0" w:leader="none"/>
        </w:tabs>
        <w:ind w:hanging="283" w:left="709"/>
        <w:rPr/>
      </w:pPr>
      <w:r>
        <w:rPr/>
        <w:t xml:space="preserve">Incoming damage and accuracy are modified based on cover type, attack direction, and attack type. </w:t>
      </w:r>
    </w:p>
    <w:p>
      <w:pPr>
        <w:pStyle w:val="BodyText"/>
        <w:spacing w:before="0" w:after="200"/>
        <w:rPr/>
      </w:pPr>
      <w:r>
        <w:rPr>
          <w:rStyle w:val="Strong"/>
        </w:rPr>
        <w:t>Deviation from Vanilla</w:t>
      </w:r>
    </w:p>
    <w:p>
      <w:pPr>
        <w:pStyle w:val="BodyText"/>
        <w:numPr>
          <w:ilvl w:val="0"/>
          <w:numId w:val="66"/>
        </w:numPr>
        <w:tabs>
          <w:tab w:val="clear" w:pos="720"/>
          <w:tab w:val="left" w:pos="0" w:leader="none"/>
        </w:tabs>
        <w:spacing w:before="0" w:after="0"/>
        <w:ind w:hanging="283" w:left="709"/>
        <w:rPr/>
      </w:pPr>
      <w:r>
        <w:rPr/>
        <w:t xml:space="preserve">Vanilla negative cover exposes units to greater incoming damage. Defiance reduces this penalty. </w:t>
      </w:r>
    </w:p>
    <w:p>
      <w:pPr>
        <w:pStyle w:val="BodyText"/>
        <w:numPr>
          <w:ilvl w:val="0"/>
          <w:numId w:val="66"/>
        </w:numPr>
        <w:tabs>
          <w:tab w:val="clear" w:pos="720"/>
          <w:tab w:val="left" w:pos="0" w:leader="none"/>
        </w:tabs>
        <w:spacing w:before="0" w:after="0"/>
        <w:ind w:hanging="283" w:left="709"/>
        <w:rPr/>
      </w:pPr>
      <w:r>
        <w:rPr/>
        <w:t xml:space="preserve">Vanilla light cover does not provide explosive damage resistance. Defiance adds a minor resistance modifier. </w:t>
      </w:r>
    </w:p>
    <w:p>
      <w:pPr>
        <w:pStyle w:val="BodyText"/>
        <w:numPr>
          <w:ilvl w:val="0"/>
          <w:numId w:val="66"/>
        </w:numPr>
        <w:tabs>
          <w:tab w:val="clear" w:pos="720"/>
          <w:tab w:val="left" w:pos="0" w:leader="none"/>
        </w:tabs>
        <w:spacing w:before="0" w:after="0"/>
        <w:ind w:hanging="283" w:left="709"/>
        <w:rPr/>
      </w:pPr>
      <w:r>
        <w:rPr/>
        <w:t xml:space="preserve">Vanilla does not apply a damage bonus for scoped weapons against covered targets. Defiance introduces both accuracy and damage bonuses for scoped weapons. </w:t>
      </w:r>
    </w:p>
    <w:p>
      <w:pPr>
        <w:pStyle w:val="BodyText"/>
        <w:numPr>
          <w:ilvl w:val="0"/>
          <w:numId w:val="66"/>
        </w:numPr>
        <w:tabs>
          <w:tab w:val="clear" w:pos="720"/>
          <w:tab w:val="left" w:pos="0" w:leader="none"/>
        </w:tabs>
        <w:ind w:hanging="283" w:left="709"/>
        <w:rPr/>
      </w:pPr>
      <w:r>
        <w:rPr/>
        <w:t>Accuracy modifiers against covered targets have been broadly increased across weapon types compared to vanilla baselines.</w:t>
      </w:r>
    </w:p>
    <w:p>
      <w:pPr>
        <w:pStyle w:val="BodyText"/>
        <w:rPr/>
      </w:pPr>
      <w:r>
        <w:rPr>
          <w:rStyle w:val="Strong"/>
        </w:rPr>
        <w:t>3.1.</w:t>
      </w:r>
      <w:r>
        <w:rPr>
          <w:rStyle w:val="Strong"/>
        </w:rPr>
        <w:t>2</w:t>
      </w:r>
      <w:r>
        <w:rPr>
          <w:rStyle w:val="Strong"/>
        </w:rPr>
        <w:t xml:space="preserve"> Custom Weapon Statistics</w:t>
      </w:r>
    </w:p>
    <w:p>
      <w:pPr>
        <w:pStyle w:val="BodyText"/>
        <w:rPr/>
      </w:pPr>
      <w:r>
        <w:rPr>
          <w:rStyle w:val="Strong"/>
        </w:rPr>
        <w:t>Description</w:t>
      </w:r>
      <w:r>
        <w:rPr/>
        <w:t xml:space="preserve"> All weapons in Defiance use custom statistics tuned for relative faction balance. Two significant systemic changes have been made to weapon behaviour compared to vanilla: light machine gun range performance has been normalised, and accuracy modifiers against cover have been standardised across weapon classes to create a consistent and legible hierarchy of cover effectiveness.</w:t>
      </w:r>
    </w:p>
    <w:p>
      <w:pPr>
        <w:pStyle w:val="BodyText"/>
        <w:rPr/>
      </w:pPr>
      <w:r>
        <w:rPr>
          <w:rStyle w:val="Strong"/>
        </w:rPr>
        <w:t>Inputs</w:t>
      </w:r>
    </w:p>
    <w:p>
      <w:pPr>
        <w:pStyle w:val="BodyText"/>
        <w:numPr>
          <w:ilvl w:val="0"/>
          <w:numId w:val="71"/>
        </w:numPr>
        <w:tabs>
          <w:tab w:val="clear" w:pos="720"/>
          <w:tab w:val="left" w:pos="0" w:leader="none"/>
        </w:tabs>
        <w:spacing w:before="0" w:after="0"/>
        <w:ind w:hanging="283" w:left="709"/>
        <w:rPr/>
      </w:pPr>
      <w:r>
        <w:rPr/>
        <w:t xml:space="preserve">Attacking unit weapon class. </w:t>
      </w:r>
    </w:p>
    <w:p>
      <w:pPr>
        <w:pStyle w:val="BodyText"/>
        <w:numPr>
          <w:ilvl w:val="0"/>
          <w:numId w:val="71"/>
        </w:numPr>
        <w:tabs>
          <w:tab w:val="clear" w:pos="720"/>
          <w:tab w:val="left" w:pos="0" w:leader="none"/>
        </w:tabs>
        <w:ind w:hanging="283" w:left="709"/>
        <w:rPr/>
      </w:pPr>
      <w:r>
        <w:rPr/>
        <w:t xml:space="preserve">Target unit cover status and cover type. </w:t>
      </w:r>
    </w:p>
    <w:p>
      <w:pPr>
        <w:pStyle w:val="BodyText"/>
        <w:rPr/>
      </w:pPr>
      <w:r>
        <w:rPr>
          <w:rStyle w:val="Strong"/>
        </w:rPr>
        <w:t>Processing</w:t>
      </w:r>
    </w:p>
    <w:p>
      <w:pPr>
        <w:pStyle w:val="BodyText"/>
        <w:numPr>
          <w:ilvl w:val="0"/>
          <w:numId w:val="74"/>
        </w:numPr>
        <w:rPr/>
      </w:pPr>
      <w:r>
        <w:rPr/>
        <w:t>Defiance uses vanilla CoH2 damage calculation formulas with custom input values. See Appendix A for the full damage calculation reference.</w:t>
      </w:r>
    </w:p>
    <w:p>
      <w:pPr>
        <w:pStyle w:val="BodyText"/>
        <w:rPr/>
      </w:pPr>
      <w:r>
        <w:rPr>
          <w:rStyle w:val="Strong"/>
        </w:rPr>
        <w:t>Outputs</w:t>
      </w:r>
    </w:p>
    <w:p>
      <w:pPr>
        <w:pStyle w:val="BodyText"/>
        <w:numPr>
          <w:ilvl w:val="0"/>
          <w:numId w:val="72"/>
        </w:numPr>
        <w:tabs>
          <w:tab w:val="clear" w:pos="720"/>
          <w:tab w:val="left" w:pos="0" w:leader="none"/>
        </w:tabs>
        <w:ind w:hanging="283" w:left="709"/>
        <w:rPr/>
      </w:pPr>
      <w:r>
        <w:rPr/>
        <w:t xml:space="preserve">Incoming accuracy and damage are modified based on weapon class, range, and target cover status. </w:t>
      </w:r>
    </w:p>
    <w:p>
      <w:pPr>
        <w:pStyle w:val="BodyText"/>
        <w:rPr/>
      </w:pPr>
      <w:r>
        <w:rPr>
          <w:rStyle w:val="Strong"/>
        </w:rPr>
        <w:t>Cover Accuracy Modifiers vs. Heavy Cover</w:t>
      </w:r>
    </w:p>
    <w:tbl>
      <w:tblPr>
        <w:tblW w:w="3977" w:type="dxa"/>
        <w:jc w:val="left"/>
        <w:tblInd w:w="28" w:type="dxa"/>
        <w:tblLayout w:type="fixed"/>
        <w:tblCellMar>
          <w:top w:w="28" w:type="dxa"/>
          <w:left w:w="28" w:type="dxa"/>
          <w:bottom w:w="28" w:type="dxa"/>
          <w:right w:w="28" w:type="dxa"/>
        </w:tblCellMar>
      </w:tblPr>
      <w:tblGrid>
        <w:gridCol w:w="2124"/>
        <w:gridCol w:w="818"/>
        <w:gridCol w:w="1035"/>
      </w:tblGrid>
      <w:tr>
        <w:trPr>
          <w:tblHeader w:val="true"/>
        </w:trPr>
        <w:tc>
          <w:tcPr>
            <w:tcW w:w="2124" w:type="dxa"/>
            <w:tcBorders/>
            <w:vAlign w:val="center"/>
          </w:tcPr>
          <w:p>
            <w:pPr>
              <w:pStyle w:val="TableHeading"/>
              <w:suppressLineNumbers/>
              <w:spacing w:before="0" w:after="200"/>
              <w:jc w:val="center"/>
              <w:rPr/>
            </w:pPr>
            <w:r>
              <w:rPr/>
              <w:t>Weapon Class</w:t>
            </w:r>
          </w:p>
        </w:tc>
        <w:tc>
          <w:tcPr>
            <w:tcW w:w="818" w:type="dxa"/>
            <w:tcBorders/>
            <w:vAlign w:val="center"/>
          </w:tcPr>
          <w:p>
            <w:pPr>
              <w:pStyle w:val="TableHeading"/>
              <w:suppressLineNumbers/>
              <w:spacing w:before="0" w:after="200"/>
              <w:jc w:val="center"/>
              <w:rPr/>
            </w:pPr>
            <w:r>
              <w:rPr/>
              <w:t>Vanilla</w:t>
            </w:r>
          </w:p>
        </w:tc>
        <w:tc>
          <w:tcPr>
            <w:tcW w:w="1035" w:type="dxa"/>
            <w:tcBorders/>
            <w:vAlign w:val="center"/>
          </w:tcPr>
          <w:p>
            <w:pPr>
              <w:pStyle w:val="TableHeading"/>
              <w:suppressLineNumbers/>
              <w:spacing w:before="0" w:after="200"/>
              <w:jc w:val="center"/>
              <w:rPr/>
            </w:pPr>
            <w:r>
              <w:rPr/>
              <w:t>Defiance</w:t>
            </w:r>
          </w:p>
        </w:tc>
      </w:tr>
      <w:tr>
        <w:trPr/>
        <w:tc>
          <w:tcPr>
            <w:tcW w:w="2124" w:type="dxa"/>
            <w:tcBorders/>
            <w:vAlign w:val="center"/>
          </w:tcPr>
          <w:p>
            <w:pPr>
              <w:pStyle w:val="TableContents"/>
              <w:widowControl w:val="false"/>
              <w:suppressLineNumbers/>
              <w:spacing w:before="0" w:after="200"/>
              <w:rPr/>
            </w:pPr>
            <w:r>
              <w:rPr/>
              <w:t>Bolt-action rifles</w:t>
            </w:r>
          </w:p>
        </w:tc>
        <w:tc>
          <w:tcPr>
            <w:tcW w:w="818" w:type="dxa"/>
            <w:tcBorders/>
            <w:vAlign w:val="center"/>
          </w:tcPr>
          <w:p>
            <w:pPr>
              <w:pStyle w:val="TableContents"/>
              <w:widowControl w:val="false"/>
              <w:suppressLineNumbers/>
              <w:spacing w:before="0" w:after="200"/>
              <w:rPr/>
            </w:pPr>
            <w:r>
              <w:rPr/>
              <w:t>0.7</w:t>
            </w:r>
          </w:p>
        </w:tc>
        <w:tc>
          <w:tcPr>
            <w:tcW w:w="1035" w:type="dxa"/>
            <w:tcBorders/>
            <w:vAlign w:val="center"/>
          </w:tcPr>
          <w:p>
            <w:pPr>
              <w:pStyle w:val="TableContents"/>
              <w:widowControl w:val="false"/>
              <w:suppressLineNumbers/>
              <w:spacing w:before="0" w:after="200"/>
              <w:rPr/>
            </w:pPr>
            <w:r>
              <w:rPr/>
              <w:t>0.5</w:t>
            </w:r>
          </w:p>
        </w:tc>
      </w:tr>
      <w:tr>
        <w:trPr/>
        <w:tc>
          <w:tcPr>
            <w:tcW w:w="2124" w:type="dxa"/>
            <w:tcBorders/>
            <w:vAlign w:val="center"/>
          </w:tcPr>
          <w:p>
            <w:pPr>
              <w:pStyle w:val="TableContents"/>
              <w:widowControl w:val="false"/>
              <w:suppressLineNumbers/>
              <w:spacing w:before="0" w:after="200"/>
              <w:rPr/>
            </w:pPr>
            <w:r>
              <w:rPr/>
              <w:t>Semi-automatic rifles</w:t>
            </w:r>
          </w:p>
        </w:tc>
        <w:tc>
          <w:tcPr>
            <w:tcW w:w="818" w:type="dxa"/>
            <w:tcBorders/>
            <w:vAlign w:val="center"/>
          </w:tcPr>
          <w:p>
            <w:pPr>
              <w:pStyle w:val="TableContents"/>
              <w:widowControl w:val="false"/>
              <w:suppressLineNumbers/>
              <w:spacing w:before="0" w:after="200"/>
              <w:rPr/>
            </w:pPr>
            <w:r>
              <w:rPr/>
              <w:t>0.6</w:t>
            </w:r>
          </w:p>
        </w:tc>
        <w:tc>
          <w:tcPr>
            <w:tcW w:w="1035" w:type="dxa"/>
            <w:tcBorders/>
            <w:vAlign w:val="center"/>
          </w:tcPr>
          <w:p>
            <w:pPr>
              <w:pStyle w:val="TableContents"/>
              <w:widowControl w:val="false"/>
              <w:suppressLineNumbers/>
              <w:spacing w:before="0" w:after="200"/>
              <w:rPr/>
            </w:pPr>
            <w:r>
              <w:rPr/>
              <w:t>0.55</w:t>
            </w:r>
          </w:p>
        </w:tc>
      </w:tr>
      <w:tr>
        <w:trPr/>
        <w:tc>
          <w:tcPr>
            <w:tcW w:w="2124" w:type="dxa"/>
            <w:tcBorders/>
            <w:vAlign w:val="center"/>
          </w:tcPr>
          <w:p>
            <w:pPr>
              <w:pStyle w:val="TableContents"/>
              <w:widowControl w:val="false"/>
              <w:suppressLineNumbers/>
              <w:spacing w:before="0" w:after="200"/>
              <w:rPr/>
            </w:pPr>
            <w:r>
              <w:rPr/>
              <w:t>Light machine guns</w:t>
            </w:r>
          </w:p>
        </w:tc>
        <w:tc>
          <w:tcPr>
            <w:tcW w:w="818" w:type="dxa"/>
            <w:tcBorders/>
            <w:vAlign w:val="center"/>
          </w:tcPr>
          <w:p>
            <w:pPr>
              <w:pStyle w:val="TableContents"/>
              <w:widowControl w:val="false"/>
              <w:suppressLineNumbers/>
              <w:spacing w:before="0" w:after="200"/>
              <w:rPr/>
            </w:pPr>
            <w:r>
              <w:rPr/>
              <w:t>0.5</w:t>
            </w:r>
          </w:p>
        </w:tc>
        <w:tc>
          <w:tcPr>
            <w:tcW w:w="1035" w:type="dxa"/>
            <w:tcBorders/>
            <w:vAlign w:val="center"/>
          </w:tcPr>
          <w:p>
            <w:pPr>
              <w:pStyle w:val="TableContents"/>
              <w:widowControl w:val="false"/>
              <w:suppressLineNumbers/>
              <w:spacing w:before="0" w:after="200"/>
              <w:rPr/>
            </w:pPr>
            <w:r>
              <w:rPr/>
              <w:t>0.6</w:t>
            </w:r>
          </w:p>
        </w:tc>
      </w:tr>
      <w:tr>
        <w:trPr/>
        <w:tc>
          <w:tcPr>
            <w:tcW w:w="2124" w:type="dxa"/>
            <w:tcBorders/>
            <w:vAlign w:val="center"/>
          </w:tcPr>
          <w:p>
            <w:pPr>
              <w:pStyle w:val="TableContents"/>
              <w:widowControl w:val="false"/>
              <w:suppressLineNumbers/>
              <w:spacing w:before="0" w:after="200"/>
              <w:rPr/>
            </w:pPr>
            <w:r>
              <w:rPr/>
              <w:t>Assault rifles</w:t>
            </w:r>
          </w:p>
        </w:tc>
        <w:tc>
          <w:tcPr>
            <w:tcW w:w="818" w:type="dxa"/>
            <w:tcBorders/>
            <w:vAlign w:val="center"/>
          </w:tcPr>
          <w:p>
            <w:pPr>
              <w:pStyle w:val="TableContents"/>
              <w:widowControl w:val="false"/>
              <w:suppressLineNumbers/>
              <w:spacing w:before="0" w:after="200"/>
              <w:rPr/>
            </w:pPr>
            <w:r>
              <w:rPr/>
              <w:t>0.55</w:t>
            </w:r>
          </w:p>
        </w:tc>
        <w:tc>
          <w:tcPr>
            <w:tcW w:w="1035" w:type="dxa"/>
            <w:tcBorders/>
            <w:vAlign w:val="center"/>
          </w:tcPr>
          <w:p>
            <w:pPr>
              <w:pStyle w:val="TableContents"/>
              <w:widowControl w:val="false"/>
              <w:suppressLineNumbers/>
              <w:spacing w:before="0" w:after="200"/>
              <w:rPr/>
            </w:pPr>
            <w:r>
              <w:rPr/>
              <w:t>0.7</w:t>
            </w:r>
          </w:p>
        </w:tc>
      </w:tr>
      <w:tr>
        <w:trPr/>
        <w:tc>
          <w:tcPr>
            <w:tcW w:w="2124" w:type="dxa"/>
            <w:tcBorders/>
            <w:vAlign w:val="center"/>
          </w:tcPr>
          <w:p>
            <w:pPr>
              <w:pStyle w:val="TableContents"/>
              <w:widowControl w:val="false"/>
              <w:suppressLineNumbers/>
              <w:spacing w:before="0" w:after="200"/>
              <w:rPr/>
            </w:pPr>
            <w:r>
              <w:rPr/>
              <w:t>Submachine guns</w:t>
            </w:r>
          </w:p>
        </w:tc>
        <w:tc>
          <w:tcPr>
            <w:tcW w:w="818" w:type="dxa"/>
            <w:tcBorders/>
            <w:vAlign w:val="center"/>
          </w:tcPr>
          <w:p>
            <w:pPr>
              <w:pStyle w:val="TableContents"/>
              <w:widowControl w:val="false"/>
              <w:suppressLineNumbers/>
              <w:spacing w:before="0" w:after="200"/>
              <w:rPr/>
            </w:pPr>
            <w:r>
              <w:rPr/>
              <w:t>0.5</w:t>
            </w:r>
          </w:p>
        </w:tc>
        <w:tc>
          <w:tcPr>
            <w:tcW w:w="1035" w:type="dxa"/>
            <w:tcBorders/>
            <w:vAlign w:val="center"/>
          </w:tcPr>
          <w:p>
            <w:pPr>
              <w:pStyle w:val="TableContents"/>
              <w:widowControl w:val="false"/>
              <w:suppressLineNumbers/>
              <w:spacing w:before="0" w:after="200"/>
              <w:rPr/>
            </w:pPr>
            <w:r>
              <w:rPr/>
              <w:t>0.8</w:t>
            </w:r>
          </w:p>
        </w:tc>
      </w:tr>
    </w:tbl>
    <w:p>
      <w:pPr>
        <w:pStyle w:val="BodyText"/>
        <w:rPr/>
      </w:pPr>
      <w:r>
        <w:rPr>
          <w:rStyle w:val="Emphasis"/>
        </w:rPr>
        <w:t>Heavy cover damage modifier remains 0.5 across all weapon classes. Garrison accuracy modifier is 0.05 higher than heavy cover for all weapon classes.</w:t>
      </w:r>
    </w:p>
    <w:p>
      <w:pPr>
        <w:pStyle w:val="BodyText"/>
        <w:rPr/>
      </w:pPr>
      <w:r>
        <w:rPr>
          <w:rStyle w:val="Strong"/>
        </w:rPr>
        <w:t>Scoped Weapon Modifiers vs. Heavy Cover</w:t>
      </w:r>
    </w:p>
    <w:tbl>
      <w:tblPr>
        <w:tblW w:w="5578" w:type="dxa"/>
        <w:jc w:val="left"/>
        <w:tblInd w:w="28" w:type="dxa"/>
        <w:tblLayout w:type="fixed"/>
        <w:tblCellMar>
          <w:top w:w="28" w:type="dxa"/>
          <w:left w:w="28" w:type="dxa"/>
          <w:bottom w:w="28" w:type="dxa"/>
          <w:right w:w="28" w:type="dxa"/>
        </w:tblCellMar>
      </w:tblPr>
      <w:tblGrid>
        <w:gridCol w:w="3075"/>
        <w:gridCol w:w="817"/>
        <w:gridCol w:w="1686"/>
      </w:tblGrid>
      <w:tr>
        <w:trPr>
          <w:tblHeader w:val="true"/>
        </w:trPr>
        <w:tc>
          <w:tcPr>
            <w:tcW w:w="3075" w:type="dxa"/>
            <w:tcBorders/>
            <w:vAlign w:val="center"/>
          </w:tcPr>
          <w:p>
            <w:pPr>
              <w:pStyle w:val="TableHeading"/>
              <w:suppressLineNumbers/>
              <w:spacing w:before="0" w:after="200"/>
              <w:jc w:val="center"/>
              <w:rPr/>
            </w:pPr>
            <w:r>
              <w:rPr/>
              <w:t>Weapon Class</w:t>
            </w:r>
          </w:p>
        </w:tc>
        <w:tc>
          <w:tcPr>
            <w:tcW w:w="817" w:type="dxa"/>
            <w:tcBorders/>
            <w:vAlign w:val="center"/>
          </w:tcPr>
          <w:p>
            <w:pPr>
              <w:pStyle w:val="TableHeading"/>
              <w:suppressLineNumbers/>
              <w:spacing w:before="0" w:after="200"/>
              <w:jc w:val="center"/>
              <w:rPr/>
            </w:pPr>
            <w:r>
              <w:rPr/>
              <w:t>Vanilla</w:t>
            </w:r>
          </w:p>
        </w:tc>
        <w:tc>
          <w:tcPr>
            <w:tcW w:w="1686" w:type="dxa"/>
            <w:tcBorders/>
            <w:vAlign w:val="center"/>
          </w:tcPr>
          <w:p>
            <w:pPr>
              <w:pStyle w:val="TableHeading"/>
              <w:suppressLineNumbers/>
              <w:spacing w:before="0" w:after="200"/>
              <w:jc w:val="center"/>
              <w:rPr/>
            </w:pPr>
            <w:r>
              <w:rPr/>
              <w:t>Defiance</w:t>
            </w:r>
          </w:p>
        </w:tc>
      </w:tr>
      <w:tr>
        <w:trPr/>
        <w:tc>
          <w:tcPr>
            <w:tcW w:w="3075" w:type="dxa"/>
            <w:tcBorders/>
            <w:vAlign w:val="center"/>
          </w:tcPr>
          <w:p>
            <w:pPr>
              <w:pStyle w:val="TableContents"/>
              <w:widowControl w:val="false"/>
              <w:suppressLineNumbers/>
              <w:spacing w:before="0" w:after="200"/>
              <w:rPr/>
            </w:pPr>
            <w:r>
              <w:rPr/>
              <w:t>Scoped rifles (accuracy)</w:t>
            </w:r>
          </w:p>
        </w:tc>
        <w:tc>
          <w:tcPr>
            <w:tcW w:w="817" w:type="dxa"/>
            <w:tcBorders/>
            <w:vAlign w:val="center"/>
          </w:tcPr>
          <w:p>
            <w:pPr>
              <w:pStyle w:val="TableContents"/>
              <w:widowControl w:val="false"/>
              <w:suppressLineNumbers/>
              <w:spacing w:before="0" w:after="200"/>
              <w:rPr/>
            </w:pPr>
            <w:r>
              <w:rPr/>
              <w:t>0.9</w:t>
            </w:r>
          </w:p>
        </w:tc>
        <w:tc>
          <w:tcPr>
            <w:tcW w:w="1686" w:type="dxa"/>
            <w:tcBorders/>
            <w:vAlign w:val="center"/>
          </w:tcPr>
          <w:p>
            <w:pPr>
              <w:pStyle w:val="TableContents"/>
              <w:widowControl w:val="false"/>
              <w:suppressLineNumbers/>
              <w:spacing w:before="0" w:after="200"/>
              <w:rPr/>
            </w:pPr>
            <w:r>
              <w:rPr/>
              <w:t>0.9 (unchanged)</w:t>
            </w:r>
          </w:p>
        </w:tc>
      </w:tr>
      <w:tr>
        <w:trPr/>
        <w:tc>
          <w:tcPr>
            <w:tcW w:w="3075" w:type="dxa"/>
            <w:tcBorders/>
            <w:vAlign w:val="center"/>
          </w:tcPr>
          <w:p>
            <w:pPr>
              <w:pStyle w:val="TableContents"/>
              <w:widowControl w:val="false"/>
              <w:suppressLineNumbers/>
              <w:spacing w:before="0" w:after="200"/>
              <w:rPr/>
            </w:pPr>
            <w:r>
              <w:rPr/>
              <w:t>Scoped assault rifles (accuracy)</w:t>
            </w:r>
          </w:p>
        </w:tc>
        <w:tc>
          <w:tcPr>
            <w:tcW w:w="817" w:type="dxa"/>
            <w:tcBorders/>
            <w:vAlign w:val="center"/>
          </w:tcPr>
          <w:p>
            <w:pPr>
              <w:pStyle w:val="TableContents"/>
              <w:widowControl w:val="false"/>
              <w:suppressLineNumbers/>
              <w:spacing w:before="0" w:after="200"/>
              <w:rPr/>
            </w:pPr>
            <w:r>
              <w:rPr/>
              <w:t>0.75</w:t>
            </w:r>
          </w:p>
        </w:tc>
        <w:tc>
          <w:tcPr>
            <w:tcW w:w="1686" w:type="dxa"/>
            <w:tcBorders/>
            <w:vAlign w:val="center"/>
          </w:tcPr>
          <w:p>
            <w:pPr>
              <w:pStyle w:val="TableContents"/>
              <w:widowControl w:val="false"/>
              <w:suppressLineNumbers/>
              <w:spacing w:before="0" w:after="200"/>
              <w:rPr/>
            </w:pPr>
            <w:r>
              <w:rPr/>
              <w:t>0.8</w:t>
            </w:r>
          </w:p>
        </w:tc>
      </w:tr>
      <w:tr>
        <w:trPr/>
        <w:tc>
          <w:tcPr>
            <w:tcW w:w="3075" w:type="dxa"/>
            <w:tcBorders/>
            <w:vAlign w:val="center"/>
          </w:tcPr>
          <w:p>
            <w:pPr>
              <w:pStyle w:val="TableContents"/>
              <w:widowControl w:val="false"/>
              <w:suppressLineNumbers/>
              <w:spacing w:before="0" w:after="200"/>
              <w:rPr/>
            </w:pPr>
            <w:r>
              <w:rPr/>
              <w:t>Scoped weapons (damage)</w:t>
            </w:r>
          </w:p>
        </w:tc>
        <w:tc>
          <w:tcPr>
            <w:tcW w:w="817" w:type="dxa"/>
            <w:tcBorders/>
            <w:vAlign w:val="center"/>
          </w:tcPr>
          <w:p>
            <w:pPr>
              <w:pStyle w:val="TableContents"/>
              <w:widowControl w:val="false"/>
              <w:suppressLineNumbers/>
              <w:spacing w:before="0" w:after="200"/>
              <w:rPr/>
            </w:pPr>
            <w:r>
              <w:rPr/>
              <w:t>—</w:t>
            </w:r>
          </w:p>
        </w:tc>
        <w:tc>
          <w:tcPr>
            <w:tcW w:w="1686" w:type="dxa"/>
            <w:tcBorders/>
            <w:vAlign w:val="center"/>
          </w:tcPr>
          <w:p>
            <w:pPr>
              <w:pStyle w:val="TableContents"/>
              <w:widowControl w:val="false"/>
              <w:suppressLineNumbers/>
              <w:spacing w:before="0" w:after="200"/>
              <w:rPr/>
            </w:pPr>
            <w:r>
              <w:rPr/>
              <w:t>applies modifier</w:t>
            </w:r>
          </w:p>
        </w:tc>
      </w:tr>
    </w:tbl>
    <w:p>
      <w:pPr>
        <w:pStyle w:val="BodyText"/>
        <w:rPr/>
      </w:pPr>
      <w:r>
        <w:rPr>
          <w:rStyle w:val="Strong"/>
        </w:rPr>
        <w:t>Deviation from Vanilla</w:t>
      </w:r>
    </w:p>
    <w:p>
      <w:pPr>
        <w:pStyle w:val="BodyText"/>
        <w:numPr>
          <w:ilvl w:val="0"/>
          <w:numId w:val="73"/>
        </w:numPr>
        <w:tabs>
          <w:tab w:val="clear" w:pos="720"/>
          <w:tab w:val="left" w:pos="0" w:leader="none"/>
        </w:tabs>
        <w:spacing w:before="0" w:after="0"/>
        <w:ind w:hanging="283" w:left="709"/>
        <w:rPr/>
      </w:pPr>
      <w:r>
        <w:rPr/>
        <w:t xml:space="preserve">Vanilla does not standardise cover accuracy modifiers by weapon class. Defiance introduces a consistent and legible hierarchy across all weapon types. </w:t>
      </w:r>
    </w:p>
    <w:p>
      <w:pPr>
        <w:pStyle w:val="BodyText"/>
        <w:numPr>
          <w:ilvl w:val="0"/>
          <w:numId w:val="73"/>
        </w:numPr>
        <w:tabs>
          <w:tab w:val="clear" w:pos="720"/>
          <w:tab w:val="left" w:pos="0" w:leader="none"/>
        </w:tabs>
        <w:spacing w:before="0" w:after="0"/>
        <w:ind w:hanging="283" w:left="709"/>
        <w:rPr/>
      </w:pPr>
      <w:r>
        <w:rPr/>
        <w:t xml:space="preserve">Vanilla light machine guns favour long range engagement. Defiance normalises their performance across all ranges. </w:t>
      </w:r>
    </w:p>
    <w:p>
      <w:pPr>
        <w:pStyle w:val="BodyText"/>
        <w:numPr>
          <w:ilvl w:val="0"/>
          <w:numId w:val="73"/>
        </w:numPr>
        <w:tabs>
          <w:tab w:val="clear" w:pos="720"/>
          <w:tab w:val="left" w:pos="0" w:leader="none"/>
        </w:tabs>
        <w:ind w:hanging="283" w:left="709"/>
        <w:rPr/>
      </w:pPr>
      <w:r>
        <w:rPr/>
        <w:t>Vanilla does not apply a damage modifier for scoped weapons against covered targets. Defiance introduces this modifier for both scoped rifles and scoped assault rifles.</w:t>
      </w:r>
    </w:p>
    <w:p>
      <w:pPr>
        <w:pStyle w:val="BodyText"/>
        <w:rPr/>
      </w:pPr>
      <w:r>
        <w:rPr/>
      </w:r>
    </w:p>
    <w:p>
      <w:pPr>
        <w:pStyle w:val="BodyText"/>
        <w:spacing w:before="0" w:after="200"/>
        <w:rPr/>
      </w:pPr>
      <w:r>
        <w:rPr>
          <w:rStyle w:val="Strong"/>
        </w:rPr>
        <w:t>3.1.3 Vehicle Critical Removal</w:t>
      </w:r>
    </w:p>
    <w:p>
      <w:pPr>
        <w:pStyle w:val="BodyText"/>
        <w:spacing w:before="0" w:after="200"/>
        <w:rPr/>
      </w:pPr>
      <w:r>
        <w:rPr>
          <w:rStyle w:val="Strong"/>
        </w:rPr>
        <w:t>Description</w:t>
      </w:r>
      <w:r>
        <w:rPr/>
        <w:t xml:space="preserve"> Defiance removes the RNG-based vehicle critical system inherited from vanilla CoH2. Criticals such as main gun destruction and vehicle abandonment are no longer applied randomly during combat, eliminating a class of outcomes that were determined by chance rather than player decisions.</w:t>
      </w:r>
    </w:p>
    <w:p>
      <w:pPr>
        <w:pStyle w:val="BodyText"/>
        <w:spacing w:before="0" w:after="200"/>
        <w:rPr/>
      </w:pPr>
      <w:r>
        <w:rPr>
          <w:rStyle w:val="Strong"/>
        </w:rPr>
        <w:t>Inputs</w:t>
      </w:r>
    </w:p>
    <w:p>
      <w:pPr>
        <w:pStyle w:val="BodyText"/>
        <w:numPr>
          <w:ilvl w:val="0"/>
          <w:numId w:val="67"/>
        </w:numPr>
        <w:tabs>
          <w:tab w:val="clear" w:pos="720"/>
          <w:tab w:val="left" w:pos="0" w:leader="none"/>
        </w:tabs>
        <w:ind w:hanging="283" w:left="709"/>
        <w:rPr/>
      </w:pPr>
      <w:r>
        <w:rPr/>
        <w:t xml:space="preserve">Vehicle taking damage in combat. </w:t>
      </w:r>
    </w:p>
    <w:p>
      <w:pPr>
        <w:pStyle w:val="BodyText"/>
        <w:spacing w:before="0" w:after="200"/>
        <w:rPr/>
      </w:pPr>
      <w:r>
        <w:rPr>
          <w:rStyle w:val="Strong"/>
        </w:rPr>
        <w:t>Processing</w:t>
      </w:r>
    </w:p>
    <w:p>
      <w:pPr>
        <w:pStyle w:val="BodyText"/>
        <w:numPr>
          <w:ilvl w:val="0"/>
          <w:numId w:val="68"/>
        </w:numPr>
        <w:tabs>
          <w:tab w:val="clear" w:pos="720"/>
          <w:tab w:val="left" w:pos="0" w:leader="none"/>
        </w:tabs>
        <w:spacing w:before="0" w:after="0"/>
        <w:ind w:hanging="283" w:left="709"/>
        <w:rPr/>
      </w:pPr>
      <w:r>
        <w:rPr/>
        <w:t xml:space="preserve">Incoming damage is applied to the vehicle's health pool normally. </w:t>
      </w:r>
    </w:p>
    <w:p>
      <w:pPr>
        <w:pStyle w:val="BodyText"/>
        <w:numPr>
          <w:ilvl w:val="0"/>
          <w:numId w:val="68"/>
        </w:numPr>
        <w:tabs>
          <w:tab w:val="clear" w:pos="720"/>
          <w:tab w:val="left" w:pos="0" w:leader="none"/>
        </w:tabs>
        <w:spacing w:before="0" w:after="0"/>
        <w:ind w:hanging="283" w:left="709"/>
        <w:rPr/>
      </w:pPr>
      <w:r>
        <w:rPr/>
        <w:t xml:space="preserve">No RNG critical check is performed on hit. </w:t>
      </w:r>
    </w:p>
    <w:p>
      <w:pPr>
        <w:pStyle w:val="BodyText"/>
        <w:numPr>
          <w:ilvl w:val="0"/>
          <w:numId w:val="68"/>
        </w:numPr>
        <w:tabs>
          <w:tab w:val="clear" w:pos="720"/>
          <w:tab w:val="left" w:pos="0" w:leader="none"/>
        </w:tabs>
        <w:ind w:hanging="283" w:left="709"/>
        <w:rPr/>
      </w:pPr>
      <w:r>
        <w:rPr/>
        <w:t xml:space="preserve">Main gun destruction and vehicle abandonment criticals are not triggered under any circumstance. </w:t>
      </w:r>
    </w:p>
    <w:p>
      <w:pPr>
        <w:pStyle w:val="BodyText"/>
        <w:spacing w:before="0" w:after="200"/>
        <w:rPr/>
      </w:pPr>
      <w:r>
        <w:rPr>
          <w:rStyle w:val="Strong"/>
        </w:rPr>
        <w:t>Outputs</w:t>
      </w:r>
    </w:p>
    <w:p>
      <w:pPr>
        <w:pStyle w:val="BodyText"/>
        <w:numPr>
          <w:ilvl w:val="0"/>
          <w:numId w:val="69"/>
        </w:numPr>
        <w:tabs>
          <w:tab w:val="clear" w:pos="720"/>
          <w:tab w:val="left" w:pos="0" w:leader="none"/>
        </w:tabs>
        <w:spacing w:before="0" w:after="0"/>
        <w:ind w:hanging="283" w:left="709"/>
        <w:rPr/>
      </w:pPr>
      <w:r>
        <w:rPr/>
        <w:t xml:space="preserve">Vehicle health is reduced by incoming damage. </w:t>
      </w:r>
    </w:p>
    <w:p>
      <w:pPr>
        <w:pStyle w:val="BodyText"/>
        <w:numPr>
          <w:ilvl w:val="0"/>
          <w:numId w:val="69"/>
        </w:numPr>
        <w:tabs>
          <w:tab w:val="clear" w:pos="720"/>
          <w:tab w:val="left" w:pos="0" w:leader="none"/>
        </w:tabs>
        <w:ind w:hanging="283" w:left="709"/>
        <w:rPr/>
      </w:pPr>
      <w:r>
        <w:rPr/>
        <w:t xml:space="preserve">No random critical effects are applied. </w:t>
      </w:r>
    </w:p>
    <w:p>
      <w:pPr>
        <w:pStyle w:val="BodyText"/>
        <w:spacing w:before="0" w:after="200"/>
        <w:rPr/>
      </w:pPr>
      <w:r>
        <w:rPr>
          <w:rStyle w:val="Strong"/>
        </w:rPr>
        <w:t>Deviation from Vanilla</w:t>
      </w:r>
    </w:p>
    <w:p>
      <w:pPr>
        <w:pStyle w:val="BodyText"/>
        <w:numPr>
          <w:ilvl w:val="0"/>
          <w:numId w:val="70"/>
        </w:numPr>
        <w:tabs>
          <w:tab w:val="clear" w:pos="720"/>
          <w:tab w:val="left" w:pos="0" w:leader="none"/>
        </w:tabs>
        <w:spacing w:before="0" w:after="0"/>
        <w:ind w:hanging="283" w:left="709"/>
        <w:rPr/>
      </w:pPr>
      <w:r>
        <w:rPr/>
        <w:t xml:space="preserve">Vanilla CoH2 performs a random critical check on vehicle hits, with outcomes including main gun destruction and vehicle abandonment. </w:t>
      </w:r>
    </w:p>
    <w:p>
      <w:pPr>
        <w:pStyle w:val="BodyText"/>
        <w:numPr>
          <w:ilvl w:val="0"/>
          <w:numId w:val="70"/>
        </w:numPr>
        <w:tabs>
          <w:tab w:val="clear" w:pos="720"/>
          <w:tab w:val="left" w:pos="0" w:leader="none"/>
        </w:tabs>
        <w:spacing w:before="0" w:after="0"/>
        <w:ind w:hanging="283" w:left="709"/>
        <w:rPr/>
      </w:pPr>
      <w:r>
        <w:rPr/>
        <w:t xml:space="preserve">Main gun destruction in vanilla can render a vehicle combat ineffective regardless of remaining health, determined entirely by RNG. </w:t>
      </w:r>
    </w:p>
    <w:p>
      <w:pPr>
        <w:pStyle w:val="BodyText"/>
        <w:numPr>
          <w:ilvl w:val="0"/>
          <w:numId w:val="70"/>
        </w:numPr>
        <w:tabs>
          <w:tab w:val="clear" w:pos="720"/>
          <w:tab w:val="left" w:pos="0" w:leader="none"/>
        </w:tabs>
        <w:spacing w:before="0" w:after="0"/>
        <w:ind w:hanging="283" w:left="709"/>
        <w:rPr/>
      </w:pPr>
      <w:r>
        <w:rPr/>
        <w:t xml:space="preserve">Vehicle abandonment in vanilla allows the enemy to capture and field the abandoned vehicle against its original owner. </w:t>
      </w:r>
    </w:p>
    <w:p>
      <w:pPr>
        <w:pStyle w:val="BodyText"/>
        <w:numPr>
          <w:ilvl w:val="0"/>
          <w:numId w:val="70"/>
        </w:numPr>
        <w:tabs>
          <w:tab w:val="clear" w:pos="720"/>
          <w:tab w:val="left" w:pos="0" w:leader="none"/>
        </w:tabs>
        <w:ind w:hanging="283" w:left="709"/>
        <w:rPr/>
      </w:pPr>
      <w:r>
        <w:rPr/>
        <w:t>Both criticals have been removed entirely in Defiance.</w:t>
      </w:r>
    </w:p>
    <w:p>
      <w:pPr>
        <w:pStyle w:val="Normal"/>
        <w:rPr/>
      </w:pPr>
      <w:r>
        <w:rPr/>
      </w:r>
    </w:p>
    <w:p>
      <w:pPr>
        <w:pStyle w:val="BodyText"/>
        <w:rPr/>
      </w:pPr>
      <w:r>
        <w:rPr>
          <w:rStyle w:val="Strong"/>
        </w:rPr>
        <w:t>3.1.4 Snare System</w:t>
      </w:r>
    </w:p>
    <w:p>
      <w:pPr>
        <w:pStyle w:val="BodyText"/>
        <w:rPr/>
      </w:pPr>
      <w:r>
        <w:rPr>
          <w:rStyle w:val="Strong"/>
        </w:rPr>
        <w:t>Description</w:t>
      </w:r>
      <w:r>
        <w:rPr/>
        <w:t xml:space="preserve"> Infantry anti-tank abilities such as HEAT grenades and Panzerfaust shots apply a critical to vehicles on hit, reducing their movement speed temporarily. Defiance modifies the vanilla snare system in three ways: snare effects are guaranteed on hit regardless of target health, the health threshold for persistent engine damage has been lowered, and a stacking condition has been introduced for repeated hits. AT satchels are exempt from these rules and always inflict persistent engine damage on detonation regardless of target health.</w:t>
      </w:r>
    </w:p>
    <w:p>
      <w:pPr>
        <w:pStyle w:val="BodyText"/>
        <w:rPr/>
      </w:pPr>
      <w:r>
        <w:rPr>
          <w:rStyle w:val="Strong"/>
        </w:rPr>
        <w:t>Inputs</w:t>
      </w:r>
    </w:p>
    <w:p>
      <w:pPr>
        <w:pStyle w:val="BodyText"/>
        <w:numPr>
          <w:ilvl w:val="0"/>
          <w:numId w:val="59"/>
        </w:numPr>
        <w:tabs>
          <w:tab w:val="clear" w:pos="720"/>
          <w:tab w:val="left" w:pos="0" w:leader="none"/>
        </w:tabs>
        <w:spacing w:before="0" w:after="0"/>
        <w:ind w:hanging="283" w:left="709"/>
        <w:rPr/>
      </w:pPr>
      <w:r>
        <w:rPr/>
        <w:t xml:space="preserve">A snare-capable ability connects with a vehicle target. </w:t>
      </w:r>
    </w:p>
    <w:p>
      <w:pPr>
        <w:pStyle w:val="BodyText"/>
        <w:numPr>
          <w:ilvl w:val="0"/>
          <w:numId w:val="59"/>
        </w:numPr>
        <w:tabs>
          <w:tab w:val="clear" w:pos="720"/>
          <w:tab w:val="left" w:pos="0" w:leader="none"/>
        </w:tabs>
        <w:spacing w:before="0" w:after="0"/>
        <w:ind w:hanging="283" w:left="709"/>
        <w:rPr/>
      </w:pPr>
      <w:r>
        <w:rPr/>
        <w:t xml:space="preserve">Target vehicle current health value. </w:t>
      </w:r>
    </w:p>
    <w:p>
      <w:pPr>
        <w:pStyle w:val="BodyText"/>
        <w:numPr>
          <w:ilvl w:val="0"/>
          <w:numId w:val="59"/>
        </w:numPr>
        <w:tabs>
          <w:tab w:val="clear" w:pos="720"/>
          <w:tab w:val="left" w:pos="0" w:leader="none"/>
        </w:tabs>
        <w:spacing w:before="0" w:after="0"/>
        <w:ind w:hanging="283" w:left="709"/>
        <w:rPr/>
      </w:pPr>
      <w:r>
        <w:rPr/>
        <w:t xml:space="preserve">Existing snare status on target vehicle. </w:t>
      </w:r>
    </w:p>
    <w:p>
      <w:pPr>
        <w:pStyle w:val="BodyText"/>
        <w:numPr>
          <w:ilvl w:val="0"/>
          <w:numId w:val="59"/>
        </w:numPr>
        <w:tabs>
          <w:tab w:val="clear" w:pos="720"/>
          <w:tab w:val="left" w:pos="0" w:leader="none"/>
        </w:tabs>
        <w:ind w:hanging="283" w:left="709"/>
        <w:rPr/>
      </w:pPr>
      <w:r>
        <w:rPr/>
        <w:t xml:space="preserve">Ability type — standard snare or AT satchel. </w:t>
      </w:r>
    </w:p>
    <w:p>
      <w:pPr>
        <w:pStyle w:val="BodyText"/>
        <w:rPr/>
      </w:pPr>
      <w:r>
        <w:rPr>
          <w:rStyle w:val="Strong"/>
        </w:rPr>
        <w:t>Processing</w:t>
      </w:r>
    </w:p>
    <w:p>
      <w:pPr>
        <w:pStyle w:val="BodyText"/>
        <w:numPr>
          <w:ilvl w:val="0"/>
          <w:numId w:val="60"/>
        </w:numPr>
        <w:tabs>
          <w:tab w:val="clear" w:pos="720"/>
          <w:tab w:val="left" w:pos="0" w:leader="none"/>
        </w:tabs>
        <w:spacing w:before="0" w:after="0"/>
        <w:ind w:hanging="283" w:left="709"/>
        <w:rPr/>
      </w:pPr>
      <w:r>
        <w:rPr/>
        <w:t xml:space="preserve">On hit, temporary engine damage is applied to the target regardless of current health. </w:t>
      </w:r>
    </w:p>
    <w:p>
      <w:pPr>
        <w:pStyle w:val="BodyText"/>
        <w:numPr>
          <w:ilvl w:val="0"/>
          <w:numId w:val="60"/>
        </w:numPr>
        <w:tabs>
          <w:tab w:val="clear" w:pos="720"/>
          <w:tab w:val="left" w:pos="0" w:leader="none"/>
        </w:tabs>
        <w:spacing w:before="0" w:after="0"/>
        <w:ind w:hanging="283" w:left="709"/>
        <w:rPr/>
      </w:pPr>
      <w:r>
        <w:rPr/>
        <w:t xml:space="preserve">If the target is at or below 50% health when hit, engine damage becomes persistent rather than temporary. </w:t>
      </w:r>
    </w:p>
    <w:p>
      <w:pPr>
        <w:pStyle w:val="BodyText"/>
        <w:numPr>
          <w:ilvl w:val="0"/>
          <w:numId w:val="60"/>
        </w:numPr>
        <w:tabs>
          <w:tab w:val="clear" w:pos="720"/>
          <w:tab w:val="left" w:pos="0" w:leader="none"/>
        </w:tabs>
        <w:spacing w:before="0" w:after="0"/>
        <w:ind w:hanging="283" w:left="709"/>
        <w:rPr/>
      </w:pPr>
      <w:r>
        <w:rPr/>
        <w:t xml:space="preserve">If the target is hit by a second snare ability while temporary engine damage is active, engine damage becomes persistent regardless of current health. </w:t>
      </w:r>
    </w:p>
    <w:p>
      <w:pPr>
        <w:pStyle w:val="BodyText"/>
        <w:numPr>
          <w:ilvl w:val="0"/>
          <w:numId w:val="60"/>
        </w:numPr>
        <w:tabs>
          <w:tab w:val="clear" w:pos="720"/>
          <w:tab w:val="left" w:pos="0" w:leader="none"/>
        </w:tabs>
        <w:ind w:hanging="283" w:left="709"/>
        <w:rPr/>
      </w:pPr>
      <w:r>
        <w:rPr>
          <w:rStyle w:val="Strong"/>
        </w:rPr>
        <w:t>Exception:</w:t>
      </w:r>
      <w:r>
        <w:rPr/>
        <w:t xml:space="preserve"> AT satchels always inflict persistent engine damage on detonation regardless of target health or existing snare status. </w:t>
      </w:r>
    </w:p>
    <w:p>
      <w:pPr>
        <w:pStyle w:val="BodyText"/>
        <w:rPr/>
      </w:pPr>
      <w:r>
        <w:rPr>
          <w:rStyle w:val="Strong"/>
        </w:rPr>
        <w:t>Outputs</w:t>
      </w:r>
    </w:p>
    <w:p>
      <w:pPr>
        <w:pStyle w:val="BodyText"/>
        <w:numPr>
          <w:ilvl w:val="0"/>
          <w:numId w:val="61"/>
        </w:numPr>
        <w:tabs>
          <w:tab w:val="clear" w:pos="720"/>
          <w:tab w:val="left" w:pos="0" w:leader="none"/>
        </w:tabs>
        <w:spacing w:before="0" w:after="0"/>
        <w:ind w:hanging="283" w:left="709"/>
        <w:rPr/>
      </w:pPr>
      <w:r>
        <w:rPr/>
        <w:t xml:space="preserve">Target vehicle movement speed is reduced for the duration of the engine damage effect. </w:t>
      </w:r>
    </w:p>
    <w:p>
      <w:pPr>
        <w:pStyle w:val="BodyText"/>
        <w:numPr>
          <w:ilvl w:val="0"/>
          <w:numId w:val="61"/>
        </w:numPr>
        <w:tabs>
          <w:tab w:val="clear" w:pos="720"/>
          <w:tab w:val="left" w:pos="0" w:leader="none"/>
        </w:tabs>
        <w:spacing w:before="0" w:after="0"/>
        <w:ind w:hanging="283" w:left="709"/>
        <w:rPr/>
      </w:pPr>
      <w:r>
        <w:rPr/>
        <w:t xml:space="preserve">Engine damage status is either temporary or persistent depending on the conditions above. </w:t>
      </w:r>
    </w:p>
    <w:p>
      <w:pPr>
        <w:pStyle w:val="BodyText"/>
        <w:numPr>
          <w:ilvl w:val="0"/>
          <w:numId w:val="61"/>
        </w:numPr>
        <w:tabs>
          <w:tab w:val="clear" w:pos="720"/>
          <w:tab w:val="left" w:pos="0" w:leader="none"/>
        </w:tabs>
        <w:ind w:hanging="283" w:left="709"/>
        <w:rPr/>
      </w:pPr>
      <w:r>
        <w:rPr/>
        <w:t xml:space="preserve">AT satchel hits always result in persistent engine damage. </w:t>
      </w:r>
    </w:p>
    <w:p>
      <w:pPr>
        <w:pStyle w:val="BodyText"/>
        <w:rPr/>
      </w:pPr>
      <w:r>
        <w:rPr>
          <w:rStyle w:val="Strong"/>
        </w:rPr>
        <w:t>Deviation from Vanilla</w:t>
      </w:r>
    </w:p>
    <w:p>
      <w:pPr>
        <w:pStyle w:val="BodyText"/>
        <w:numPr>
          <w:ilvl w:val="0"/>
          <w:numId w:val="62"/>
        </w:numPr>
        <w:tabs>
          <w:tab w:val="clear" w:pos="720"/>
          <w:tab w:val="left" w:pos="0" w:leader="none"/>
        </w:tabs>
        <w:spacing w:before="0" w:after="0"/>
        <w:ind w:hanging="283" w:left="709"/>
        <w:rPr/>
      </w:pPr>
      <w:r>
        <w:rPr/>
        <w:t xml:space="preserve">Vanilla CoH2 does not guarantee snare on hit; the effect is health dependent. </w:t>
      </w:r>
    </w:p>
    <w:p>
      <w:pPr>
        <w:pStyle w:val="BodyText"/>
        <w:numPr>
          <w:ilvl w:val="0"/>
          <w:numId w:val="62"/>
        </w:numPr>
        <w:tabs>
          <w:tab w:val="clear" w:pos="720"/>
          <w:tab w:val="left" w:pos="0" w:leader="none"/>
        </w:tabs>
        <w:spacing w:before="0" w:after="0"/>
        <w:ind w:hanging="283" w:left="709"/>
        <w:rPr/>
      </w:pPr>
      <w:r>
        <w:rPr/>
        <w:t xml:space="preserve">Vanilla health threshold for persistent engine damage is 75%. Defiance lowers this to 50%. </w:t>
      </w:r>
    </w:p>
    <w:p>
      <w:pPr>
        <w:pStyle w:val="BodyText"/>
        <w:numPr>
          <w:ilvl w:val="0"/>
          <w:numId w:val="62"/>
        </w:numPr>
        <w:tabs>
          <w:tab w:val="clear" w:pos="720"/>
          <w:tab w:val="left" w:pos="0" w:leader="none"/>
        </w:tabs>
        <w:spacing w:before="0" w:after="0"/>
        <w:ind w:hanging="283" w:left="709"/>
        <w:rPr/>
      </w:pPr>
      <w:r>
        <w:rPr/>
        <w:t xml:space="preserve">Vanilla does not have a stacking condition for repeated snare hits. </w:t>
      </w:r>
    </w:p>
    <w:p>
      <w:pPr>
        <w:pStyle w:val="BodyText"/>
        <w:numPr>
          <w:ilvl w:val="0"/>
          <w:numId w:val="62"/>
        </w:numPr>
        <w:tabs>
          <w:tab w:val="clear" w:pos="720"/>
          <w:tab w:val="left" w:pos="0" w:leader="none"/>
        </w:tabs>
        <w:ind w:hanging="283" w:left="709"/>
        <w:rPr/>
      </w:pPr>
      <w:r>
        <w:rPr/>
        <w:t>Vanilla does not have a distinct snare behaviour for AT satchels.</w:t>
      </w:r>
    </w:p>
    <w:p>
      <w:pPr>
        <w:pStyle w:val="BodyText"/>
        <w:rPr>
          <w:rStyle w:val="Strong"/>
        </w:rPr>
      </w:pPr>
      <w:r>
        <w:rPr/>
      </w:r>
    </w:p>
    <w:p>
      <w:pPr>
        <w:pStyle w:val="BodyText"/>
        <w:rPr/>
      </w:pPr>
      <w:r>
        <w:rPr>
          <w:rStyle w:val="Strong"/>
        </w:rPr>
        <w:t>3.1.5 Veterancy System</w:t>
      </w:r>
    </w:p>
    <w:p>
      <w:pPr>
        <w:pStyle w:val="BodyText"/>
        <w:rPr/>
      </w:pPr>
      <w:r>
        <w:rPr>
          <w:rStyle w:val="Strong"/>
        </w:rPr>
        <w:t>Description</w:t>
      </w:r>
      <w:r>
        <w:rPr/>
        <w:t xml:space="preserve"> All combat units in Defiance have access to 5 veterancy levels, standardising the system across all factions. Defiance also modifies the XP scaling multipliers for veterancy levels 4 and 5, making elite veterancy harder to reach compared to vanilla.</w:t>
      </w:r>
    </w:p>
    <w:p>
      <w:pPr>
        <w:pStyle w:val="BodyText"/>
        <w:rPr/>
      </w:pPr>
      <w:r>
        <w:rPr>
          <w:rStyle w:val="Strong"/>
        </w:rPr>
        <w:t>Inputs</w:t>
      </w:r>
    </w:p>
    <w:p>
      <w:pPr>
        <w:pStyle w:val="BodyText"/>
        <w:numPr>
          <w:ilvl w:val="0"/>
          <w:numId w:val="55"/>
        </w:numPr>
        <w:tabs>
          <w:tab w:val="clear" w:pos="720"/>
          <w:tab w:val="left" w:pos="0" w:leader="none"/>
        </w:tabs>
        <w:spacing w:before="0" w:after="0"/>
        <w:ind w:hanging="283" w:left="709"/>
        <w:rPr/>
      </w:pPr>
      <w:r>
        <w:rPr/>
        <w:t xml:space="preserve">Combat unit accumulates XP through combat actions. </w:t>
      </w:r>
    </w:p>
    <w:p>
      <w:pPr>
        <w:pStyle w:val="BodyText"/>
        <w:numPr>
          <w:ilvl w:val="0"/>
          <w:numId w:val="55"/>
        </w:numPr>
        <w:tabs>
          <w:tab w:val="clear" w:pos="720"/>
          <w:tab w:val="left" w:pos="0" w:leader="none"/>
        </w:tabs>
        <w:ind w:hanging="283" w:left="709"/>
        <w:rPr/>
      </w:pPr>
      <w:r>
        <w:rPr/>
        <w:t xml:space="preserve">XP thresholds determine veterancy level progression. </w:t>
      </w:r>
    </w:p>
    <w:p>
      <w:pPr>
        <w:pStyle w:val="BodyText"/>
        <w:rPr/>
      </w:pPr>
      <w:r>
        <w:rPr>
          <w:rStyle w:val="Strong"/>
        </w:rPr>
        <w:t>Processing</w:t>
      </w:r>
    </w:p>
    <w:p>
      <w:pPr>
        <w:pStyle w:val="BodyText"/>
        <w:numPr>
          <w:ilvl w:val="0"/>
          <w:numId w:val="56"/>
        </w:numPr>
        <w:tabs>
          <w:tab w:val="clear" w:pos="720"/>
          <w:tab w:val="left" w:pos="0" w:leader="none"/>
        </w:tabs>
        <w:spacing w:before="0" w:after="0"/>
        <w:ind w:hanging="283" w:left="709"/>
        <w:rPr/>
      </w:pPr>
      <w:r>
        <w:rPr/>
        <w:t xml:space="preserve">XP scaling multipliers: 1 / 2 / 4 / 6 / 8 </w:t>
      </w:r>
    </w:p>
    <w:p>
      <w:pPr>
        <w:pStyle w:val="BodyText"/>
        <w:numPr>
          <w:ilvl w:val="0"/>
          <w:numId w:val="56"/>
        </w:numPr>
        <w:tabs>
          <w:tab w:val="clear" w:pos="720"/>
          <w:tab w:val="left" w:pos="0" w:leader="none"/>
        </w:tabs>
        <w:spacing w:before="0" w:after="0"/>
        <w:ind w:hanging="283" w:left="709"/>
        <w:rPr/>
      </w:pPr>
      <w:r>
        <w:rPr/>
        <w:t xml:space="preserve">Veterancy levels 1 through 3 are reached at the same pace as vanilla. </w:t>
      </w:r>
    </w:p>
    <w:p>
      <w:pPr>
        <w:pStyle w:val="BodyText"/>
        <w:numPr>
          <w:ilvl w:val="0"/>
          <w:numId w:val="56"/>
        </w:numPr>
        <w:tabs>
          <w:tab w:val="clear" w:pos="720"/>
          <w:tab w:val="left" w:pos="0" w:leader="none"/>
        </w:tabs>
        <w:ind w:hanging="283" w:left="709"/>
        <w:rPr/>
      </w:pPr>
      <w:r>
        <w:rPr/>
        <w:t xml:space="preserve">Veterancy levels 4 and 5 require more XP than vanilla equivalents. </w:t>
      </w:r>
    </w:p>
    <w:p>
      <w:pPr>
        <w:pStyle w:val="BodyText"/>
        <w:rPr/>
      </w:pPr>
      <w:r>
        <w:rPr>
          <w:rStyle w:val="Strong"/>
        </w:rPr>
        <w:t>Outputs</w:t>
      </w:r>
    </w:p>
    <w:p>
      <w:pPr>
        <w:pStyle w:val="BodyText"/>
        <w:numPr>
          <w:ilvl w:val="0"/>
          <w:numId w:val="57"/>
        </w:numPr>
        <w:tabs>
          <w:tab w:val="clear" w:pos="720"/>
          <w:tab w:val="left" w:pos="0" w:leader="none"/>
        </w:tabs>
        <w:spacing w:before="0" w:after="0"/>
        <w:ind w:hanging="283" w:left="709"/>
        <w:rPr/>
      </w:pPr>
      <w:r>
        <w:rPr/>
        <w:t xml:space="preserve">Unit advances veterancy level upon reaching XP threshold. </w:t>
      </w:r>
    </w:p>
    <w:p>
      <w:pPr>
        <w:pStyle w:val="BodyText"/>
        <w:numPr>
          <w:ilvl w:val="0"/>
          <w:numId w:val="57"/>
        </w:numPr>
        <w:tabs>
          <w:tab w:val="clear" w:pos="720"/>
          <w:tab w:val="left" w:pos="0" w:leader="none"/>
        </w:tabs>
        <w:ind w:hanging="283" w:left="709"/>
        <w:rPr/>
      </w:pPr>
      <w:r>
        <w:rPr/>
        <w:t xml:space="preserve">Veterancy bonuses are applied per level as defined in individual unit specifications. </w:t>
      </w:r>
    </w:p>
    <w:p>
      <w:pPr>
        <w:pStyle w:val="BodyText"/>
        <w:rPr/>
      </w:pPr>
      <w:r>
        <w:rPr>
          <w:rStyle w:val="Strong"/>
        </w:rPr>
        <w:t>XP Threshold Reference</w:t>
      </w:r>
    </w:p>
    <w:tbl>
      <w:tblPr>
        <w:tblW w:w="2512" w:type="dxa"/>
        <w:jc w:val="left"/>
        <w:tblInd w:w="28" w:type="dxa"/>
        <w:tblLayout w:type="fixed"/>
        <w:tblCellMar>
          <w:top w:w="28" w:type="dxa"/>
          <w:left w:w="28" w:type="dxa"/>
          <w:bottom w:w="28" w:type="dxa"/>
          <w:right w:w="28" w:type="dxa"/>
        </w:tblCellMar>
      </w:tblPr>
      <w:tblGrid>
        <w:gridCol w:w="660"/>
        <w:gridCol w:w="818"/>
        <w:gridCol w:w="1034"/>
      </w:tblGrid>
      <w:tr>
        <w:trPr>
          <w:tblHeader w:val="true"/>
        </w:trPr>
        <w:tc>
          <w:tcPr>
            <w:tcW w:w="660" w:type="dxa"/>
            <w:tcBorders/>
            <w:vAlign w:val="center"/>
          </w:tcPr>
          <w:p>
            <w:pPr>
              <w:pStyle w:val="TableHeading"/>
              <w:suppressLineNumbers/>
              <w:spacing w:before="0" w:after="200"/>
              <w:jc w:val="center"/>
              <w:rPr/>
            </w:pPr>
            <w:r>
              <w:rPr/>
              <w:t>Level</w:t>
            </w:r>
          </w:p>
        </w:tc>
        <w:tc>
          <w:tcPr>
            <w:tcW w:w="818" w:type="dxa"/>
            <w:tcBorders/>
            <w:vAlign w:val="center"/>
          </w:tcPr>
          <w:p>
            <w:pPr>
              <w:pStyle w:val="TableHeading"/>
              <w:suppressLineNumbers/>
              <w:spacing w:before="0" w:after="200"/>
              <w:jc w:val="center"/>
              <w:rPr/>
            </w:pPr>
            <w:r>
              <w:rPr/>
              <w:t>Vanilla</w:t>
            </w:r>
          </w:p>
        </w:tc>
        <w:tc>
          <w:tcPr>
            <w:tcW w:w="1034" w:type="dxa"/>
            <w:tcBorders/>
            <w:vAlign w:val="center"/>
          </w:tcPr>
          <w:p>
            <w:pPr>
              <w:pStyle w:val="TableHeading"/>
              <w:suppressLineNumbers/>
              <w:spacing w:before="0" w:after="200"/>
              <w:jc w:val="center"/>
              <w:rPr/>
            </w:pPr>
            <w:r>
              <w:rPr/>
              <w:t>Defiance</w:t>
            </w:r>
          </w:p>
        </w:tc>
      </w:tr>
      <w:tr>
        <w:trPr/>
        <w:tc>
          <w:tcPr>
            <w:tcW w:w="660" w:type="dxa"/>
            <w:tcBorders/>
            <w:vAlign w:val="center"/>
          </w:tcPr>
          <w:p>
            <w:pPr>
              <w:pStyle w:val="TableContents"/>
              <w:widowControl w:val="false"/>
              <w:suppressLineNumbers/>
              <w:spacing w:before="0" w:after="200"/>
              <w:rPr/>
            </w:pPr>
            <w:r>
              <w:rPr/>
              <w:t>1</w:t>
            </w:r>
          </w:p>
        </w:tc>
        <w:tc>
          <w:tcPr>
            <w:tcW w:w="818" w:type="dxa"/>
            <w:tcBorders/>
            <w:vAlign w:val="center"/>
          </w:tcPr>
          <w:p>
            <w:pPr>
              <w:pStyle w:val="TableContents"/>
              <w:widowControl w:val="false"/>
              <w:suppressLineNumbers/>
              <w:spacing w:before="0" w:after="200"/>
              <w:rPr/>
            </w:pPr>
            <w:r>
              <w:rPr/>
              <w:t>220</w:t>
            </w:r>
          </w:p>
        </w:tc>
        <w:tc>
          <w:tcPr>
            <w:tcW w:w="1034" w:type="dxa"/>
            <w:tcBorders/>
            <w:vAlign w:val="center"/>
          </w:tcPr>
          <w:p>
            <w:pPr>
              <w:pStyle w:val="TableContents"/>
              <w:widowControl w:val="false"/>
              <w:suppressLineNumbers/>
              <w:spacing w:before="0" w:after="200"/>
              <w:rPr/>
            </w:pPr>
            <w:r>
              <w:rPr/>
              <w:t>220</w:t>
            </w:r>
          </w:p>
        </w:tc>
      </w:tr>
      <w:tr>
        <w:trPr/>
        <w:tc>
          <w:tcPr>
            <w:tcW w:w="660" w:type="dxa"/>
            <w:tcBorders/>
            <w:vAlign w:val="center"/>
          </w:tcPr>
          <w:p>
            <w:pPr>
              <w:pStyle w:val="TableContents"/>
              <w:widowControl w:val="false"/>
              <w:suppressLineNumbers/>
              <w:spacing w:before="0" w:after="200"/>
              <w:rPr/>
            </w:pPr>
            <w:r>
              <w:rPr/>
              <w:t>2</w:t>
            </w:r>
          </w:p>
        </w:tc>
        <w:tc>
          <w:tcPr>
            <w:tcW w:w="818" w:type="dxa"/>
            <w:tcBorders/>
            <w:vAlign w:val="center"/>
          </w:tcPr>
          <w:p>
            <w:pPr>
              <w:pStyle w:val="TableContents"/>
              <w:widowControl w:val="false"/>
              <w:suppressLineNumbers/>
              <w:spacing w:before="0" w:after="200"/>
              <w:rPr/>
            </w:pPr>
            <w:r>
              <w:rPr/>
              <w:t>440</w:t>
            </w:r>
          </w:p>
        </w:tc>
        <w:tc>
          <w:tcPr>
            <w:tcW w:w="1034" w:type="dxa"/>
            <w:tcBorders/>
            <w:vAlign w:val="center"/>
          </w:tcPr>
          <w:p>
            <w:pPr>
              <w:pStyle w:val="TableContents"/>
              <w:widowControl w:val="false"/>
              <w:suppressLineNumbers/>
              <w:spacing w:before="0" w:after="200"/>
              <w:rPr/>
            </w:pPr>
            <w:r>
              <w:rPr/>
              <w:t>440</w:t>
            </w:r>
          </w:p>
        </w:tc>
      </w:tr>
      <w:tr>
        <w:trPr/>
        <w:tc>
          <w:tcPr>
            <w:tcW w:w="660" w:type="dxa"/>
            <w:tcBorders/>
            <w:vAlign w:val="center"/>
          </w:tcPr>
          <w:p>
            <w:pPr>
              <w:pStyle w:val="TableContents"/>
              <w:widowControl w:val="false"/>
              <w:suppressLineNumbers/>
              <w:spacing w:before="0" w:after="200"/>
              <w:rPr/>
            </w:pPr>
            <w:r>
              <w:rPr/>
              <w:t>3</w:t>
            </w:r>
          </w:p>
        </w:tc>
        <w:tc>
          <w:tcPr>
            <w:tcW w:w="818" w:type="dxa"/>
            <w:tcBorders/>
            <w:vAlign w:val="center"/>
          </w:tcPr>
          <w:p>
            <w:pPr>
              <w:pStyle w:val="TableContents"/>
              <w:widowControl w:val="false"/>
              <w:suppressLineNumbers/>
              <w:spacing w:before="0" w:after="200"/>
              <w:rPr/>
            </w:pPr>
            <w:r>
              <w:rPr/>
              <w:t>880</w:t>
            </w:r>
          </w:p>
        </w:tc>
        <w:tc>
          <w:tcPr>
            <w:tcW w:w="1034" w:type="dxa"/>
            <w:tcBorders/>
            <w:vAlign w:val="center"/>
          </w:tcPr>
          <w:p>
            <w:pPr>
              <w:pStyle w:val="TableContents"/>
              <w:widowControl w:val="false"/>
              <w:suppressLineNumbers/>
              <w:spacing w:before="0" w:after="200"/>
              <w:rPr/>
            </w:pPr>
            <w:r>
              <w:rPr/>
              <w:t>880</w:t>
            </w:r>
          </w:p>
        </w:tc>
      </w:tr>
      <w:tr>
        <w:trPr/>
        <w:tc>
          <w:tcPr>
            <w:tcW w:w="660" w:type="dxa"/>
            <w:tcBorders/>
            <w:vAlign w:val="center"/>
          </w:tcPr>
          <w:p>
            <w:pPr>
              <w:pStyle w:val="TableContents"/>
              <w:widowControl w:val="false"/>
              <w:suppressLineNumbers/>
              <w:spacing w:before="0" w:after="200"/>
              <w:rPr/>
            </w:pPr>
            <w:r>
              <w:rPr/>
              <w:t>4</w:t>
            </w:r>
          </w:p>
        </w:tc>
        <w:tc>
          <w:tcPr>
            <w:tcW w:w="818" w:type="dxa"/>
            <w:tcBorders/>
            <w:vAlign w:val="center"/>
          </w:tcPr>
          <w:p>
            <w:pPr>
              <w:pStyle w:val="TableContents"/>
              <w:widowControl w:val="false"/>
              <w:suppressLineNumbers/>
              <w:spacing w:before="0" w:after="200"/>
              <w:rPr/>
            </w:pPr>
            <w:r>
              <w:rPr/>
              <w:t>1100</w:t>
            </w:r>
          </w:p>
        </w:tc>
        <w:tc>
          <w:tcPr>
            <w:tcW w:w="1034" w:type="dxa"/>
            <w:tcBorders/>
            <w:vAlign w:val="center"/>
          </w:tcPr>
          <w:p>
            <w:pPr>
              <w:pStyle w:val="TableContents"/>
              <w:widowControl w:val="false"/>
              <w:suppressLineNumbers/>
              <w:spacing w:before="0" w:after="200"/>
              <w:rPr/>
            </w:pPr>
            <w:r>
              <w:rPr/>
              <w:t>1320</w:t>
            </w:r>
          </w:p>
        </w:tc>
      </w:tr>
      <w:tr>
        <w:trPr/>
        <w:tc>
          <w:tcPr>
            <w:tcW w:w="660" w:type="dxa"/>
            <w:tcBorders/>
            <w:vAlign w:val="center"/>
          </w:tcPr>
          <w:p>
            <w:pPr>
              <w:pStyle w:val="TableContents"/>
              <w:widowControl w:val="false"/>
              <w:suppressLineNumbers/>
              <w:spacing w:before="0" w:after="200"/>
              <w:rPr/>
            </w:pPr>
            <w:r>
              <w:rPr/>
              <w:t>5</w:t>
            </w:r>
          </w:p>
        </w:tc>
        <w:tc>
          <w:tcPr>
            <w:tcW w:w="818" w:type="dxa"/>
            <w:tcBorders/>
            <w:vAlign w:val="center"/>
          </w:tcPr>
          <w:p>
            <w:pPr>
              <w:pStyle w:val="TableContents"/>
              <w:widowControl w:val="false"/>
              <w:suppressLineNumbers/>
              <w:spacing w:before="0" w:after="200"/>
              <w:rPr/>
            </w:pPr>
            <w:r>
              <w:rPr/>
              <w:t>1430</w:t>
            </w:r>
          </w:p>
        </w:tc>
        <w:tc>
          <w:tcPr>
            <w:tcW w:w="1034" w:type="dxa"/>
            <w:tcBorders/>
            <w:vAlign w:val="center"/>
          </w:tcPr>
          <w:p>
            <w:pPr>
              <w:pStyle w:val="TableContents"/>
              <w:widowControl w:val="false"/>
              <w:suppressLineNumbers/>
              <w:spacing w:before="0" w:after="200"/>
              <w:rPr/>
            </w:pPr>
            <w:r>
              <w:rPr/>
              <w:t>1760</w:t>
            </w:r>
          </w:p>
        </w:tc>
      </w:tr>
    </w:tbl>
    <w:p>
      <w:pPr>
        <w:pStyle w:val="BodyText"/>
        <w:rPr/>
      </w:pPr>
      <w:r>
        <w:rPr>
          <w:rStyle w:val="Strong"/>
        </w:rPr>
        <w:t>Deviation from Vanilla</w:t>
      </w:r>
    </w:p>
    <w:p>
      <w:pPr>
        <w:pStyle w:val="BodyText"/>
        <w:numPr>
          <w:ilvl w:val="0"/>
          <w:numId w:val="58"/>
        </w:numPr>
        <w:tabs>
          <w:tab w:val="clear" w:pos="720"/>
          <w:tab w:val="left" w:pos="0" w:leader="none"/>
        </w:tabs>
        <w:spacing w:before="0" w:after="0"/>
        <w:ind w:hanging="283" w:left="709"/>
        <w:rPr/>
      </w:pPr>
      <w:r>
        <w:rPr/>
        <w:t xml:space="preserve">Vanilla limits most factions to 3 veterancy levels. Only OKW has access to 5 levels in vanilla. Defiance extends 5 veterancy levels to all factions. </w:t>
      </w:r>
    </w:p>
    <w:p>
      <w:pPr>
        <w:pStyle w:val="BodyText"/>
        <w:numPr>
          <w:ilvl w:val="0"/>
          <w:numId w:val="58"/>
        </w:numPr>
        <w:tabs>
          <w:tab w:val="clear" w:pos="720"/>
          <w:tab w:val="left" w:pos="0" w:leader="none"/>
        </w:tabs>
        <w:ind w:hanging="283" w:left="709"/>
        <w:rPr/>
      </w:pPr>
      <w:r>
        <w:rPr/>
        <w:t>XP scaling multipliers for levels 4 and 5 have been increased from 5 / 6.5 to 6 / 8, making elite veterancy harder to achieve.</w:t>
      </w:r>
    </w:p>
    <w:p>
      <w:pPr>
        <w:pStyle w:val="BodyText"/>
        <w:rPr/>
      </w:pPr>
      <w:r>
        <w:rPr/>
      </w:r>
    </w:p>
    <w:p>
      <w:pPr>
        <w:pStyle w:val="Heading2"/>
        <w:rPr/>
      </w:pPr>
      <w:r>
        <w:rPr/>
        <w:t>3.2 Faction Systems</w:t>
      </w:r>
    </w:p>
    <w:p>
      <w:pPr>
        <w:pStyle w:val="Normal"/>
        <w:rPr/>
      </w:pPr>
      <w:r>
        <w:rPr/>
        <w:t>(to be filled in later with team insights)</w:t>
      </w:r>
    </w:p>
    <w:p>
      <w:pPr>
        <w:pStyle w:val="Heading2"/>
        <w:rPr/>
      </w:pPr>
      <w:r>
        <w:rPr/>
        <w:t>3.3 Doctrine Systems</w:t>
      </w:r>
    </w:p>
    <w:p>
      <w:pPr>
        <w:pStyle w:val="Normal"/>
        <w:rPr/>
      </w:pPr>
      <w:r>
        <w:rPr/>
        <w:t>(to be filled in later with team insights)</w:t>
      </w:r>
    </w:p>
    <w:p>
      <w:pPr>
        <w:pStyle w:val="Heading1"/>
        <w:rPr/>
      </w:pPr>
      <w:r>
        <w:rPr/>
        <w:t>4. External Interface Requirements</w:t>
      </w:r>
    </w:p>
    <w:p>
      <w:pPr>
        <w:pStyle w:val="Heading2"/>
        <w:rPr/>
      </w:pPr>
      <w:r>
        <w:rPr/>
        <w:t>4.1 User Interface (UI/UX)</w:t>
      </w:r>
    </w:p>
    <w:p>
      <w:pPr>
        <w:pStyle w:val="BodyText"/>
        <w:numPr>
          <w:ilvl w:val="0"/>
          <w:numId w:val="29"/>
        </w:numPr>
        <w:tabs>
          <w:tab w:val="clear" w:pos="720"/>
          <w:tab w:val="left" w:pos="0" w:leader="none"/>
        </w:tabs>
        <w:spacing w:before="0" w:after="0"/>
        <w:ind w:hanging="283" w:left="720"/>
        <w:rPr/>
      </w:pPr>
      <w:r>
        <w:rPr/>
        <w:t xml:space="preserve">All tooltips, unit descriptions, and ability text must be clear, concise, and written in an immersive in-universe tone consistent with the faction they represent. </w:t>
      </w:r>
    </w:p>
    <w:p>
      <w:pPr>
        <w:pStyle w:val="BodyText"/>
        <w:numPr>
          <w:ilvl w:val="0"/>
          <w:numId w:val="30"/>
        </w:numPr>
        <w:tabs>
          <w:tab w:val="clear" w:pos="720"/>
          <w:tab w:val="left" w:pos="0" w:leader="none"/>
        </w:tabs>
        <w:spacing w:before="0" w:after="0"/>
        <w:ind w:hanging="283" w:left="720"/>
        <w:rPr/>
      </w:pPr>
      <w:r>
        <w:rPr/>
        <w:t xml:space="preserve">Icons and visual cues must integrate seamlessly with existing vanilla CoH2 assets. </w:t>
      </w:r>
    </w:p>
    <w:p>
      <w:pPr>
        <w:pStyle w:val="BodyText"/>
        <w:numPr>
          <w:ilvl w:val="0"/>
          <w:numId w:val="31"/>
        </w:numPr>
        <w:tabs>
          <w:tab w:val="clear" w:pos="720"/>
          <w:tab w:val="left" w:pos="0" w:leader="none"/>
        </w:tabs>
        <w:spacing w:before="0" w:after="0"/>
        <w:ind w:hanging="283" w:left="720"/>
        <w:rPr/>
      </w:pPr>
      <w:r>
        <w:rPr/>
        <w:t xml:space="preserve">Status effect descriptions must be consistent in format and tone across all factions. </w:t>
      </w:r>
    </w:p>
    <w:p>
      <w:pPr>
        <w:pStyle w:val="BodyText"/>
        <w:numPr>
          <w:ilvl w:val="0"/>
          <w:numId w:val="32"/>
        </w:numPr>
        <w:tabs>
          <w:tab w:val="clear" w:pos="720"/>
          <w:tab w:val="left" w:pos="0" w:leader="none"/>
        </w:tabs>
        <w:spacing w:before="0" w:after="200"/>
        <w:ind w:hanging="283" w:left="720"/>
        <w:rPr/>
      </w:pPr>
      <w:r>
        <w:rPr/>
        <w:t xml:space="preserve">Ability and upgrade descriptions must communicate function without the use of explicit game terms or fourth-wall language where immersion is required. </w:t>
      </w:r>
    </w:p>
    <w:p>
      <w:pPr>
        <w:pStyle w:val="Heading2"/>
        <w:rPr/>
      </w:pPr>
      <w:r>
        <w:rPr/>
        <w:t>4.2 Localization</w:t>
      </w:r>
    </w:p>
    <w:p>
      <w:pPr>
        <w:pStyle w:val="BodyText"/>
        <w:numPr>
          <w:ilvl w:val="0"/>
          <w:numId w:val="33"/>
        </w:numPr>
        <w:tabs>
          <w:tab w:val="clear" w:pos="720"/>
          <w:tab w:val="left" w:pos="0" w:leader="none"/>
        </w:tabs>
        <w:spacing w:before="0" w:after="0"/>
        <w:ind w:hanging="283" w:left="720"/>
        <w:rPr/>
      </w:pPr>
      <w:r>
        <w:rPr/>
        <w:t xml:space="preserve">All strings including unit names, ability descriptions, upgrade text, and status effects must use consistent terminology as defined in Section 1.3. </w:t>
      </w:r>
    </w:p>
    <w:p>
      <w:pPr>
        <w:pStyle w:val="BodyText"/>
        <w:numPr>
          <w:ilvl w:val="0"/>
          <w:numId w:val="34"/>
        </w:numPr>
        <w:tabs>
          <w:tab w:val="clear" w:pos="720"/>
          <w:tab w:val="left" w:pos="0" w:leader="none"/>
        </w:tabs>
        <w:spacing w:before="0" w:after="0"/>
        <w:ind w:hanging="283" w:left="720"/>
        <w:rPr/>
      </w:pPr>
      <w:r>
        <w:rPr/>
        <w:t xml:space="preserve">English is the primary supported language at launch. </w:t>
      </w:r>
    </w:p>
    <w:p>
      <w:pPr>
        <w:pStyle w:val="BodyText"/>
        <w:numPr>
          <w:ilvl w:val="0"/>
          <w:numId w:val="35"/>
        </w:numPr>
        <w:tabs>
          <w:tab w:val="clear" w:pos="720"/>
          <w:tab w:val="left" w:pos="0" w:leader="none"/>
        </w:tabs>
        <w:spacing w:before="0" w:after="200"/>
        <w:ind w:hanging="283" w:left="720"/>
        <w:rPr/>
      </w:pPr>
      <w:r>
        <w:rPr/>
        <w:t xml:space="preserve">String formatting must remain extensible to allow for potential community localization contributions post-launch. </w:t>
      </w:r>
    </w:p>
    <w:p>
      <w:pPr>
        <w:pStyle w:val="Heading1"/>
        <w:rPr/>
      </w:pPr>
      <w:r>
        <w:rPr/>
        <w:t>5. Nonfunctional Requirements</w:t>
      </w:r>
    </w:p>
    <w:p>
      <w:pPr>
        <w:pStyle w:val="Heading2"/>
        <w:rPr/>
      </w:pPr>
      <w:r>
        <w:rPr/>
        <w:t>5.1 Tone and Style Rules</w:t>
      </w:r>
    </w:p>
    <w:p>
      <w:pPr>
        <w:pStyle w:val="BodyText"/>
        <w:numPr>
          <w:ilvl w:val="0"/>
          <w:numId w:val="36"/>
        </w:numPr>
        <w:tabs>
          <w:tab w:val="clear" w:pos="720"/>
          <w:tab w:val="left" w:pos="0" w:leader="none"/>
        </w:tabs>
        <w:spacing w:before="0" w:after="0"/>
        <w:ind w:hanging="283" w:left="720"/>
        <w:rPr/>
      </w:pPr>
      <w:r>
        <w:rPr/>
        <w:t xml:space="preserve">Unit, ability, and upgrade descriptions must be written in an immersive, in-universe voice appropriate to the faction they represent. </w:t>
      </w:r>
    </w:p>
    <w:p>
      <w:pPr>
        <w:pStyle w:val="BodyText"/>
        <w:numPr>
          <w:ilvl w:val="0"/>
          <w:numId w:val="37"/>
        </w:numPr>
        <w:tabs>
          <w:tab w:val="clear" w:pos="720"/>
          <w:tab w:val="left" w:pos="0" w:leader="none"/>
        </w:tabs>
        <w:spacing w:before="0" w:after="0"/>
        <w:ind w:hanging="283" w:left="720"/>
        <w:rPr/>
      </w:pPr>
      <w:r>
        <w:rPr/>
        <w:t xml:space="preserve">Descriptions must avoid explicit game terminology, fourth-wall language, and hyperbolic phrasing. </w:t>
      </w:r>
    </w:p>
    <w:p>
      <w:pPr>
        <w:pStyle w:val="BodyText"/>
        <w:numPr>
          <w:ilvl w:val="0"/>
          <w:numId w:val="38"/>
        </w:numPr>
        <w:tabs>
          <w:tab w:val="clear" w:pos="720"/>
          <w:tab w:val="left" w:pos="0" w:leader="none"/>
        </w:tabs>
        <w:spacing w:before="0" w:after="200"/>
        <w:ind w:hanging="283" w:left="720"/>
        <w:rPr/>
      </w:pPr>
      <w:r>
        <w:rPr/>
        <w:t xml:space="preserve">Each faction maintains a distinct narrative voice: </w:t>
      </w:r>
    </w:p>
    <w:p>
      <w:pPr>
        <w:pStyle w:val="BodyText"/>
        <w:numPr>
          <w:ilvl w:val="1"/>
          <w:numId w:val="39"/>
        </w:numPr>
        <w:tabs>
          <w:tab w:val="clear" w:pos="720"/>
          <w:tab w:val="left" w:pos="0" w:leader="none"/>
        </w:tabs>
        <w:spacing w:before="0" w:after="0"/>
        <w:ind w:hanging="283" w:left="1418"/>
        <w:rPr/>
      </w:pPr>
      <w:r>
        <w:rPr>
          <w:rStyle w:val="Strong"/>
        </w:rPr>
        <w:t>Soviet Union:</w:t>
      </w:r>
      <w:r>
        <w:rPr/>
        <w:t xml:space="preserve"> Propagandistic undertones with measured sentimentality. </w:t>
      </w:r>
    </w:p>
    <w:p>
      <w:pPr>
        <w:pStyle w:val="BodyText"/>
        <w:numPr>
          <w:ilvl w:val="1"/>
          <w:numId w:val="39"/>
        </w:numPr>
        <w:tabs>
          <w:tab w:val="clear" w:pos="720"/>
          <w:tab w:val="left" w:pos="0" w:leader="none"/>
        </w:tabs>
        <w:spacing w:before="0" w:after="0"/>
        <w:ind w:hanging="283" w:left="1418"/>
        <w:rPr/>
      </w:pPr>
      <w:r>
        <w:rPr>
          <w:rStyle w:val="Strong"/>
        </w:rPr>
        <w:t>Wehrmacht:</w:t>
      </w:r>
      <w:r>
        <w:rPr/>
        <w:t xml:space="preserve"> Clinical and precise. </w:t>
      </w:r>
    </w:p>
    <w:p>
      <w:pPr>
        <w:pStyle w:val="BodyText"/>
        <w:numPr>
          <w:ilvl w:val="1"/>
          <w:numId w:val="39"/>
        </w:numPr>
        <w:tabs>
          <w:tab w:val="clear" w:pos="720"/>
          <w:tab w:val="left" w:pos="0" w:leader="none"/>
        </w:tabs>
        <w:spacing w:before="0" w:after="0"/>
        <w:ind w:hanging="283" w:left="1418"/>
        <w:rPr/>
      </w:pPr>
      <w:r>
        <w:rPr>
          <w:rStyle w:val="Strong"/>
        </w:rPr>
        <w:t>OKW:</w:t>
      </w:r>
      <w:r>
        <w:rPr/>
        <w:t xml:space="preserve"> Clinical with restrained character. </w:t>
      </w:r>
    </w:p>
    <w:p>
      <w:pPr>
        <w:pStyle w:val="BodyText"/>
        <w:numPr>
          <w:ilvl w:val="1"/>
          <w:numId w:val="39"/>
        </w:numPr>
        <w:tabs>
          <w:tab w:val="clear" w:pos="720"/>
          <w:tab w:val="left" w:pos="0" w:leader="none"/>
        </w:tabs>
        <w:spacing w:before="0" w:after="0"/>
        <w:ind w:hanging="283" w:left="1418"/>
        <w:rPr/>
      </w:pPr>
      <w:r>
        <w:rPr>
          <w:rStyle w:val="Strong"/>
        </w:rPr>
        <w:t>US Forces:</w:t>
      </w:r>
      <w:r>
        <w:rPr/>
        <w:t xml:space="preserve"> Pragmatic and matter-of-fact with dry humor. </w:t>
      </w:r>
    </w:p>
    <w:p>
      <w:pPr>
        <w:pStyle w:val="BodyText"/>
        <w:numPr>
          <w:ilvl w:val="1"/>
          <w:numId w:val="39"/>
        </w:numPr>
        <w:tabs>
          <w:tab w:val="clear" w:pos="720"/>
          <w:tab w:val="left" w:pos="0" w:leader="none"/>
        </w:tabs>
        <w:ind w:hanging="283" w:left="1418"/>
        <w:rPr/>
      </w:pPr>
      <w:r>
        <w:rPr>
          <w:rStyle w:val="Strong"/>
        </w:rPr>
        <w:t>UK Forces:</w:t>
      </w:r>
      <w:r>
        <w:rPr/>
        <w:t xml:space="preserve"> Stoic with understated dry humor. </w:t>
      </w:r>
    </w:p>
    <w:p>
      <w:pPr>
        <w:pStyle w:val="BodyText"/>
        <w:numPr>
          <w:ilvl w:val="0"/>
          <w:numId w:val="40"/>
        </w:numPr>
        <w:tabs>
          <w:tab w:val="clear" w:pos="720"/>
          <w:tab w:val="left" w:pos="0" w:leader="none"/>
        </w:tabs>
        <w:spacing w:before="0" w:after="0"/>
        <w:ind w:hanging="283" w:left="720"/>
        <w:rPr/>
      </w:pPr>
      <w:r>
        <w:rPr/>
        <w:t xml:space="preserve">Patch notes and technical documentation may use explicit game terminology and fourth-wall language where appropriate. </w:t>
      </w:r>
    </w:p>
    <w:p>
      <w:pPr>
        <w:pStyle w:val="BodyText"/>
        <w:numPr>
          <w:ilvl w:val="0"/>
          <w:numId w:val="41"/>
        </w:numPr>
        <w:tabs>
          <w:tab w:val="clear" w:pos="720"/>
          <w:tab w:val="left" w:pos="0" w:leader="none"/>
        </w:tabs>
        <w:spacing w:before="0" w:after="200"/>
        <w:ind w:hanging="283" w:left="720"/>
        <w:rPr/>
      </w:pPr>
      <w:r>
        <w:rPr/>
        <w:t xml:space="preserve">All descriptions are subject to a hard character limit of 285 characters. </w:t>
      </w:r>
    </w:p>
    <w:p>
      <w:pPr>
        <w:pStyle w:val="Heading2"/>
        <w:rPr/>
      </w:pPr>
      <w:r>
        <w:rPr/>
        <w:t>5.2 Balance Goals</w:t>
      </w:r>
    </w:p>
    <w:p>
      <w:pPr>
        <w:pStyle w:val="BodyText"/>
        <w:numPr>
          <w:ilvl w:val="0"/>
          <w:numId w:val="42"/>
        </w:numPr>
        <w:tabs>
          <w:tab w:val="clear" w:pos="720"/>
          <w:tab w:val="left" w:pos="0" w:leader="none"/>
        </w:tabs>
        <w:spacing w:before="0" w:after="0"/>
        <w:ind w:hanging="283" w:left="720"/>
        <w:rPr/>
      </w:pPr>
      <w:r>
        <w:rPr/>
        <w:t xml:space="preserve">No faction may have a decisive, unavoidable advantage over another. </w:t>
      </w:r>
    </w:p>
    <w:p>
      <w:pPr>
        <w:pStyle w:val="BodyText"/>
        <w:numPr>
          <w:ilvl w:val="0"/>
          <w:numId w:val="43"/>
        </w:numPr>
        <w:tabs>
          <w:tab w:val="clear" w:pos="720"/>
          <w:tab w:val="left" w:pos="0" w:leader="none"/>
        </w:tabs>
        <w:spacing w:before="0" w:after="0"/>
        <w:ind w:hanging="283" w:left="720"/>
        <w:rPr/>
      </w:pPr>
      <w:r>
        <w:rPr/>
        <w:t xml:space="preserve">All playstyles and unit compositions must have viable counters, both soft and hard. </w:t>
      </w:r>
    </w:p>
    <w:p>
      <w:pPr>
        <w:pStyle w:val="BodyText"/>
        <w:numPr>
          <w:ilvl w:val="0"/>
          <w:numId w:val="44"/>
        </w:numPr>
        <w:tabs>
          <w:tab w:val="clear" w:pos="720"/>
          <w:tab w:val="left" w:pos="0" w:leader="none"/>
        </w:tabs>
        <w:spacing w:before="0" w:after="0"/>
        <w:ind w:hanging="283" w:left="720"/>
        <w:rPr/>
      </w:pPr>
      <w:r>
        <w:rPr/>
        <w:t xml:space="preserve">Soft counters are preferred over hard counters where possible, to preserve strategic flexibility and raise the skill ceiling. </w:t>
      </w:r>
    </w:p>
    <w:p>
      <w:pPr>
        <w:pStyle w:val="BodyText"/>
        <w:numPr>
          <w:ilvl w:val="0"/>
          <w:numId w:val="45"/>
        </w:numPr>
        <w:tabs>
          <w:tab w:val="clear" w:pos="720"/>
          <w:tab w:val="left" w:pos="0" w:leader="none"/>
        </w:tabs>
        <w:spacing w:before="0" w:after="0"/>
        <w:ind w:hanging="283" w:left="720"/>
        <w:rPr/>
      </w:pPr>
      <w:r>
        <w:rPr/>
        <w:t xml:space="preserve">Random elements must be preserved to maintain unpredictability, but must not be the primary determining factor in match outcomes. </w:t>
      </w:r>
    </w:p>
    <w:p>
      <w:pPr>
        <w:pStyle w:val="BodyText"/>
        <w:numPr>
          <w:ilvl w:val="0"/>
          <w:numId w:val="46"/>
        </w:numPr>
        <w:tabs>
          <w:tab w:val="clear" w:pos="720"/>
          <w:tab w:val="left" w:pos="0" w:leader="none"/>
        </w:tabs>
        <w:spacing w:before="0" w:after="0"/>
        <w:ind w:hanging="283" w:left="720"/>
        <w:rPr/>
      </w:pPr>
      <w:r>
        <w:rPr/>
        <w:t xml:space="preserve">Super Units must remain counterable despite their battlefield presence. </w:t>
      </w:r>
    </w:p>
    <w:p>
      <w:pPr>
        <w:pStyle w:val="BodyText"/>
        <w:numPr>
          <w:ilvl w:val="0"/>
          <w:numId w:val="47"/>
        </w:numPr>
        <w:tabs>
          <w:tab w:val="clear" w:pos="720"/>
          <w:tab w:val="left" w:pos="0" w:leader="none"/>
        </w:tabs>
        <w:spacing w:before="0" w:after="200"/>
        <w:ind w:hanging="283" w:left="720"/>
        <w:rPr/>
      </w:pPr>
      <w:r>
        <w:rPr/>
        <w:t xml:space="preserve">Balance is verified through iterative playtesting rather than purely theoretical modelling. </w:t>
      </w:r>
    </w:p>
    <w:p>
      <w:pPr>
        <w:pStyle w:val="Heading2"/>
        <w:rPr/>
      </w:pPr>
      <w:r>
        <w:rPr/>
        <w:t>5.3 Performance and Compatibility</w:t>
      </w:r>
    </w:p>
    <w:p>
      <w:pPr>
        <w:pStyle w:val="BodyText"/>
        <w:numPr>
          <w:ilvl w:val="0"/>
          <w:numId w:val="48"/>
        </w:numPr>
        <w:tabs>
          <w:tab w:val="clear" w:pos="720"/>
          <w:tab w:val="left" w:pos="0" w:leader="none"/>
        </w:tabs>
        <w:spacing w:before="0" w:after="0"/>
        <w:ind w:hanging="283" w:left="720"/>
        <w:rPr/>
      </w:pPr>
      <w:r>
        <w:rPr/>
        <w:t xml:space="preserve">CoH2: Defiance must run reliably on any system capable of running vanilla CoH2. </w:t>
      </w:r>
    </w:p>
    <w:p>
      <w:pPr>
        <w:pStyle w:val="BodyText"/>
        <w:numPr>
          <w:ilvl w:val="0"/>
          <w:numId w:val="49"/>
        </w:numPr>
        <w:tabs>
          <w:tab w:val="clear" w:pos="720"/>
          <w:tab w:val="left" w:pos="0" w:leader="none"/>
        </w:tabs>
        <w:spacing w:before="0" w:after="0"/>
        <w:ind w:hanging="283" w:left="720"/>
        <w:rPr/>
      </w:pPr>
      <w:r>
        <w:rPr/>
        <w:t xml:space="preserve">The mod must not introduce noticeable performance degradation compared to vanilla. </w:t>
      </w:r>
    </w:p>
    <w:p>
      <w:pPr>
        <w:pStyle w:val="BodyText"/>
        <w:numPr>
          <w:ilvl w:val="0"/>
          <w:numId w:val="50"/>
        </w:numPr>
        <w:tabs>
          <w:tab w:val="clear" w:pos="720"/>
          <w:tab w:val="left" w:pos="0" w:leader="none"/>
        </w:tabs>
        <w:spacing w:before="0" w:after="200"/>
        <w:ind w:hanging="283" w:left="720"/>
        <w:rPr/>
      </w:pPr>
      <w:r>
        <w:rPr/>
        <w:t xml:space="preserve">Compatibility with future CoH2 patches must be monitored. (LMAO) </w:t>
      </w:r>
    </w:p>
    <w:p>
      <w:pPr>
        <w:pStyle w:val="Heading1"/>
        <w:rPr/>
      </w:pPr>
      <w:r>
        <w:rPr/>
        <w:t>6. Appendices</w:t>
      </w:r>
    </w:p>
    <w:p>
      <w:pPr>
        <w:pStyle w:val="Heading2"/>
        <w:rPr/>
      </w:pPr>
      <w:r>
        <w:rPr/>
        <w:t>6.1 Design Philosophy Summary</w:t>
      </w:r>
    </w:p>
    <w:p>
      <w:pPr>
        <w:pStyle w:val="BodyText"/>
        <w:spacing w:before="0" w:after="200"/>
        <w:rPr/>
      </w:pPr>
      <w:r>
        <w:rPr/>
        <w:t>CoH2: Defiance exists to address the shortcomings of vanilla CoH2 and deliver a version of the game where every match is decided by strategy and skill. Two years of iterative playtesting have produced a mod that prioritises consistency, faction balance, and strategic depth over content volume or spectacle.</w:t>
      </w:r>
    </w:p>
    <w:p>
      <w:pPr>
        <w:pStyle w:val="BodyText"/>
        <w:spacing w:before="0" w:after="200"/>
        <w:rPr/>
      </w:pPr>
      <w:r>
        <w:rPr/>
        <w:t>The core design principles of CoH2: Defiance are:</w:t>
      </w:r>
    </w:p>
    <w:p>
      <w:pPr>
        <w:pStyle w:val="BodyText"/>
        <w:numPr>
          <w:ilvl w:val="0"/>
          <w:numId w:val="51"/>
        </w:numPr>
        <w:tabs>
          <w:tab w:val="clear" w:pos="720"/>
          <w:tab w:val="left" w:pos="0" w:leader="none"/>
        </w:tabs>
        <w:spacing w:before="0" w:after="0"/>
        <w:ind w:hanging="283" w:left="709"/>
        <w:rPr/>
      </w:pPr>
      <w:r>
        <w:rPr/>
        <w:t xml:space="preserve">Every engagement should have a viable counter. </w:t>
      </w:r>
    </w:p>
    <w:p>
      <w:pPr>
        <w:pStyle w:val="BodyText"/>
        <w:numPr>
          <w:ilvl w:val="0"/>
          <w:numId w:val="51"/>
        </w:numPr>
        <w:tabs>
          <w:tab w:val="clear" w:pos="720"/>
          <w:tab w:val="left" w:pos="0" w:leader="none"/>
        </w:tabs>
        <w:spacing w:before="0" w:after="0"/>
        <w:ind w:hanging="283" w:left="709"/>
        <w:rPr/>
      </w:pPr>
      <w:r>
        <w:rPr/>
        <w:t xml:space="preserve">Player skill and game knowledge should be the primary determinants of match outcomes. </w:t>
      </w:r>
    </w:p>
    <w:p>
      <w:pPr>
        <w:pStyle w:val="BodyText"/>
        <w:numPr>
          <w:ilvl w:val="0"/>
          <w:numId w:val="51"/>
        </w:numPr>
        <w:tabs>
          <w:tab w:val="clear" w:pos="720"/>
          <w:tab w:val="left" w:pos="0" w:leader="none"/>
        </w:tabs>
        <w:spacing w:before="0" w:after="0"/>
        <w:ind w:hanging="283" w:left="709"/>
        <w:rPr/>
      </w:pPr>
      <w:r>
        <w:rPr/>
        <w:t xml:space="preserve">No unit, ability, or mechanic should feel arbitrary or beyond the influence of good play. </w:t>
      </w:r>
    </w:p>
    <w:p>
      <w:pPr>
        <w:pStyle w:val="BodyText"/>
        <w:numPr>
          <w:ilvl w:val="0"/>
          <w:numId w:val="51"/>
        </w:numPr>
        <w:tabs>
          <w:tab w:val="clear" w:pos="720"/>
          <w:tab w:val="left" w:pos="0" w:leader="none"/>
        </w:tabs>
        <w:ind w:hanging="283" w:left="709"/>
        <w:rPr/>
      </w:pPr>
      <w:r>
        <w:rPr/>
        <w:t>Quality and consistency take precedence over quantity.</w:t>
      </w:r>
    </w:p>
    <w:p>
      <w:pPr>
        <w:pStyle w:val="Normal"/>
        <w:rPr/>
      </w:pPr>
      <w:r>
        <w:rPr/>
      </w:r>
    </w:p>
    <w:p>
      <w:pPr>
        <w:pStyle w:val="Heading2"/>
        <w:rPr/>
      </w:pPr>
      <w:r>
        <w:rPr/>
        <w:t>6.2 Inspirations and References</w:t>
      </w:r>
    </w:p>
    <w:p>
      <w:pPr>
        <w:pStyle w:val="BodyText"/>
        <w:numPr>
          <w:ilvl w:val="0"/>
          <w:numId w:val="52"/>
        </w:numPr>
        <w:tabs>
          <w:tab w:val="clear" w:pos="720"/>
          <w:tab w:val="left" w:pos="0" w:leader="none"/>
        </w:tabs>
        <w:spacing w:before="0" w:after="0"/>
        <w:ind w:hanging="283" w:left="720"/>
        <w:rPr/>
      </w:pPr>
      <w:r>
        <w:rPr/>
        <w:t xml:space="preserve">Company of Heroes 2 (Relic Entertainment, 2013) — base framework and mechanical foundation. </w:t>
      </w:r>
    </w:p>
    <w:p>
      <w:pPr>
        <w:pStyle w:val="BodyText"/>
        <w:numPr>
          <w:ilvl w:val="0"/>
          <w:numId w:val="53"/>
        </w:numPr>
        <w:tabs>
          <w:tab w:val="clear" w:pos="720"/>
          <w:tab w:val="left" w:pos="0" w:leader="none"/>
        </w:tabs>
        <w:spacing w:before="0" w:after="0"/>
        <w:ind w:hanging="283" w:left="720"/>
        <w:rPr/>
      </w:pPr>
      <w:r>
        <w:rPr/>
        <w:t xml:space="preserve">Historical WWII equipment, doctrine, and unit organisation — reference for unit design and faction identity. </w:t>
      </w:r>
    </w:p>
    <w:p>
      <w:pPr>
        <w:pStyle w:val="BodyText"/>
        <w:numPr>
          <w:ilvl w:val="0"/>
          <w:numId w:val="54"/>
        </w:numPr>
        <w:tabs>
          <w:tab w:val="clear" w:pos="720"/>
          <w:tab w:val="left" w:pos="0" w:leader="none"/>
        </w:tabs>
        <w:spacing w:before="0" w:after="200"/>
        <w:ind w:hanging="283" w:left="720"/>
        <w:rPr/>
      </w:pPr>
      <w:r>
        <w:rPr/>
        <w:t xml:space="preserve">CoH2 community overhaul mods and tuning packs — structural and design inspiration. </w:t>
      </w:r>
    </w:p>
    <w:p>
      <w:pPr>
        <w:pStyle w:val="Heading2"/>
        <w:rPr/>
      </w:pPr>
      <w:r>
        <w:rPr/>
        <w:t>6.3 Glossary / Abbreviations</w:t>
      </w:r>
    </w:p>
    <w:p>
      <w:pPr>
        <w:pStyle w:val="Normal"/>
        <w:widowControl/>
        <w:bidi w:val="0"/>
        <w:spacing w:lineRule="auto" w:line="276" w:before="0" w:after="200"/>
        <w:jc w:val="left"/>
        <w:rPr/>
      </w:pPr>
      <w:r>
        <w:rPr/>
        <w:t>See Section 1.3.</w:t>
      </w:r>
    </w:p>
    <w:p>
      <w:pPr>
        <w:pStyle w:val="Heading2"/>
        <w:rPr/>
      </w:pPr>
      <w:r>
        <w:rPr/>
        <w:t>6.4 Damage Calculation Formula</w:t>
      </w:r>
    </w:p>
    <w:p>
      <w:pPr>
        <w:pStyle w:val="BodyText"/>
        <w:widowControl/>
        <w:bidi w:val="0"/>
        <w:spacing w:lineRule="auto" w:line="276" w:before="0" w:after="200"/>
        <w:jc w:val="left"/>
        <w:rPr/>
      </w:pPr>
      <w:r>
        <w:rPr>
          <w:rStyle w:val="Emphasis"/>
        </w:rPr>
        <w:t>(To be filled in by InvertedJadgpanther)</w:t>
      </w:r>
    </w:p>
    <w:p>
      <w:pPr>
        <w:pStyle w:val="Normal"/>
        <w:widowControl/>
        <w:bidi w:val="0"/>
        <w:spacing w:lineRule="auto" w:line="276" w:before="0" w:after="200"/>
        <w:jc w:val="left"/>
        <w:rPr/>
      </w:pPr>
      <w:r>
        <w:rPr/>
      </w:r>
    </w:p>
    <w:sectPr>
      <w:footerReference w:type="default" r:id="rId2"/>
      <w:footerReference w:type="first" r:id="rId3"/>
      <w:type w:val="nextPage"/>
      <w:pgSz w:w="12240" w:h="15840"/>
      <w:pgMar w:left="1800" w:right="1800" w:gutter="0" w:header="0" w:top="1440" w:footer="1440" w:bottom="198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1.0 | Aug 2025 | Initial release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000000"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00000"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000000"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000000"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000000"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000000"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000000"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000000"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000000" w:themeFill="text1" w:themeFillShade="99"/>
      </w:tcPr>
    </w:tblStylePr>
    <w:tblStylePr w:type="firstCol">
      <w:rPr>
        <w:color w:val="000000"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000000" w:themeColor="background1"/>
      </w:rPr>
      <w:tblPr/>
      <w:tcPr>
        <w:tcBorders>
          <w:bottom w:val="single" w:color="FFFFFF" w:themeColor="background1" w:sz="12" w:space="0"/>
        </w:tcBorders>
        <w:shd w:val="clear" w:color="auto" w:fill="9E3A38" w:themeFill="accent2" w:themeFillShade="cc"/>
      </w:tcPr>
    </w:tblStylePr>
    <w:tblStylePr w:type="lastRow">
      <w:rPr>
        <w:b/>
        <w:bCs/>
        <w:color w:val="000000"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000000" w:themeColor="background1"/>
      </w:rPr>
      <w:tblPr/>
      <w:tcPr>
        <w:tcBorders>
          <w:bottom w:val="single" w:color="FFFFFF" w:themeColor="background1" w:sz="12" w:space="0"/>
        </w:tcBorders>
        <w:shd w:val="clear" w:color="auto" w:fill="9E3A38" w:themeFill="accent2" w:themeFillShade="cc"/>
      </w:tcPr>
    </w:tblStylePr>
    <w:tblStylePr w:type="lastRow">
      <w:rPr>
        <w:b/>
        <w:bCs/>
        <w:color w:val="000000"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000000" w:themeColor="background1"/>
      </w:rPr>
      <w:tblPr/>
      <w:tcPr>
        <w:tcBorders>
          <w:bottom w:val="single" w:color="FFFFFF" w:themeColor="background1" w:sz="12" w:space="0"/>
        </w:tcBorders>
        <w:shd w:val="clear" w:color="auto" w:fill="9E3A38" w:themeFill="accent2" w:themeFillShade="cc"/>
      </w:tcPr>
    </w:tblStylePr>
    <w:tblStylePr w:type="lastRow">
      <w:rPr>
        <w:b/>
        <w:bCs/>
        <w:color w:val="000000"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000000" w:themeColor="background1"/>
      </w:rPr>
      <w:tblPr/>
      <w:tcPr>
        <w:tcBorders>
          <w:bottom w:val="single" w:color="FFFFFF" w:themeColor="background1" w:sz="12" w:space="0"/>
        </w:tcBorders>
        <w:shd w:val="clear" w:color="auto" w:fill="664E82" w:themeFill="accent4" w:themeFillShade="cc"/>
      </w:tcPr>
    </w:tblStylePr>
    <w:tblStylePr w:type="lastRow">
      <w:rPr>
        <w:b/>
        <w:bCs/>
        <w:color w:val="000000"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000000" w:themeColor="background1"/>
      </w:rPr>
      <w:tblPr/>
      <w:tcPr>
        <w:tcBorders>
          <w:bottom w:val="single" w:color="FFFFFF" w:themeColor="background1" w:sz="12" w:space="0"/>
        </w:tcBorders>
        <w:shd w:val="clear" w:color="auto" w:fill="7E9C40" w:themeFill="accent3" w:themeFillShade="cc"/>
      </w:tcPr>
    </w:tblStylePr>
    <w:tblStylePr w:type="lastRow">
      <w:rPr>
        <w:b/>
        <w:bCs/>
        <w:color w:val="00000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000000" w:themeColor="background1"/>
      </w:rPr>
      <w:tblPr/>
      <w:tcPr>
        <w:tcBorders>
          <w:bottom w:val="single" w:color="FFFFFF" w:themeColor="background1" w:sz="12" w:space="0"/>
        </w:tcBorders>
        <w:shd w:val="clear" w:color="auto" w:fill="F2730A" w:themeFill="accent6" w:themeFillShade="cc"/>
      </w:tcPr>
    </w:tblStylePr>
    <w:tblStylePr w:type="lastRow">
      <w:rPr>
        <w:b/>
        <w:bCs/>
        <w:color w:val="000000"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000000" w:themeColor="background1"/>
      </w:rPr>
      <w:tblPr/>
      <w:tcPr>
        <w:tcBorders>
          <w:bottom w:val="single" w:color="FFFFFF" w:themeColor="background1" w:sz="12" w:space="0"/>
        </w:tcBorders>
        <w:shd w:val="clear" w:color="auto" w:fill="348DA5" w:themeFill="accent5" w:themeFillShade="cc"/>
      </w:tcPr>
    </w:tblStylePr>
    <w:tblStylePr w:type="lastRow">
      <w:rPr>
        <w:b/>
        <w:bCs/>
        <w:color w:val="000000"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000000" w:themeColor="background1"/>
      </w:rPr>
      <w:tblPr/>
      <w:tcPr>
        <w:shd w:val="clear" w:color="auto" w:fill="000000" w:themeFill="text1" w:themeFillShade="bf"/>
      </w:tcPr>
    </w:tblStylePr>
    <w:tblStylePr w:type="lastCol">
      <w:rPr>
        <w:color w:val="000000"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Application>LibreOffice/25.8.5.2$Windows_X86_64 LibreOffice_project/9c8b85f387cc00a89945a79c9e6239f32e450ac2</Application>
  <AppVersion>15.0000</AppVersion>
  <Pages>13</Pages>
  <Words>3011</Words>
  <Characters>16851</Characters>
  <CharactersWithSpaces>19571</CharactersWithSpaces>
  <Paragraphs>301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2026-04-22T06:54:53Z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