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64F5" w14:textId="52EAAF6B" w:rsidR="002A1D05" w:rsidRPr="00A37A75" w:rsidRDefault="00A37A75" w:rsidP="00483929">
      <w:pPr>
        <w:pStyle w:val="Ttulo"/>
      </w:pPr>
      <w:r w:rsidRPr="00A37A75">
        <w:t>Casos de Uso para o Sistema de Estacionamento</w:t>
      </w:r>
    </w:p>
    <w:p w14:paraId="105880A7" w14:textId="67944EDD" w:rsidR="00A37A75" w:rsidRPr="00871066" w:rsidRDefault="00A37A75" w:rsidP="00871066">
      <w:pPr>
        <w:pStyle w:val="Ttulo1"/>
        <w:shd w:val="clear" w:color="auto" w:fill="FFFFFF" w:themeFill="background1"/>
        <w:rPr>
          <w:color w:val="404040" w:themeColor="text1" w:themeTint="BF"/>
          <w:sz w:val="28"/>
          <w:szCs w:val="28"/>
        </w:rPr>
      </w:pPr>
      <w:r w:rsidRPr="00871066">
        <w:rPr>
          <w:color w:val="404040" w:themeColor="text1" w:themeTint="BF"/>
          <w:sz w:val="28"/>
          <w:szCs w:val="28"/>
        </w:rPr>
        <w:t>Guilherme Cesar Tomiasi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37A75" w14:paraId="71B41DF6" w14:textId="77777777" w:rsidTr="00A37A75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449E3C8" w14:textId="00C83A1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Realizar a entrada de um veículo no estacionamento</w:t>
            </w:r>
          </w:p>
        </w:tc>
      </w:tr>
      <w:tr w:rsidR="00A37A75" w14:paraId="739BBD24" w14:textId="77777777" w:rsidTr="00A37A75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5EE49F3" w14:textId="7C60524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4197B230" w14:textId="0C0416E5" w:rsidR="00A37A75" w:rsidRPr="00996330" w:rsidRDefault="00A37A75" w:rsidP="0048392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A37A75" w14:paraId="55AC0326" w14:textId="77777777" w:rsidTr="00A37A75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38B408E3" w14:textId="749EC08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Finalidade</w:t>
            </w:r>
          </w:p>
        </w:tc>
        <w:tc>
          <w:tcPr>
            <w:tcW w:w="4868" w:type="dxa"/>
            <w:vAlign w:val="center"/>
          </w:tcPr>
          <w:p w14:paraId="6DC5BB36" w14:textId="6D908593" w:rsidR="00A37A75" w:rsidRPr="00A37A75" w:rsidRDefault="00A37A75" w:rsidP="00483929">
            <w:pPr>
              <w:jc w:val="left"/>
            </w:pPr>
            <w:r w:rsidRPr="00A37A75">
              <w:t>Admitir um veículo no estacionamento, mantendo as informações do veículo, do motorista e o horário de entrada.</w:t>
            </w:r>
          </w:p>
        </w:tc>
      </w:tr>
      <w:tr w:rsidR="00A37A75" w14:paraId="19E4E78D" w14:textId="77777777" w:rsidTr="00A37A75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3019E73" w14:textId="45C7BC96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30286CDB" w14:textId="292450AE" w:rsidR="00A37A75" w:rsidRPr="00A37A75" w:rsidRDefault="00A37A75" w:rsidP="00483929">
            <w:pPr>
              <w:jc w:val="left"/>
            </w:pPr>
            <w:r w:rsidRPr="00A37A75">
              <w:t>O fiscal responsável pelo controle do estacionamento realiza a entrada de informações do veículo e de seu motorista, assim como o momento da entrada do veículo no estacionamento, e então permite que o veículo entre no estabelecimento.</w:t>
            </w:r>
          </w:p>
        </w:tc>
      </w:tr>
      <w:tr w:rsidR="00A37A75" w14:paraId="34181113" w14:textId="77777777" w:rsidTr="00A37A75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D93C577" w14:textId="1B8BF1D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290B5DBE" w14:textId="6200E9A2" w:rsidR="00A37A75" w:rsidRPr="00A37A75" w:rsidRDefault="00A37A75" w:rsidP="00483929">
            <w:pPr>
              <w:jc w:val="left"/>
            </w:pPr>
            <w:r w:rsidRPr="00A37A75">
              <w:t>Primário, essencial</w:t>
            </w:r>
          </w:p>
        </w:tc>
      </w:tr>
      <w:tr w:rsidR="00A37A75" w:rsidRPr="00ED793C" w14:paraId="28A451B8" w14:textId="77777777" w:rsidTr="00A37A75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A53D195" w14:textId="5EF25D41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1C9C0624" w14:textId="712021BE" w:rsidR="00A37A75" w:rsidRPr="00996330" w:rsidRDefault="00A37A75" w:rsidP="00483929">
            <w:pPr>
              <w:jc w:val="left"/>
              <w:rPr>
                <w:lang w:val="en-US"/>
              </w:rPr>
            </w:pPr>
            <w:r w:rsidRPr="00996330">
              <w:rPr>
                <w:lang w:val="en-US"/>
              </w:rPr>
              <w:t>RF1.1, RF1.3, RF1.4</w:t>
            </w:r>
            <w:r w:rsidR="00996330" w:rsidRPr="00996330">
              <w:rPr>
                <w:lang w:val="en-US"/>
              </w:rPr>
              <w:t>, RF1.5, RF</w:t>
            </w:r>
            <w:r w:rsidR="00996330">
              <w:rPr>
                <w:lang w:val="en-US"/>
              </w:rPr>
              <w:t>1.6</w:t>
            </w:r>
          </w:p>
        </w:tc>
      </w:tr>
      <w:tr w:rsidR="00A37A75" w14:paraId="32F63A96" w14:textId="77777777" w:rsidTr="00A37A75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FD46A14" w14:textId="69797AF4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A37A75" w14:paraId="2F924255" w14:textId="77777777" w:rsidTr="0048392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56C98CD9" w14:textId="251062FE" w:rsidR="00A37A75" w:rsidRPr="00483929" w:rsidRDefault="00483929" w:rsidP="0048392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E167BA5" w14:textId="5E311210" w:rsidR="00A37A75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A37A75" w14:paraId="5A534FF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E968D5" w14:textId="6B4E6F70" w:rsidR="00A37A75" w:rsidRDefault="00483929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483929">
              <w:t xml:space="preserve"> O motorista chega no estacionamento e requisita a entrada de seu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8679F34" w14:textId="77777777" w:rsidR="00A37A75" w:rsidRDefault="00A37A75" w:rsidP="00483929"/>
        </w:tc>
      </w:tr>
      <w:tr w:rsidR="00483929" w14:paraId="4324F775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1C8C106" w14:textId="000F8F16" w:rsidR="00483929" w:rsidRPr="00483929" w:rsidRDefault="00483929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>
              <w:t xml:space="preserve"> O fiscal do estacionamento seleciona o tipo de veículo que pretende adentrar o estacionamento (</w:t>
            </w:r>
            <w:r w:rsidRPr="00483929">
              <w:rPr>
                <w:i/>
                <w:iCs/>
              </w:rPr>
              <w:t>carro</w:t>
            </w:r>
            <w:r>
              <w:t xml:space="preserve"> ou </w:t>
            </w:r>
            <w:r w:rsidRPr="00483929">
              <w:rPr>
                <w:i/>
                <w:iCs/>
              </w:rPr>
              <w:t>moto</w:t>
            </w:r>
            <w:r>
              <w:t>)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DA1CC3B" w14:textId="77777777" w:rsidR="00483929" w:rsidRDefault="00483929" w:rsidP="00483929"/>
        </w:tc>
      </w:tr>
      <w:tr w:rsidR="00996330" w14:paraId="4314C93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63F8A6E" w14:textId="77777777" w:rsidR="00996330" w:rsidRDefault="00996330" w:rsidP="00483929"/>
        </w:tc>
        <w:tc>
          <w:tcPr>
            <w:tcW w:w="4868" w:type="dxa"/>
            <w:shd w:val="clear" w:color="auto" w:fill="auto"/>
            <w:vAlign w:val="center"/>
          </w:tcPr>
          <w:p w14:paraId="3EAE62E5" w14:textId="7ADED3F7" w:rsidR="00996330" w:rsidRDefault="00996330" w:rsidP="00871066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O software permite a inserção de informações relacionadas ao veículo que está adentrando o estacionamento, assim como as informações de seu motorista.</w:t>
            </w:r>
          </w:p>
        </w:tc>
      </w:tr>
      <w:tr w:rsidR="00A37A75" w14:paraId="123977F0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07A09F9" w14:textId="50D8E0F3" w:rsidR="00A37A75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do estacionamento insere as informações do veículo que está adentrando o estacionamento e as informações de seu motorista.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4DD8B66" w14:textId="77777777" w:rsidR="00A37A75" w:rsidRPr="00483929" w:rsidRDefault="00A37A75" w:rsidP="00483929"/>
        </w:tc>
      </w:tr>
      <w:tr w:rsidR="00A37A75" w14:paraId="5E8EA666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2C97DB86" w14:textId="04A579D7" w:rsidR="00A37A75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5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admite a entrada do veículo no estacionamento.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58CD7F04" w14:textId="77777777" w:rsidR="00A37A75" w:rsidRDefault="00A37A75" w:rsidP="00483929"/>
        </w:tc>
      </w:tr>
      <w:tr w:rsidR="00483929" w14:paraId="5805491B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7C3A7B2" w14:textId="7FA2BB37" w:rsidR="00483929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996330" w14:paraId="2EF1CC83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3179F67C" w14:textId="0C849CA6" w:rsidR="00996330" w:rsidRDefault="00996330" w:rsidP="00483929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Caso o número de vagas para o tipo de veículo determinado em (2.) seja igual a zero, o veículo não pode adentrar o estacionamento. O software notifica o fiscal responsável que as vagas para aquele determinado tipo de veículo estão esgotadas.</w:t>
            </w:r>
          </w:p>
        </w:tc>
      </w:tr>
      <w:tr w:rsidR="00483929" w14:paraId="6FCB4C2E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6B3EE56" w14:textId="3D01E1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Se o horário de entrada não obedecer ao horário de funcionamento do estacionamento - isto é, entre 06:00 e 18:00, com uma tolerância de 10 minutos - o motorista do veículo será informado que não é possível realizar a entrada do veículo no estacionamento.</w:t>
            </w:r>
          </w:p>
        </w:tc>
      </w:tr>
      <w:tr w:rsidR="00483929" w14:paraId="04C2C93D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26401DC5" w14:textId="16B79E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cliente do estacionamento poderá - no momento da entrada - optar pela opção de pagamento em Diária, com o preço de R$14,00. Nesse caso, o veículo poderá permanecer estacionado durante o período de funcionamento do estacionamento para aquele dia, tendo que ser retirado antes que ele feche.</w:t>
            </w:r>
          </w:p>
        </w:tc>
      </w:tr>
    </w:tbl>
    <w:p w14:paraId="3FA253AB" w14:textId="4CECE9DB" w:rsidR="00A37A75" w:rsidRDefault="00A37A75" w:rsidP="004839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96330" w14:paraId="3D3F9230" w14:textId="77777777" w:rsidTr="00887AC9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93F5227" w14:textId="2314B429" w:rsidR="00996330" w:rsidRPr="00996330" w:rsidRDefault="00996330" w:rsidP="00887AC9">
            <w:pPr>
              <w:rPr>
                <w:b/>
                <w:bCs/>
              </w:rPr>
            </w:pPr>
            <w:r w:rsidRPr="00996330">
              <w:rPr>
                <w:b/>
                <w:bCs/>
              </w:rPr>
              <w:t>Permitir a saída de um veículo do estacionamento</w:t>
            </w:r>
          </w:p>
        </w:tc>
      </w:tr>
      <w:tr w:rsidR="00996330" w14:paraId="3F2EF3A9" w14:textId="77777777" w:rsidTr="00887AC9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AD8041E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5C22D414" w14:textId="77777777" w:rsidR="00996330" w:rsidRPr="00996330" w:rsidRDefault="00996330" w:rsidP="00887AC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996330" w14:paraId="10CFF22A" w14:textId="77777777" w:rsidTr="00887AC9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07465F8F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lastRenderedPageBreak/>
              <w:t>Finalidade</w:t>
            </w:r>
          </w:p>
        </w:tc>
        <w:tc>
          <w:tcPr>
            <w:tcW w:w="4868" w:type="dxa"/>
            <w:vAlign w:val="center"/>
          </w:tcPr>
          <w:p w14:paraId="31CC972A" w14:textId="00F91432" w:rsidR="00996330" w:rsidRPr="00996330" w:rsidRDefault="00996330" w:rsidP="00887AC9">
            <w:pPr>
              <w:jc w:val="left"/>
            </w:pPr>
            <w:r w:rsidRPr="00996330">
              <w:t>Permitir que um veículo seja retirado do estacionamento, calculando o preço a ser cobrado no horário de saída.</w:t>
            </w:r>
          </w:p>
        </w:tc>
      </w:tr>
      <w:tr w:rsidR="00996330" w14:paraId="05797E61" w14:textId="77777777" w:rsidTr="00887AC9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489E8D0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09B525D8" w14:textId="1A8B91C3" w:rsidR="00996330" w:rsidRPr="00996330" w:rsidRDefault="00996330" w:rsidP="00887AC9">
            <w:pPr>
              <w:jc w:val="left"/>
            </w:pPr>
            <w:r w:rsidRPr="00996330">
              <w:t>O fiscal responsável pelo controle do estacionamento verifica a diferença entre o horário de admissão do veículo e o horário de saída, atribui a quantidade a ser paga e permite a retirada do veículo do estacionamento.</w:t>
            </w:r>
          </w:p>
        </w:tc>
      </w:tr>
      <w:tr w:rsidR="00996330" w14:paraId="5C20BDF5" w14:textId="77777777" w:rsidTr="00887AC9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0F1F77A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7DAFCB8C" w14:textId="77777777" w:rsidR="00996330" w:rsidRPr="00A37A75" w:rsidRDefault="00996330" w:rsidP="00887AC9">
            <w:pPr>
              <w:jc w:val="left"/>
            </w:pPr>
            <w:r w:rsidRPr="00A37A75">
              <w:t>Primário, essencial</w:t>
            </w:r>
          </w:p>
        </w:tc>
      </w:tr>
      <w:tr w:rsidR="00996330" w14:paraId="6924127F" w14:textId="77777777" w:rsidTr="00887AC9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F2442D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5D24D59F" w14:textId="2D496C8A" w:rsidR="00996330" w:rsidRPr="00996330" w:rsidRDefault="00996330" w:rsidP="00887AC9">
            <w:pPr>
              <w:jc w:val="left"/>
            </w:pPr>
            <w:r w:rsidRPr="00996330">
              <w:t xml:space="preserve">RF1.2, </w:t>
            </w:r>
            <w:r w:rsidR="00871066">
              <w:t>RF1.3, RF1.4, RF1.8</w:t>
            </w:r>
          </w:p>
        </w:tc>
      </w:tr>
      <w:tr w:rsidR="00996330" w14:paraId="4F1F381A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7E674E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996330" w14:paraId="69E828C8" w14:textId="77777777" w:rsidTr="00887AC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BB81F26" w14:textId="77777777" w:rsidR="00996330" w:rsidRPr="00483929" w:rsidRDefault="00996330" w:rsidP="00887AC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18FEF9C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996330" w14:paraId="29BEE0F8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0A717D31" w14:textId="648901E2" w:rsidR="00996330" w:rsidRPr="00996330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996330">
              <w:t xml:space="preserve"> O motorista chega no estacionamento e requisita a retirada de seu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EDC6FEE" w14:textId="77777777" w:rsidR="00996330" w:rsidRDefault="00996330" w:rsidP="00887AC9"/>
        </w:tc>
      </w:tr>
      <w:tr w:rsidR="00996330" w14:paraId="79070242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AC945F7" w14:textId="0DD284B0" w:rsidR="00996330" w:rsidRPr="00B23AA3" w:rsidRDefault="00B23AA3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 w:rsidRPr="00B23AA3">
              <w:t xml:space="preserve"> O fiscal do estacionamento seleciona o veículo a ser retirado, o horário de saída é recuperado automaticamente.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68DCD3A" w14:textId="77777777" w:rsidR="00996330" w:rsidRDefault="00996330" w:rsidP="00887AC9"/>
        </w:tc>
      </w:tr>
      <w:tr w:rsidR="00996330" w14:paraId="0ADA72B2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CEE962A" w14:textId="77777777" w:rsidR="00996330" w:rsidRDefault="00996330" w:rsidP="00887AC9"/>
        </w:tc>
        <w:tc>
          <w:tcPr>
            <w:tcW w:w="4868" w:type="dxa"/>
            <w:shd w:val="clear" w:color="auto" w:fill="auto"/>
            <w:vAlign w:val="center"/>
          </w:tcPr>
          <w:p w14:paraId="7E87D355" w14:textId="3CF9B722" w:rsidR="00B23AA3" w:rsidRDefault="00B23AA3" w:rsidP="00B23AA3">
            <w:pPr>
              <w:jc w:val="left"/>
              <w:rPr>
                <w:rFonts w:eastAsia="Times New Roman"/>
                <w:lang w:eastAsia="pt-BR"/>
              </w:rPr>
            </w:pPr>
            <w:r w:rsidRPr="00B23AA3">
              <w:rPr>
                <w:rFonts w:eastAsia="Times New Roman"/>
                <w:b/>
                <w:bCs/>
                <w:lang w:eastAsia="pt-BR"/>
              </w:rPr>
              <w:t xml:space="preserve">3. </w:t>
            </w:r>
            <w:r w:rsidRPr="00B23AA3">
              <w:rPr>
                <w:rFonts w:eastAsia="Times New Roman"/>
                <w:lang w:eastAsia="pt-BR"/>
              </w:rPr>
              <w:t>Calcula a diferença entre o horário de saída (recuperado no momento do cálculo) e o horário de entrada (guardado durante a entrada do veículo), isto é:</w:t>
            </w:r>
          </w:p>
          <w:p w14:paraId="12E31B36" w14:textId="2D978F3B" w:rsidR="00B23AA3" w:rsidRPr="00B23AA3" w:rsidRDefault="00B23AA3" w:rsidP="00B23AA3">
            <w:pPr>
              <w:spacing w:line="360" w:lineRule="auto"/>
              <w:jc w:val="left"/>
              <w:rPr>
                <w:rFonts w:eastAsia="Times New Roman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pt-BR"/>
                  </w:rPr>
                  <m:t>d</m:t>
                </m:r>
                <m:r>
                  <w:rPr>
                    <w:rFonts w:ascii="Cambria Math" w:eastAsia="Times New Roman" w:hAnsi="Cambria Math"/>
                    <w:lang w:eastAsia="pt-BR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eastAsia="pt-BR"/>
                      </w:rPr>
                      <m:t>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eastAsia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saída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lang w:eastAsia="pt-BR"/>
                      </w:rPr>
                      <m:t>-horári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entrada</m:t>
                        </m:r>
                      </m:sub>
                    </m:sSub>
                  </m:e>
                </m:d>
              </m:oMath>
            </m:oMathPara>
          </w:p>
          <w:p w14:paraId="08038A39" w14:textId="34A28B40" w:rsidR="00996330" w:rsidRPr="00B23AA3" w:rsidRDefault="00B23AA3" w:rsidP="00B23AA3">
            <w:pPr>
              <w:jc w:val="left"/>
            </w:pPr>
            <w:r w:rsidRPr="00B23AA3">
              <w:rPr>
                <w:rFonts w:eastAsia="Times New Roman"/>
                <w:lang w:eastAsia="pt-BR"/>
              </w:rPr>
              <w:t xml:space="preserve">Em que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 xml:space="preserve">d </w:t>
            </w:r>
            <w:r w:rsidRPr="00B23AA3">
              <w:rPr>
                <w:rFonts w:eastAsia="Times New Roman"/>
                <w:lang w:eastAsia="pt-BR"/>
              </w:rPr>
              <w:t xml:space="preserve">é dada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horas</w:t>
            </w:r>
            <w:r w:rsidRPr="00B23AA3">
              <w:rPr>
                <w:rFonts w:eastAsia="Times New Roman"/>
                <w:lang w:eastAsia="pt-BR"/>
              </w:rPr>
              <w:t>.</w:t>
            </w:r>
            <w:r>
              <w:rPr>
                <w:rFonts w:eastAsia="Times New Roman"/>
                <w:lang w:eastAsia="pt-BR"/>
              </w:rPr>
              <w:t xml:space="preserve"> </w:t>
            </w:r>
          </w:p>
        </w:tc>
      </w:tr>
      <w:tr w:rsidR="00B23AA3" w14:paraId="069D5CA6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2EBC08" w14:textId="77777777" w:rsidR="00B23AA3" w:rsidRDefault="00B23AA3" w:rsidP="00887AC9"/>
        </w:tc>
        <w:tc>
          <w:tcPr>
            <w:tcW w:w="4868" w:type="dxa"/>
            <w:shd w:val="clear" w:color="auto" w:fill="auto"/>
            <w:vAlign w:val="center"/>
          </w:tcPr>
          <w:p w14:paraId="05E00FCD" w14:textId="45806039" w:rsidR="00B23AA3" w:rsidRDefault="00B23AA3" w:rsidP="00B23AA3">
            <w:pPr>
              <w:jc w:val="left"/>
              <w:rPr>
                <w:rFonts w:eastAsia="Times New Roman"/>
                <w:lang w:eastAsia="pt-BR"/>
              </w:rPr>
            </w:pPr>
            <w:r w:rsidRPr="00B23AA3">
              <w:rPr>
                <w:rFonts w:eastAsia="Times New Roman"/>
                <w:b/>
                <w:bCs/>
                <w:lang w:eastAsia="pt-BR"/>
              </w:rPr>
              <w:t xml:space="preserve">4. </w:t>
            </w:r>
            <w:r w:rsidRPr="00B23AA3">
              <w:rPr>
                <w:rFonts w:eastAsia="Times New Roman"/>
                <w:lang w:eastAsia="pt-BR"/>
              </w:rPr>
              <w:t>A partir da diferença calculada, calcular o valor a ser cobrado a partir da função:</w:t>
            </w:r>
          </w:p>
          <w:p w14:paraId="68F83A81" w14:textId="112C4C53" w:rsidR="00B23AA3" w:rsidRPr="00B23AA3" w:rsidRDefault="00000000" w:rsidP="00B23AA3">
            <w:pPr>
              <w:spacing w:line="360" w:lineRule="auto"/>
              <w:jc w:val="left"/>
              <w:rPr>
                <w:rFonts w:eastAsia="Times New Roman"/>
                <w:color w:val="auto"/>
                <w:lang w:eastAsia="pt-B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eastAsia="pt-B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lang w:eastAsia="pt-BR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=8,   caso d≤4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=d+4,  caso 4&lt;d≤12</m:t>
                        </m:r>
                      </m:e>
                    </m:eqArr>
                  </m:e>
                </m:d>
              </m:oMath>
            </m:oMathPara>
          </w:p>
          <w:p w14:paraId="1EF05FF1" w14:textId="2F27E088" w:rsidR="00B23AA3" w:rsidRPr="00B23AA3" w:rsidRDefault="00B23AA3" w:rsidP="00B23AA3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 w:rsidRPr="00B23AA3">
              <w:rPr>
                <w:rFonts w:eastAsia="Times New Roman"/>
                <w:lang w:eastAsia="pt-BR"/>
              </w:rPr>
              <w:t xml:space="preserve">Onde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>p</w:t>
            </w:r>
            <w:r w:rsidRPr="00B23AA3">
              <w:rPr>
                <w:rFonts w:eastAsia="Times New Roman"/>
                <w:lang w:eastAsia="pt-BR"/>
              </w:rPr>
              <w:t xml:space="preserve"> é dado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reais</w:t>
            </w:r>
            <w:r w:rsidRPr="00B23AA3">
              <w:rPr>
                <w:rFonts w:eastAsia="Times New Roman"/>
                <w:lang w:eastAsia="pt-BR"/>
              </w:rPr>
              <w:t>.</w:t>
            </w:r>
          </w:p>
        </w:tc>
      </w:tr>
      <w:tr w:rsidR="00871066" w14:paraId="7BDA69D0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509B37C" w14:textId="77777777" w:rsidR="00871066" w:rsidRDefault="00871066" w:rsidP="00887AC9"/>
        </w:tc>
        <w:tc>
          <w:tcPr>
            <w:tcW w:w="4868" w:type="dxa"/>
            <w:shd w:val="clear" w:color="auto" w:fill="auto"/>
            <w:vAlign w:val="center"/>
          </w:tcPr>
          <w:p w14:paraId="50377D9A" w14:textId="72AEE55C" w:rsidR="00871066" w:rsidRPr="00B23AA3" w:rsidRDefault="00871066" w:rsidP="00871066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>
              <w:rPr>
                <w:b/>
                <w:bCs/>
              </w:rPr>
              <w:t xml:space="preserve">5. </w:t>
            </w:r>
            <w:r>
              <w:t>O sistema apresenta o preço calculado ao fiscal do estacionamento.</w:t>
            </w:r>
          </w:p>
        </w:tc>
      </w:tr>
      <w:tr w:rsidR="00996330" w14:paraId="50F4369A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96EBCCD" w14:textId="1BF2ECA9" w:rsidR="00996330" w:rsidRDefault="00871066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6.</w:t>
            </w:r>
            <w:r w:rsidRPr="00871066">
              <w:t xml:space="preserve"> O fiscal do estacionamento realiza a cobrança do pagamento ao motorista do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284DEFC6" w14:textId="77777777" w:rsidR="00996330" w:rsidRPr="00483929" w:rsidRDefault="00996330" w:rsidP="00887AC9"/>
        </w:tc>
      </w:tr>
      <w:tr w:rsidR="00996330" w14:paraId="56BD02FC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43DF8A36" w14:textId="50F3EFA9" w:rsidR="00996330" w:rsidRDefault="00871066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7.</w:t>
            </w:r>
            <w:r w:rsidRPr="00871066">
              <w:t xml:space="preserve"> O fiscal do estacionamento permite que o veículo saia do estabelecimento.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1C61268" w14:textId="77777777" w:rsidR="00996330" w:rsidRDefault="00996330" w:rsidP="00887AC9"/>
        </w:tc>
      </w:tr>
      <w:tr w:rsidR="00996330" w14:paraId="2581A20C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C286A4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996330" w14:paraId="20F43BA2" w14:textId="77777777" w:rsidTr="00871066">
        <w:trPr>
          <w:trHeight w:val="576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9327D0C" w14:textId="512B2CDC" w:rsidR="00996330" w:rsidRDefault="00871066" w:rsidP="00887AC9">
            <w:pPr>
              <w:jc w:val="left"/>
            </w:pPr>
            <w:r w:rsidRPr="00871066">
              <w:rPr>
                <w:b/>
                <w:bCs/>
              </w:rPr>
              <w:t>4.</w:t>
            </w:r>
            <w:r w:rsidRPr="00871066">
              <w:t xml:space="preserve"> Se o cliente optou pela opção de pagamento em Diária, o preço a ser cobrado será de R$14,00 independente da diferença de horário calculada.</w:t>
            </w:r>
          </w:p>
        </w:tc>
      </w:tr>
      <w:tr w:rsidR="00996330" w14:paraId="2BD56C15" w14:textId="77777777" w:rsidTr="00871066">
        <w:trPr>
          <w:trHeight w:val="590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54A07C82" w14:textId="3703075E" w:rsidR="00996330" w:rsidRPr="00871066" w:rsidRDefault="00871066" w:rsidP="00887AC9">
            <w:pPr>
              <w:jc w:val="left"/>
            </w:pPr>
            <w:r>
              <w:rPr>
                <w:b/>
                <w:bCs/>
              </w:rPr>
              <w:t>4.</w:t>
            </w:r>
            <w:r>
              <w:t xml:space="preserve"> Se o veículo não for retirado até o fim do horário de funcionamento do estacionamento, é acrescido um valor de R$30,00 para o preço cobrado ao motorista, chamado de </w:t>
            </w:r>
            <w:r>
              <w:rPr>
                <w:b/>
                <w:bCs/>
              </w:rPr>
              <w:t>taxa de não retirada.</w:t>
            </w:r>
          </w:p>
        </w:tc>
      </w:tr>
    </w:tbl>
    <w:p w14:paraId="37D45EA3" w14:textId="77777777" w:rsidR="00996330" w:rsidRPr="00A37A75" w:rsidRDefault="00996330" w:rsidP="00483929"/>
    <w:sectPr w:rsidR="00996330" w:rsidRPr="00A37A75" w:rsidSect="00A37A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5"/>
    <w:rsid w:val="002A1D05"/>
    <w:rsid w:val="003A0B00"/>
    <w:rsid w:val="00483929"/>
    <w:rsid w:val="00871066"/>
    <w:rsid w:val="00996330"/>
    <w:rsid w:val="00A37A75"/>
    <w:rsid w:val="00B23AA3"/>
    <w:rsid w:val="00E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877"/>
  <w15:chartTrackingRefBased/>
  <w15:docId w15:val="{A7E1FCE3-ADEB-45B7-A42D-729F391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29"/>
    <w:pPr>
      <w:spacing w:after="0" w:line="240" w:lineRule="auto"/>
      <w:jc w:val="center"/>
    </w:pPr>
    <w:rPr>
      <w:rFonts w:ascii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37A75"/>
    <w:pPr>
      <w:spacing w:line="360" w:lineRule="auto"/>
      <w:outlineLvl w:val="0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7A75"/>
    <w:pPr>
      <w:contextualSpacing/>
    </w:pPr>
    <w:rPr>
      <w:rFonts w:eastAsiaTheme="majorEastAsia"/>
      <w:b/>
      <w:bCs/>
      <w:spacing w:val="-10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37A75"/>
    <w:rPr>
      <w:rFonts w:ascii="Times New Roman" w:eastAsiaTheme="majorEastAsia" w:hAnsi="Times New Roman" w:cs="Times New Roman"/>
      <w:b/>
      <w:bCs/>
      <w:spacing w:val="-10"/>
      <w:kern w:val="28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A37A75"/>
    <w:rPr>
      <w:rFonts w:ascii="Times New Roman" w:hAnsi="Times New Roman" w:cs="Times New Roman"/>
      <w:sz w:val="32"/>
      <w:szCs w:val="32"/>
    </w:rPr>
  </w:style>
  <w:style w:type="table" w:styleId="Tabelacomgrade">
    <w:name w:val="Table Grid"/>
    <w:basedOn w:val="Tabelanormal"/>
    <w:uiPriority w:val="39"/>
    <w:rsid w:val="00A3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3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AA3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23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E4E6-E9D1-425E-B081-C0FCFA4A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Tomiasi</dc:creator>
  <cp:keywords/>
  <dc:description/>
  <cp:lastModifiedBy>Paulo Tomiasi</cp:lastModifiedBy>
  <cp:revision>2</cp:revision>
  <dcterms:created xsi:type="dcterms:W3CDTF">2022-12-08T01:36:00Z</dcterms:created>
  <dcterms:modified xsi:type="dcterms:W3CDTF">2022-12-09T22:30:00Z</dcterms:modified>
</cp:coreProperties>
</file>