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ZRICN5ye/7IXV0eoFIiU63DTNw==">CgMxLjA4AHIhMTlSNWs4TG5QRTNGdmcwbHdTcl9vM2FKT1oyWTZ4cEoy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