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993333"/>
          <w:sz w:val="18"/>
        </w:rPr>
        <w:t>เอกสารสมมติเพื่อการฝึกอบรมเท่านั้น: บริษัท ชื่อบุคคล ตัวเลข และเหตุการณ์ทั้งหมดไม่ใช่ข้อมูลจริง</w:t>
      </w:r>
    </w:p>
    <w:p>
      <w:pPr>
        <w:pStyle w:val="Title"/>
      </w:pPr>
      <w:r>
        <w:t>นโยบายเครดิตและการติดตามลูกหนี้ ฉบับปรับปรุง ปี 2568</w:t>
      </w:r>
    </w:p>
    <w:p>
      <w:r>
        <w:t>บริษัท ไร้ควันพันล้าน จำกัด | ฝ่ายการเงิน | มีผลบังคับใช้ 1 มกราคม 2568</w:t>
      </w:r>
    </w:p>
    <w:p>
      <w:pPr>
        <w:pStyle w:val="Heading1"/>
      </w:pPr>
      <w:r>
        <w:t>1. เครดิตเทอมมาตรฐาน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ประเภทลูกค้า</w:t>
            </w:r>
          </w:p>
        </w:tc>
        <w:tc>
          <w:tcPr>
            <w:tcW w:type="dxa" w:w="4320"/>
          </w:tcPr>
          <w:p>
            <w:r>
              <w:rPr>
                <w:b/>
              </w:rPr>
              <w:t>เครดิตเทอม</w:t>
            </w:r>
          </w:p>
        </w:tc>
      </w:tr>
      <w:tr>
        <w:tc>
          <w:tcPr>
            <w:tcW w:type="dxa" w:w="4320"/>
          </w:tcPr>
          <w:p>
            <w:r>
              <w:t>Modern Trade</w:t>
            </w:r>
          </w:p>
        </w:tc>
        <w:tc>
          <w:tcPr>
            <w:tcW w:type="dxa" w:w="4320"/>
          </w:tcPr>
          <w:p>
            <w:r>
              <w:t>60 วัน (ร้านสะดวกซื้อ 45 วัน)</w:t>
            </w:r>
          </w:p>
        </w:tc>
      </w:tr>
      <w:tr>
        <w:tc>
          <w:tcPr>
            <w:tcW w:type="dxa" w:w="4320"/>
          </w:tcPr>
          <w:p>
            <w:r>
              <w:t>General Trade (ยี่ปั๊ว/ค้าส่ง)</w:t>
            </w:r>
          </w:p>
        </w:tc>
        <w:tc>
          <w:tcPr>
            <w:tcW w:type="dxa" w:w="4320"/>
          </w:tcPr>
          <w:p>
            <w:r>
              <w:t>15 วัน</w:t>
            </w:r>
          </w:p>
        </w:tc>
      </w:tr>
      <w:tr>
        <w:tc>
          <w:tcPr>
            <w:tcW w:type="dxa" w:w="4320"/>
          </w:tcPr>
          <w:p>
            <w:r>
              <w:t>ร้านค้าปลีกทั่วไป</w:t>
            </w:r>
          </w:p>
        </w:tc>
        <w:tc>
          <w:tcPr>
            <w:tcW w:type="dxa" w:w="4320"/>
          </w:tcPr>
          <w:p>
            <w:r>
              <w:t>เงินสด</w:t>
            </w:r>
          </w:p>
        </w:tc>
      </w:tr>
    </w:tbl>
    <w:p/>
    <w:p>
      <w:pPr>
        <w:pStyle w:val="Heading1"/>
      </w:pPr>
      <w:r>
        <w:t>2. วงเงินอนุมัติ</w:t>
      </w:r>
    </w:p>
    <w:p>
      <w:r>
        <w:t>ผู้จัดการฝ่ายขายอนุมัติวงเงินได้ไม่เกิน 200,000 บาทต่อราย ส่วนเกินให้ส่งเรื่องถึงผู้อำนวยการฝ่ายการเงิน การขอข้อยกเว้นเครดิตเทอมต้องได้รับอนุมัติเป็นลายลักษณ์อักษรจากหัวหน้าฝ่ายการเงิน</w:t>
      </w:r>
    </w:p>
    <w:p>
      <w:pPr>
        <w:pStyle w:val="Heading1"/>
      </w:pPr>
      <w:r>
        <w:t>3. ค่าปรับชำระล่าช้า</w:t>
      </w:r>
    </w:p>
    <w:p>
      <w:r>
        <w:t>หากชำระเกินกำหนด บริษัทคิดค่าปรับอัตรา 1.5% ต่อเดือนของยอดค้างชำระ</w:t>
      </w:r>
    </w:p>
    <w:p>
      <w:pPr>
        <w:pStyle w:val="Heading1"/>
      </w:pPr>
      <w:r>
        <w:t>4. การติดตามหนี้</w:t>
      </w:r>
    </w:p>
    <w:p>
      <w:r>
        <w:t>ค้างชำระเกิน 30 วัน ส่งจดหมายเตือน เกิน 45 วัน ระงับการส่งสินค้า เกิน 90 วัน ส่งเรื่องให้ฝ่ายกฎหมาย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 w:cs="Tahom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