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664E" w14:textId="01D85A23" w:rsidR="00743B1B" w:rsidRDefault="00743B1B" w:rsidP="00743B1B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To attain the aim of a totally autonomous driving car, the </w:t>
      </w:r>
      <w:r>
        <w:rPr>
          <w:sz w:val="24"/>
          <w:szCs w:val="24"/>
        </w:rPr>
        <w:t>robot vehicle</w:t>
      </w:r>
      <w:r>
        <w:rPr>
          <w:sz w:val="24"/>
          <w:szCs w:val="24"/>
        </w:rPr>
        <w:t xml:space="preserve"> must have a thorough understanding of its surroundings. One aspect of the puzzle is onboard sensors, radars, and cameras. To provide a global perspective, additional data from surrounding vehicle sensors, intelligent traffic management systems (TMS), and pedestrians </w:t>
      </w:r>
      <w:r>
        <w:rPr>
          <w:sz w:val="24"/>
          <w:szCs w:val="24"/>
        </w:rPr>
        <w:t>were</w:t>
      </w:r>
      <w:r>
        <w:rPr>
          <w:sz w:val="24"/>
          <w:szCs w:val="24"/>
        </w:rPr>
        <w:t xml:space="preserve"> collected. It is also necessary to establish a global traffic-information network. Getting this information across V2X is responsible for delivering air to all entities. Taking a broad picture of the vehicle's own circumstances It is conceivable to drive autonomously in the presence of these factors and nearby traffic. Information that is required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based on </w:t>
      </w:r>
      <w:r>
        <w:rPr>
          <w:sz w:val="24"/>
          <w:szCs w:val="24"/>
        </w:rPr>
        <w:t>onboard</w:t>
      </w:r>
      <w:r>
        <w:rPr>
          <w:sz w:val="24"/>
          <w:szCs w:val="24"/>
        </w:rPr>
        <w:t xml:space="preserve"> sensors and V2X data, which are then analyzed by </w:t>
      </w:r>
      <w:r>
        <w:rPr>
          <w:sz w:val="24"/>
          <w:szCs w:val="24"/>
        </w:rPr>
        <w:t>a sensor-fusion algorithm</w:t>
      </w:r>
      <w:r>
        <w:rPr>
          <w:sz w:val="24"/>
          <w:szCs w:val="24"/>
        </w:rPr>
        <w:t>.</w:t>
      </w:r>
    </w:p>
    <w:p w14:paraId="6DAD71BC" w14:textId="291CFF7B" w:rsidR="00743B1B" w:rsidRDefault="00743B1B" w:rsidP="00743B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AFB59A5" wp14:editId="68A9DEE7">
            <wp:extent cx="3411940" cy="2729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150" cy="27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31F12A5D" w14:textId="2F25704E" w:rsidR="00743B1B" w:rsidRDefault="00743B1B" w:rsidP="00743B1B">
      <w:pPr>
        <w:spacing w:line="273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Figure 1: </w:t>
      </w:r>
      <w:r>
        <w:rPr>
          <w:sz w:val="24"/>
          <w:szCs w:val="24"/>
        </w:rPr>
        <w:t>Autonomous</w:t>
      </w:r>
      <w:r>
        <w:rPr>
          <w:sz w:val="24"/>
          <w:szCs w:val="24"/>
        </w:rPr>
        <w:t xml:space="preserve"> Cross Road </w:t>
      </w:r>
      <w:r>
        <w:rPr>
          <w:sz w:val="24"/>
          <w:szCs w:val="24"/>
        </w:rPr>
        <w:t>Infrastructure</w:t>
      </w:r>
      <w:r>
        <w:rPr>
          <w:sz w:val="24"/>
          <w:szCs w:val="24"/>
        </w:rPr>
        <w:t xml:space="preserve"> Scenario</w:t>
      </w:r>
    </w:p>
    <w:p w14:paraId="0BF30F60" w14:textId="1C0CCEE7" w:rsidR="00743B1B" w:rsidRDefault="00743B1B" w:rsidP="00743B1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AAEFC0" wp14:editId="0E9ED37D">
            <wp:extent cx="5486400" cy="3164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6A18456" w14:textId="3A649698" w:rsidR="00743B1B" w:rsidRDefault="00743B1B" w:rsidP="00743B1B">
      <w:pPr>
        <w:spacing w:line="273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Figure 2: </w:t>
      </w:r>
      <w:r>
        <w:rPr>
          <w:sz w:val="24"/>
          <w:szCs w:val="24"/>
        </w:rPr>
        <w:t>Autonomous</w:t>
      </w:r>
      <w:r>
        <w:rPr>
          <w:sz w:val="24"/>
          <w:szCs w:val="24"/>
        </w:rPr>
        <w:t xml:space="preserve"> Cross Road </w:t>
      </w:r>
      <w:r>
        <w:rPr>
          <w:sz w:val="24"/>
          <w:szCs w:val="24"/>
        </w:rPr>
        <w:t>Infrastructure Use Case</w:t>
      </w:r>
      <w:r>
        <w:rPr>
          <w:sz w:val="24"/>
          <w:szCs w:val="24"/>
        </w:rPr>
        <w:t xml:space="preserve"> Diagram</w:t>
      </w:r>
    </w:p>
    <w:p w14:paraId="3FF20BF4" w14:textId="77777777" w:rsidR="00743B1B" w:rsidRDefault="00743B1B" w:rsidP="00743B1B">
      <w:pPr>
        <w:spacing w:line="273" w:lineRule="auto"/>
        <w:jc w:val="center"/>
        <w:rPr>
          <w:sz w:val="24"/>
          <w:szCs w:val="24"/>
        </w:rPr>
      </w:pPr>
    </w:p>
    <w:p w14:paraId="2CC91FDD" w14:textId="2BEE182F" w:rsidR="00743B1B" w:rsidRDefault="00743B1B" w:rsidP="00743B1B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743B1B">
        <w:rPr>
          <w:b/>
          <w:bCs/>
          <w:sz w:val="24"/>
          <w:szCs w:val="24"/>
        </w:rPr>
        <w:t>Vehicle to Server Hub</w:t>
      </w:r>
      <w:r w:rsidRPr="00743B1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Shared information between automobiles and roadside units (RSU) or intelligent roadside stations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referred to as vehicle</w:t>
      </w:r>
      <w:r>
        <w:rPr>
          <w:sz w:val="24"/>
          <w:szCs w:val="24"/>
        </w:rPr>
        <w:t xml:space="preserve"> server or infrastructure</w:t>
      </w:r>
      <w:r>
        <w:rPr>
          <w:sz w:val="24"/>
          <w:szCs w:val="24"/>
        </w:rPr>
        <w:t xml:space="preserve"> communication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By delivering information or directives to vehicles or receiving appropriate sensor data from them, the roadside infrastructure dynamically regulates traffic in </w:t>
      </w:r>
      <w:r>
        <w:rPr>
          <w:sz w:val="24"/>
          <w:szCs w:val="24"/>
        </w:rPr>
        <w:t>real-time</w:t>
      </w:r>
      <w:r>
        <w:rPr>
          <w:sz w:val="24"/>
          <w:szCs w:val="24"/>
        </w:rPr>
        <w:t>.</w:t>
      </w:r>
    </w:p>
    <w:p w14:paraId="6AEA8888" w14:textId="77777777" w:rsidR="00743B1B" w:rsidRDefault="00743B1B" w:rsidP="00743B1B">
      <w:pPr>
        <w:spacing w:line="273" w:lineRule="auto"/>
        <w:rPr>
          <w:sz w:val="24"/>
          <w:szCs w:val="24"/>
        </w:rPr>
      </w:pPr>
    </w:p>
    <w:p w14:paraId="14A60932" w14:textId="576DC086" w:rsidR="00743B1B" w:rsidRDefault="00743B1B" w:rsidP="00743B1B">
      <w:pPr>
        <w:spacing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743B1B">
        <w:rPr>
          <w:b/>
          <w:bCs/>
          <w:sz w:val="24"/>
          <w:szCs w:val="24"/>
        </w:rPr>
        <w:t>V</w:t>
      </w:r>
      <w:r w:rsidRPr="00743B1B">
        <w:rPr>
          <w:b/>
          <w:bCs/>
          <w:sz w:val="24"/>
          <w:szCs w:val="24"/>
        </w:rPr>
        <w:t>ehicle to Intelligent Network</w:t>
      </w:r>
      <w:r w:rsidRPr="00743B1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z w:val="24"/>
          <w:szCs w:val="24"/>
        </w:rPr>
        <w:t>ommunication is in charge of broadcasting global information to all cars or streaming data to high-bandwidth-demanding apps. To put it another way, V2N refers to a vehicle's non-real-time capable connection to the Internet or cloud computing services.</w:t>
      </w:r>
      <w:r w:rsidR="00464CEF">
        <w:rPr>
          <w:sz w:val="24"/>
          <w:szCs w:val="24"/>
        </w:rPr>
        <w:t xml:space="preserve"> </w:t>
      </w:r>
      <w:r>
        <w:rPr>
          <w:sz w:val="24"/>
          <w:szCs w:val="24"/>
        </w:rPr>
        <w:t>Traditional TMS are ill-equipped to deal with tomorrow's major issues. When it comes to road crossings, this is especially true. Changing the color of traffic signals from green to red on a regular basis prevents them from adapting flexibly to changing traffic loads. As a result, the proposed use case is built on a variety of smart city ideas and use cases that are backed by a V2I system.</w:t>
      </w:r>
    </w:p>
    <w:p w14:paraId="40BB8660" w14:textId="77777777" w:rsidR="00743B1B" w:rsidRDefault="00743B1B" w:rsidP="00743B1B">
      <w:pPr>
        <w:spacing w:line="273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51EE817" w14:textId="77777777" w:rsidR="00743B1B" w:rsidRDefault="00743B1B" w:rsidP="00743B1B">
      <w:pPr>
        <w:spacing w:line="273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D3E990" w14:textId="77777777" w:rsidR="008107F1" w:rsidRDefault="008107F1"/>
    <w:sectPr w:rsidR="0081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1B"/>
    <w:rsid w:val="00464CEF"/>
    <w:rsid w:val="00743B1B"/>
    <w:rsid w:val="008107F1"/>
    <w:rsid w:val="00E5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D646"/>
  <w15:chartTrackingRefBased/>
  <w15:docId w15:val="{D7DFD4C2-F4B2-405F-9586-9012B27E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1B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3F8"/>
    <w:pPr>
      <w:keepNext/>
      <w:keepLines/>
      <w:spacing w:line="360" w:lineRule="auto"/>
      <w:ind w:firstLine="720"/>
      <w:outlineLvl w:val="2"/>
    </w:pPr>
    <w:rPr>
      <w:rFonts w:eastAsiaTheme="majorEastAsia" w:cstheme="majorBidi"/>
      <w:sz w:val="26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3F8"/>
    <w:rPr>
      <w:rFonts w:ascii="Times New Roman" w:eastAsiaTheme="majorEastAsia" w:hAnsi="Times New Roman" w:cstheme="majorBidi"/>
      <w:sz w:val="2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shazzad shihab</dc:creator>
  <cp:keywords/>
  <dc:description/>
  <cp:lastModifiedBy>shazzad shihab</cp:lastModifiedBy>
  <cp:revision>2</cp:revision>
  <dcterms:created xsi:type="dcterms:W3CDTF">2022-06-07T16:36:00Z</dcterms:created>
  <dcterms:modified xsi:type="dcterms:W3CDTF">2022-06-07T16:36:00Z</dcterms:modified>
</cp:coreProperties>
</file>