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CampusLink</w:t>
      </w:r>
    </w:p>
    <w:p>
      <w:pPr>
        <w:pStyle w:val="Subtitle"/>
      </w:pPr>
      <w:r>
        <w:t>Campus Placement Management Project Report</w:t>
      </w:r>
    </w:p>
    <w:p>
      <w:r>
        <w:t>CampusLink brings students, recruiters, and campus placement teams into a shared recruitment process. It combines career preparation with campus-approved drives, applications, interviews, and post-selection records.</w:t>
      </w:r>
    </w:p>
    <w:p>
      <w:r>
        <w:t>This report explains the product, its role-specific features, the supporting software, and the checks completed before deployment.</w:t>
      </w:r>
    </w:p>
    <w:p>
      <w:pPr>
        <w:spacing w:after="140"/>
      </w:pPr>
      <w:r>
        <w:drawing>
          <wp:inline xmlns:a="http://schemas.openxmlformats.org/drawingml/2006/main" xmlns:pic="http://schemas.openxmlformats.org/drawingml/2006/picture">
            <wp:extent cx="6245352" cy="4337050"/>
            <wp:docPr id="1" name="Picture 1" descr="Students recruiters and campus teams connected through CampusLink"/>
            <wp:cNvGraphicFramePr>
              <a:graphicFrameLocks noChangeAspect="1"/>
            </wp:cNvGraphicFramePr>
            <a:graphic>
              <a:graphicData uri="http://schemas.openxmlformats.org/drawingml/2006/picture">
                <pic:pic>
                  <pic:nvPicPr>
                    <pic:cNvPr id="0" name="cover.png"/>
                    <pic:cNvPicPr/>
                  </pic:nvPicPr>
                  <pic:blipFill>
                    <a:blip r:embed="rId11"/>
                    <a:stretch>
                      <a:fillRect/>
                    </a:stretch>
                  </pic:blipFill>
                  <pic:spPr>
                    <a:xfrm>
                      <a:off x="0" y="0"/>
                      <a:ext cx="6245352" cy="4337050"/>
                    </a:xfrm>
                    <a:prstGeom prst="rect"/>
                  </pic:spPr>
                </pic:pic>
              </a:graphicData>
            </a:graphic>
          </wp:inline>
        </w:drawing>
      </w:r>
    </w:p>
    <w:p>
      <w:pPr>
        <w:pStyle w:val="Heading2"/>
      </w:pPr>
      <w:r>
        <w:t>Team StartX</w:t>
      </w:r>
    </w:p>
    <w:p>
      <w:r>
        <w:t>Project report  |  4 October 2026</w:t>
      </w:r>
    </w:p>
    <w:p>
      <w:pPr>
        <w:spacing w:before="180" w:after="180"/>
        <w:shd w:fill="E1D7F1"/>
      </w:pPr>
      <w:r>
        <w:rPr>
          <w:sz w:val="19"/>
        </w:rPr>
        <w:t>Implementation complete for local review. Hosted integrations still require live verification.</w:t>
      </w:r>
    </w:p>
    <w:p>
      <w:r>
        <w:br w:type="page"/>
      </w:r>
    </w:p>
    <w:p>
      <w:pPr>
        <w:pStyle w:val="Heading1"/>
      </w:pPr>
      <w:r>
        <w:t>Project overview</w:t>
      </w:r>
    </w:p>
    <w:p>
      <w:pPr>
        <w:pStyle w:val="Subtitle"/>
      </w:pPr>
      <w:r>
        <w:t>Purpose and report guide</w:t>
      </w:r>
    </w:p>
    <w:p>
      <w:r>
        <w:t>The central idea is straightforward: a student should know what to prepare, a recruiter should know which campus activity needs attention, and the placement team should control what becomes available to its students. CampusLink keeps these responsibilities visible without making everyone use the same dashboard.</w:t>
      </w:r>
    </w:p>
    <w:p>
      <w:pPr>
        <w:spacing w:after="140"/>
      </w:pPr>
      <w:r>
        <w:drawing>
          <wp:inline xmlns:a="http://schemas.openxmlformats.org/drawingml/2006/main" xmlns:pic="http://schemas.openxmlformats.org/drawingml/2006/picture">
            <wp:extent cx="6245352" cy="2151177"/>
            <wp:docPr id="2" name="Picture 2" descr="Three workspaces and their responsibilities"/>
            <wp:cNvGraphicFramePr>
              <a:graphicFrameLocks noChangeAspect="1"/>
            </wp:cNvGraphicFramePr>
            <a:graphic>
              <a:graphicData uri="http://schemas.openxmlformats.org/drawingml/2006/picture">
                <pic:pic>
                  <pic:nvPicPr>
                    <pic:cNvPr id="0" name="roles.png"/>
                    <pic:cNvPicPr/>
                  </pic:nvPicPr>
                  <pic:blipFill>
                    <a:blip r:embed="rId12"/>
                    <a:stretch>
                      <a:fillRect/>
                    </a:stretch>
                  </pic:blipFill>
                  <pic:spPr>
                    <a:xfrm>
                      <a:off x="0" y="0"/>
                      <a:ext cx="6245352" cy="2151177"/>
                    </a:xfrm>
                    <a:prstGeom prst="rect"/>
                  </pic:spPr>
                </pic:pic>
              </a:graphicData>
            </a:graphic>
          </wp:inline>
        </w:drawing>
      </w:r>
    </w:p>
    <w:p>
      <w:pPr>
        <w:pStyle w:val="Heading2"/>
      </w:pPr>
      <w:r>
        <w:t>What the project delivers</w:t>
      </w:r>
    </w:p>
    <w:p>
      <w:r>
        <w:t>The implementation includes a responsive Next.js website and an Express API. Users can build career profiles, verify skills, take assessments, coordinate drives, manage applications, conduct interview practice, and record offers. The system also includes private documents, targeted notifications, and a separate administrator console.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11"/>
        <w:gridCol w:w="1224"/>
      </w:tblGrid>
      <w:tr>
        <w:trPr>
          <w:tblHeader/>
          <w:cantSplit/>
        </w:trPr>
        <w:tc>
          <w:tcPr>
            <w:tcW w:type="dxa" w:w="8611"/>
            <w:shd w:fill="20221F"/>
            <w:vAlign w:val="center"/>
            <w:tcMar>
              <w:top w:w="95" w:type="dxa"/>
              <w:left w:w="95" w:type="dxa"/>
              <w:bottom w:w="95" w:type="dxa"/>
              <w:right w:w="95" w:type="dxa"/>
            </w:tcMar>
          </w:tcPr>
          <w:p>
            <w:pPr>
              <w:spacing w:after="0" w:before="0" w:line="250" w:lineRule="auto"/>
            </w:pPr>
            <w:r>
              <w:rPr>
                <w:b/>
                <w:color w:val="FFFFFF"/>
                <w:sz w:val="20"/>
              </w:rPr>
              <w:t>Report section</w:t>
            </w:r>
          </w:p>
        </w:tc>
        <w:tc>
          <w:tcPr>
            <w:tcW w:type="dxa" w:w="1224"/>
            <w:shd w:fill="20221F"/>
            <w:vAlign w:val="center"/>
            <w:tcMar>
              <w:top w:w="95" w:type="dxa"/>
              <w:left w:w="95" w:type="dxa"/>
              <w:bottom w:w="95" w:type="dxa"/>
              <w:right w:w="95" w:type="dxa"/>
            </w:tcMar>
          </w:tcPr>
          <w:p>
            <w:pPr>
              <w:spacing w:after="0" w:before="0" w:line="250" w:lineRule="auto"/>
            </w:pPr>
            <w:r>
              <w:rPr>
                <w:b/>
                <w:color w:val="FFFFFF"/>
                <w:sz w:val="20"/>
              </w:rPr>
              <w:t>Page</w:t>
            </w:r>
          </w:p>
        </w:tc>
      </w:tr>
      <w:tr>
        <w:trPr>
          <w:cantSplit/>
        </w:trPr>
        <w:tc>
          <w:tcPr>
            <w:tcW w:type="dxa" w:w="8611"/>
            <w:shd w:fill="FFFFFF"/>
            <w:vAlign w:val="center"/>
            <w:tcMar>
              <w:top w:w="95" w:type="dxa"/>
              <w:left w:w="95" w:type="dxa"/>
              <w:bottom w:w="95" w:type="dxa"/>
              <w:right w:w="95" w:type="dxa"/>
            </w:tcMar>
          </w:tcPr>
          <w:p>
            <w:pPr>
              <w:spacing w:after="0" w:before="0" w:line="250" w:lineRule="auto"/>
            </w:pPr>
            <w:r>
              <w:rPr>
                <w:sz w:val="20"/>
              </w:rPr>
              <w:t>Problem and requirements</w:t>
            </w:r>
          </w:p>
        </w:tc>
        <w:tc>
          <w:tcPr>
            <w:tcW w:type="dxa" w:w="1224"/>
            <w:shd w:fill="FFFFFF"/>
            <w:vAlign w:val="center"/>
            <w:tcMar>
              <w:top w:w="95" w:type="dxa"/>
              <w:left w:w="95" w:type="dxa"/>
              <w:bottom w:w="95" w:type="dxa"/>
              <w:right w:w="95" w:type="dxa"/>
            </w:tcMar>
          </w:tcPr>
          <w:p>
            <w:pPr>
              <w:spacing w:after="0" w:before="0" w:line="250" w:lineRule="auto"/>
            </w:pPr>
            <w:r>
              <w:rPr>
                <w:sz w:val="20"/>
              </w:rPr>
              <w:t>3</w:t>
            </w:r>
          </w:p>
        </w:tc>
      </w:tr>
      <w:tr>
        <w:trPr>
          <w:cantSplit/>
        </w:trPr>
        <w:tc>
          <w:tcPr>
            <w:tcW w:type="dxa" w:w="8611"/>
            <w:shd w:fill="F4F5F1"/>
            <w:vAlign w:val="center"/>
            <w:tcMar>
              <w:top w:w="95" w:type="dxa"/>
              <w:left w:w="95" w:type="dxa"/>
              <w:bottom w:w="95" w:type="dxa"/>
              <w:right w:w="95" w:type="dxa"/>
            </w:tcMar>
          </w:tcPr>
          <w:p>
            <w:pPr>
              <w:spacing w:after="0" w:before="0" w:line="250" w:lineRule="auto"/>
            </w:pPr>
            <w:r>
              <w:rPr>
                <w:sz w:val="20"/>
              </w:rPr>
              <w:t>Student workspace</w:t>
            </w:r>
          </w:p>
        </w:tc>
        <w:tc>
          <w:tcPr>
            <w:tcW w:type="dxa" w:w="1224"/>
            <w:shd w:fill="F4F5F1"/>
            <w:vAlign w:val="center"/>
            <w:tcMar>
              <w:top w:w="95" w:type="dxa"/>
              <w:left w:w="95" w:type="dxa"/>
              <w:bottom w:w="95" w:type="dxa"/>
              <w:right w:w="95" w:type="dxa"/>
            </w:tcMar>
          </w:tcPr>
          <w:p>
            <w:pPr>
              <w:spacing w:after="0" w:before="0" w:line="250" w:lineRule="auto"/>
            </w:pPr>
            <w:r>
              <w:rPr>
                <w:sz w:val="20"/>
              </w:rPr>
              <w:t>4</w:t>
            </w:r>
          </w:p>
        </w:tc>
      </w:tr>
      <w:tr>
        <w:trPr>
          <w:cantSplit/>
        </w:trPr>
        <w:tc>
          <w:tcPr>
            <w:tcW w:type="dxa" w:w="8611"/>
            <w:shd w:fill="FFFFFF"/>
            <w:vAlign w:val="center"/>
            <w:tcMar>
              <w:top w:w="95" w:type="dxa"/>
              <w:left w:w="95" w:type="dxa"/>
              <w:bottom w:w="95" w:type="dxa"/>
              <w:right w:w="95" w:type="dxa"/>
            </w:tcMar>
          </w:tcPr>
          <w:p>
            <w:pPr>
              <w:spacing w:after="0" w:before="0" w:line="250" w:lineRule="auto"/>
            </w:pPr>
            <w:r>
              <w:rPr>
                <w:sz w:val="20"/>
              </w:rPr>
              <w:t>Recruiter workspace</w:t>
            </w:r>
          </w:p>
        </w:tc>
        <w:tc>
          <w:tcPr>
            <w:tcW w:type="dxa" w:w="1224"/>
            <w:shd w:fill="FFFFFF"/>
            <w:vAlign w:val="center"/>
            <w:tcMar>
              <w:top w:w="95" w:type="dxa"/>
              <w:left w:w="95" w:type="dxa"/>
              <w:bottom w:w="95" w:type="dxa"/>
              <w:right w:w="95" w:type="dxa"/>
            </w:tcMar>
          </w:tcPr>
          <w:p>
            <w:pPr>
              <w:spacing w:after="0" w:before="0" w:line="250" w:lineRule="auto"/>
            </w:pPr>
            <w:r>
              <w:rPr>
                <w:sz w:val="20"/>
              </w:rPr>
              <w:t>5</w:t>
            </w:r>
          </w:p>
        </w:tc>
      </w:tr>
      <w:tr>
        <w:trPr>
          <w:cantSplit/>
        </w:trPr>
        <w:tc>
          <w:tcPr>
            <w:tcW w:type="dxa" w:w="8611"/>
            <w:shd w:fill="F4F5F1"/>
            <w:vAlign w:val="center"/>
            <w:tcMar>
              <w:top w:w="95" w:type="dxa"/>
              <w:left w:w="95" w:type="dxa"/>
              <w:bottom w:w="95" w:type="dxa"/>
              <w:right w:w="95" w:type="dxa"/>
            </w:tcMar>
          </w:tcPr>
          <w:p>
            <w:pPr>
              <w:spacing w:after="0" w:before="0" w:line="250" w:lineRule="auto"/>
            </w:pPr>
            <w:r>
              <w:rPr>
                <w:sz w:val="20"/>
              </w:rPr>
              <w:t>Campus and administrator workspaces</w:t>
            </w:r>
          </w:p>
        </w:tc>
        <w:tc>
          <w:tcPr>
            <w:tcW w:type="dxa" w:w="1224"/>
            <w:shd w:fill="F4F5F1"/>
            <w:vAlign w:val="center"/>
            <w:tcMar>
              <w:top w:w="95" w:type="dxa"/>
              <w:left w:w="95" w:type="dxa"/>
              <w:bottom w:w="95" w:type="dxa"/>
              <w:right w:w="95" w:type="dxa"/>
            </w:tcMar>
          </w:tcPr>
          <w:p>
            <w:pPr>
              <w:spacing w:after="0" w:before="0" w:line="250" w:lineRule="auto"/>
            </w:pPr>
            <w:r>
              <w:rPr>
                <w:sz w:val="20"/>
              </w:rPr>
              <w:t>6</w:t>
            </w:r>
          </w:p>
        </w:tc>
      </w:tr>
      <w:tr>
        <w:trPr>
          <w:cantSplit/>
        </w:trPr>
        <w:tc>
          <w:tcPr>
            <w:tcW w:type="dxa" w:w="8611"/>
            <w:shd w:fill="FFFFFF"/>
            <w:vAlign w:val="center"/>
            <w:tcMar>
              <w:top w:w="95" w:type="dxa"/>
              <w:left w:w="95" w:type="dxa"/>
              <w:bottom w:w="95" w:type="dxa"/>
              <w:right w:w="95" w:type="dxa"/>
            </w:tcMar>
          </w:tcPr>
          <w:p>
            <w:pPr>
              <w:spacing w:after="0" w:before="0" w:line="250" w:lineRule="auto"/>
            </w:pPr>
            <w:r>
              <w:rPr>
                <w:sz w:val="20"/>
              </w:rPr>
              <w:t>Placement drive workflow</w:t>
            </w:r>
          </w:p>
        </w:tc>
        <w:tc>
          <w:tcPr>
            <w:tcW w:type="dxa" w:w="1224"/>
            <w:shd w:fill="FFFFFF"/>
            <w:vAlign w:val="center"/>
            <w:tcMar>
              <w:top w:w="95" w:type="dxa"/>
              <w:left w:w="95" w:type="dxa"/>
              <w:bottom w:w="95" w:type="dxa"/>
              <w:right w:w="95" w:type="dxa"/>
            </w:tcMar>
          </w:tcPr>
          <w:p>
            <w:pPr>
              <w:spacing w:after="0" w:before="0" w:line="250" w:lineRule="auto"/>
            </w:pPr>
            <w:r>
              <w:rPr>
                <w:sz w:val="20"/>
              </w:rPr>
              <w:t>7</w:t>
            </w:r>
          </w:p>
        </w:tc>
      </w:tr>
      <w:tr>
        <w:trPr>
          <w:cantSplit/>
        </w:trPr>
        <w:tc>
          <w:tcPr>
            <w:tcW w:type="dxa" w:w="8611"/>
            <w:shd w:fill="F4F5F1"/>
            <w:vAlign w:val="center"/>
            <w:tcMar>
              <w:top w:w="95" w:type="dxa"/>
              <w:left w:w="95" w:type="dxa"/>
              <w:bottom w:w="95" w:type="dxa"/>
              <w:right w:w="95" w:type="dxa"/>
            </w:tcMar>
          </w:tcPr>
          <w:p>
            <w:pPr>
              <w:spacing w:after="0" w:before="0" w:line="250" w:lineRule="auto"/>
            </w:pPr>
            <w:r>
              <w:rPr>
                <w:sz w:val="20"/>
              </w:rPr>
              <w:t>Preparation and analysis</w:t>
            </w:r>
          </w:p>
        </w:tc>
        <w:tc>
          <w:tcPr>
            <w:tcW w:type="dxa" w:w="1224"/>
            <w:shd w:fill="F4F5F1"/>
            <w:vAlign w:val="center"/>
            <w:tcMar>
              <w:top w:w="95" w:type="dxa"/>
              <w:left w:w="95" w:type="dxa"/>
              <w:bottom w:w="95" w:type="dxa"/>
              <w:right w:w="95" w:type="dxa"/>
            </w:tcMar>
          </w:tcPr>
          <w:p>
            <w:pPr>
              <w:spacing w:after="0" w:before="0" w:line="250" w:lineRule="auto"/>
            </w:pPr>
            <w:r>
              <w:rPr>
                <w:sz w:val="20"/>
              </w:rPr>
              <w:t>8</w:t>
            </w:r>
          </w:p>
        </w:tc>
      </w:tr>
      <w:tr>
        <w:trPr>
          <w:cantSplit/>
        </w:trPr>
        <w:tc>
          <w:tcPr>
            <w:tcW w:type="dxa" w:w="8611"/>
            <w:shd w:fill="FFFFFF"/>
            <w:vAlign w:val="center"/>
            <w:tcMar>
              <w:top w:w="95" w:type="dxa"/>
              <w:left w:w="95" w:type="dxa"/>
              <w:bottom w:w="95" w:type="dxa"/>
              <w:right w:w="95" w:type="dxa"/>
            </w:tcMar>
          </w:tcPr>
          <w:p>
            <w:pPr>
              <w:spacing w:after="0" w:before="0" w:line="250" w:lineRule="auto"/>
            </w:pPr>
            <w:r>
              <w:rPr>
                <w:sz w:val="20"/>
              </w:rPr>
              <w:t>Interface and action center</w:t>
            </w:r>
          </w:p>
        </w:tc>
        <w:tc>
          <w:tcPr>
            <w:tcW w:type="dxa" w:w="1224"/>
            <w:shd w:fill="FFFFFF"/>
            <w:vAlign w:val="center"/>
            <w:tcMar>
              <w:top w:w="95" w:type="dxa"/>
              <w:left w:w="95" w:type="dxa"/>
              <w:bottom w:w="95" w:type="dxa"/>
              <w:right w:w="95" w:type="dxa"/>
            </w:tcMar>
          </w:tcPr>
          <w:p>
            <w:pPr>
              <w:spacing w:after="0" w:before="0" w:line="250" w:lineRule="auto"/>
            </w:pPr>
            <w:r>
              <w:rPr>
                <w:sz w:val="20"/>
              </w:rPr>
              <w:t>9</w:t>
            </w:r>
          </w:p>
        </w:tc>
      </w:tr>
      <w:tr>
        <w:trPr>
          <w:cantSplit/>
        </w:trPr>
        <w:tc>
          <w:tcPr>
            <w:tcW w:type="dxa" w:w="8611"/>
            <w:shd w:fill="F4F5F1"/>
            <w:vAlign w:val="center"/>
            <w:tcMar>
              <w:top w:w="95" w:type="dxa"/>
              <w:left w:w="95" w:type="dxa"/>
              <w:bottom w:w="95" w:type="dxa"/>
              <w:right w:w="95" w:type="dxa"/>
            </w:tcMar>
          </w:tcPr>
          <w:p>
            <w:pPr>
              <w:spacing w:after="0" w:before="0" w:line="250" w:lineRule="auto"/>
            </w:pPr>
            <w:r>
              <w:rPr>
                <w:sz w:val="20"/>
              </w:rPr>
              <w:t>Architecture and records</w:t>
            </w:r>
          </w:p>
        </w:tc>
        <w:tc>
          <w:tcPr>
            <w:tcW w:type="dxa" w:w="1224"/>
            <w:shd w:fill="F4F5F1"/>
            <w:vAlign w:val="center"/>
            <w:tcMar>
              <w:top w:w="95" w:type="dxa"/>
              <w:left w:w="95" w:type="dxa"/>
              <w:bottom w:w="95" w:type="dxa"/>
              <w:right w:w="95" w:type="dxa"/>
            </w:tcMar>
          </w:tcPr>
          <w:p>
            <w:pPr>
              <w:spacing w:after="0" w:before="0" w:line="250" w:lineRule="auto"/>
            </w:pPr>
            <w:r>
              <w:rPr>
                <w:sz w:val="20"/>
              </w:rPr>
              <w:t>10</w:t>
            </w:r>
          </w:p>
        </w:tc>
      </w:tr>
      <w:tr>
        <w:trPr>
          <w:cantSplit/>
        </w:trPr>
        <w:tc>
          <w:tcPr>
            <w:tcW w:type="dxa" w:w="8611"/>
            <w:shd w:fill="FFFFFF"/>
            <w:vAlign w:val="center"/>
            <w:tcMar>
              <w:top w:w="95" w:type="dxa"/>
              <w:left w:w="95" w:type="dxa"/>
              <w:bottom w:w="95" w:type="dxa"/>
              <w:right w:w="95" w:type="dxa"/>
            </w:tcMar>
          </w:tcPr>
          <w:p>
            <w:pPr>
              <w:spacing w:after="0" w:before="0" w:line="250" w:lineRule="auto"/>
            </w:pPr>
            <w:r>
              <w:rPr>
                <w:sz w:val="20"/>
              </w:rPr>
              <w:t>Security and access</w:t>
            </w:r>
          </w:p>
        </w:tc>
        <w:tc>
          <w:tcPr>
            <w:tcW w:type="dxa" w:w="1224"/>
            <w:shd w:fill="FFFFFF"/>
            <w:vAlign w:val="center"/>
            <w:tcMar>
              <w:top w:w="95" w:type="dxa"/>
              <w:left w:w="95" w:type="dxa"/>
              <w:bottom w:w="95" w:type="dxa"/>
              <w:right w:w="95" w:type="dxa"/>
            </w:tcMar>
          </w:tcPr>
          <w:p>
            <w:pPr>
              <w:spacing w:after="0" w:before="0" w:line="250" w:lineRule="auto"/>
            </w:pPr>
            <w:r>
              <w:rPr>
                <w:sz w:val="20"/>
              </w:rPr>
              <w:t>11</w:t>
            </w:r>
          </w:p>
        </w:tc>
      </w:tr>
      <w:tr>
        <w:trPr>
          <w:cantSplit/>
        </w:trPr>
        <w:tc>
          <w:tcPr>
            <w:tcW w:type="dxa" w:w="8611"/>
            <w:shd w:fill="F4F5F1"/>
            <w:vAlign w:val="center"/>
            <w:tcMar>
              <w:top w:w="95" w:type="dxa"/>
              <w:left w:w="95" w:type="dxa"/>
              <w:bottom w:w="95" w:type="dxa"/>
              <w:right w:w="95" w:type="dxa"/>
            </w:tcMar>
          </w:tcPr>
          <w:p>
            <w:pPr>
              <w:spacing w:after="0" w:before="0" w:line="250" w:lineRule="auto"/>
            </w:pPr>
            <w:r>
              <w:rPr>
                <w:sz w:val="20"/>
              </w:rPr>
              <w:t>Testing and deployment</w:t>
            </w:r>
          </w:p>
        </w:tc>
        <w:tc>
          <w:tcPr>
            <w:tcW w:type="dxa" w:w="1224"/>
            <w:shd w:fill="F4F5F1"/>
            <w:vAlign w:val="center"/>
            <w:tcMar>
              <w:top w:w="95" w:type="dxa"/>
              <w:left w:w="95" w:type="dxa"/>
              <w:bottom w:w="95" w:type="dxa"/>
              <w:right w:w="95" w:type="dxa"/>
            </w:tcMar>
          </w:tcPr>
          <w:p>
            <w:pPr>
              <w:spacing w:after="0" w:before="0" w:line="250" w:lineRule="auto"/>
            </w:pPr>
            <w:r>
              <w:rPr>
                <w:sz w:val="20"/>
              </w:rPr>
              <w:t>12</w:t>
            </w:r>
          </w:p>
        </w:tc>
      </w:tr>
      <w:tr>
        <w:trPr>
          <w:cantSplit/>
        </w:trPr>
        <w:tc>
          <w:tcPr>
            <w:tcW w:type="dxa" w:w="8611"/>
            <w:shd w:fill="FFFFFF"/>
            <w:vAlign w:val="center"/>
            <w:tcMar>
              <w:top w:w="95" w:type="dxa"/>
              <w:left w:w="95" w:type="dxa"/>
              <w:bottom w:w="95" w:type="dxa"/>
              <w:right w:w="95" w:type="dxa"/>
            </w:tcMar>
          </w:tcPr>
          <w:p>
            <w:pPr>
              <w:spacing w:after="0" w:before="0" w:line="250" w:lineRule="auto"/>
            </w:pPr>
            <w:r>
              <w:rPr>
                <w:sz w:val="20"/>
              </w:rPr>
              <w:t>Team and next steps</w:t>
            </w:r>
          </w:p>
        </w:tc>
        <w:tc>
          <w:tcPr>
            <w:tcW w:type="dxa" w:w="1224"/>
            <w:shd w:fill="FFFFFF"/>
            <w:vAlign w:val="center"/>
            <w:tcMar>
              <w:top w:w="95" w:type="dxa"/>
              <w:left w:w="95" w:type="dxa"/>
              <w:bottom w:w="95" w:type="dxa"/>
              <w:right w:w="95" w:type="dxa"/>
            </w:tcMar>
          </w:tcPr>
          <w:p>
            <w:pPr>
              <w:spacing w:after="0" w:before="0" w:line="250" w:lineRule="auto"/>
            </w:pPr>
            <w:r>
              <w:rPr>
                <w:sz w:val="20"/>
              </w:rPr>
              <w:t>13</w:t>
            </w:r>
          </w:p>
        </w:tc>
      </w:tr>
    </w:tbl>
    <w:p>
      <w:pPr>
        <w:spacing w:after="0"/>
      </w:pPr>
    </w:p>
    <w:p>
      <w:pPr>
        <w:spacing w:before="180" w:after="180"/>
        <w:shd w:fill="E1D7F1"/>
      </w:pPr>
      <w:r>
        <w:rPr>
          <w:sz w:val="19"/>
        </w:rPr>
        <w:t>The three business roles share a placement process. Administrator access is an additional server-controlled permission.</w:t>
      </w:r>
    </w:p>
    <w:p>
      <w:r>
        <w:br w:type="page"/>
      </w:r>
    </w:p>
    <w:p>
      <w:pPr>
        <w:pStyle w:val="Heading1"/>
      </w:pPr>
      <w:r>
        <w:t>Problem and requirements</w:t>
      </w:r>
    </w:p>
    <w:p>
      <w:pPr>
        <w:pStyle w:val="Subtitle"/>
      </w:pPr>
      <w:r>
        <w:t>A placement process with clear responsibilities</w:t>
      </w:r>
    </w:p>
    <w:p>
      <w:r>
        <w:t>Campus recruitment involves more than publishing a vacancy. A physical visit needs a date, rooms, labs, computer systems, an eligible student group, and agreement from the recruiter. Student preparation continues alongside this coordination. Keeping these activities in separate lists makes it harder to see what is ready and what still needs a decision.</w:t>
      </w:r>
    </w:p>
    <w:p>
      <w:pPr>
        <w:spacing w:after="140"/>
      </w:pPr>
      <w:r>
        <w:drawing>
          <wp:inline xmlns:a="http://schemas.openxmlformats.org/drawingml/2006/main" xmlns:pic="http://schemas.openxmlformats.org/drawingml/2006/picture">
            <wp:extent cx="6245352" cy="1561338"/>
            <wp:docPr id="3" name="Picture 3" descr="problem workflow summary"/>
            <wp:cNvGraphicFramePr>
              <a:graphicFrameLocks noChangeAspect="1"/>
            </wp:cNvGraphicFramePr>
            <a:graphic>
              <a:graphicData uri="http://schemas.openxmlformats.org/drawingml/2006/picture">
                <pic:pic>
                  <pic:nvPicPr>
                    <pic:cNvPr id="0" name="problem.png"/>
                    <pic:cNvPicPr/>
                  </pic:nvPicPr>
                  <pic:blipFill>
                    <a:blip r:embed="rId13"/>
                    <a:stretch>
                      <a:fillRect/>
                    </a:stretch>
                  </pic:blipFill>
                  <pic:spPr>
                    <a:xfrm>
                      <a:off x="0" y="0"/>
                      <a:ext cx="6245352" cy="1561338"/>
                    </a:xfrm>
                    <a:prstGeom prst="rect"/>
                  </pic:spPr>
                </pic:pic>
              </a:graphicData>
            </a:graphic>
          </wp:inline>
        </w:drawing>
      </w:r>
    </w:p>
    <w:p>
      <w:pPr>
        <w:pStyle w:val="Heading2"/>
      </w:pPr>
      <w:r>
        <w:t>The project objective</w:t>
      </w:r>
    </w:p>
    <w:p>
      <w:r>
        <w:t>CampusLink gives each participant a reliable view of the next step. A drive moves through approval and scheduling before it becomes a student opportunity. Applications use eligibility checks, and preparation records help students decide where to improve. Outcomes remain connected to the recruitment workflow.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55"/>
      </w:tblGrid>
      <w:tr>
        <w:trPr>
          <w:tblHeader/>
          <w:cantSplit/>
        </w:trPr>
        <w:tc>
          <w:tcPr>
            <w:tcW w:type="dxa" w:w="2880"/>
            <w:shd w:fill="20221F"/>
            <w:vAlign w:val="center"/>
            <w:tcMar>
              <w:top w:w="95" w:type="dxa"/>
              <w:left w:w="95" w:type="dxa"/>
              <w:bottom w:w="95" w:type="dxa"/>
              <w:right w:w="95" w:type="dxa"/>
            </w:tcMar>
          </w:tcPr>
          <w:p>
            <w:pPr>
              <w:spacing w:after="0" w:before="0" w:line="250" w:lineRule="auto"/>
            </w:pPr>
            <w:r>
              <w:rPr>
                <w:b/>
                <w:color w:val="FFFFFF"/>
                <w:sz w:val="20"/>
              </w:rPr>
              <w:t>Requirement</w:t>
            </w:r>
          </w:p>
        </w:tc>
        <w:tc>
          <w:tcPr>
            <w:tcW w:type="dxa" w:w="6955"/>
            <w:shd w:fill="20221F"/>
            <w:vAlign w:val="center"/>
            <w:tcMar>
              <w:top w:w="95" w:type="dxa"/>
              <w:left w:w="95" w:type="dxa"/>
              <w:bottom w:w="95" w:type="dxa"/>
              <w:right w:w="95" w:type="dxa"/>
            </w:tcMar>
          </w:tcPr>
          <w:p>
            <w:pPr>
              <w:spacing w:after="0" w:before="0" w:line="250" w:lineRule="auto"/>
            </w:pPr>
            <w:r>
              <w:rPr>
                <w:b/>
                <w:color w:val="FFFFFF"/>
                <w:sz w:val="20"/>
              </w:rPr>
              <w:t>Implementation</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Separate role workspaces</w:t>
            </w:r>
          </w:p>
        </w:tc>
        <w:tc>
          <w:tcPr>
            <w:tcW w:type="dxa" w:w="6955"/>
            <w:shd w:fill="FFFFFF"/>
            <w:vAlign w:val="center"/>
            <w:tcMar>
              <w:top w:w="95" w:type="dxa"/>
              <w:left w:w="95" w:type="dxa"/>
              <w:bottom w:w="95" w:type="dxa"/>
              <w:right w:w="95" w:type="dxa"/>
            </w:tcMar>
          </w:tcPr>
          <w:p>
            <w:pPr>
              <w:spacing w:after="0" w:before="0" w:line="250" w:lineRule="auto"/>
            </w:pPr>
            <w:r>
              <w:rPr>
                <w:sz w:val="20"/>
              </w:rPr>
              <w:t>Student, recruiter, and campus navigation with role checks</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Controlled drive publication</w:t>
            </w:r>
          </w:p>
        </w:tc>
        <w:tc>
          <w:tcPr>
            <w:tcW w:type="dxa" w:w="6955"/>
            <w:shd w:fill="F4F5F1"/>
            <w:vAlign w:val="center"/>
            <w:tcMar>
              <w:top w:w="95" w:type="dxa"/>
              <w:left w:w="95" w:type="dxa"/>
              <w:bottom w:w="95" w:type="dxa"/>
              <w:right w:w="95" w:type="dxa"/>
            </w:tcMar>
          </w:tcPr>
          <w:p>
            <w:pPr>
              <w:spacing w:after="0" w:before="0" w:line="250" w:lineRule="auto"/>
            </w:pPr>
            <w:r>
              <w:rPr>
                <w:sz w:val="20"/>
              </w:rPr>
              <w:t>Campus review, recruiter confirmation, and campus activation</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Student preparation evidence</w:t>
            </w:r>
          </w:p>
        </w:tc>
        <w:tc>
          <w:tcPr>
            <w:tcW w:type="dxa" w:w="6955"/>
            <w:shd w:fill="FFFFFF"/>
            <w:vAlign w:val="center"/>
            <w:tcMar>
              <w:top w:w="95" w:type="dxa"/>
              <w:left w:w="95" w:type="dxa"/>
              <w:bottom w:w="95" w:type="dxa"/>
              <w:right w:w="95" w:type="dxa"/>
            </w:tcMar>
          </w:tcPr>
          <w:p>
            <w:pPr>
              <w:spacing w:after="0" w:before="0" w:line="250" w:lineRule="auto"/>
            </w:pPr>
            <w:r>
              <w:rPr>
                <w:sz w:val="20"/>
              </w:rPr>
              <w:t>Verified skills, assessments, projects, and interview records</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Resource coordination</w:t>
            </w:r>
          </w:p>
        </w:tc>
        <w:tc>
          <w:tcPr>
            <w:tcW w:type="dxa" w:w="6955"/>
            <w:shd w:fill="F4F5F1"/>
            <w:vAlign w:val="center"/>
            <w:tcMar>
              <w:top w:w="95" w:type="dxa"/>
              <w:left w:w="95" w:type="dxa"/>
              <w:bottom w:w="95" w:type="dxa"/>
              <w:right w:w="95" w:type="dxa"/>
            </w:tcMar>
          </w:tcPr>
          <w:p>
            <w:pPr>
              <w:spacing w:after="0" w:before="0" w:line="250" w:lineRule="auto"/>
            </w:pPr>
            <w:r>
              <w:rPr>
                <w:sz w:val="20"/>
              </w:rPr>
              <w:t>Schedule validation and checks for campus visit conflicts</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Private records</w:t>
            </w:r>
          </w:p>
        </w:tc>
        <w:tc>
          <w:tcPr>
            <w:tcW w:type="dxa" w:w="6955"/>
            <w:shd w:fill="FFFFFF"/>
            <w:vAlign w:val="center"/>
            <w:tcMar>
              <w:top w:w="95" w:type="dxa"/>
              <w:left w:w="95" w:type="dxa"/>
              <w:bottom w:w="95" w:type="dxa"/>
              <w:right w:w="95" w:type="dxa"/>
            </w:tcMar>
          </w:tcPr>
          <w:p>
            <w:pPr>
              <w:spacing w:after="0" w:before="0" w:line="250" w:lineRule="auto"/>
            </w:pPr>
            <w:r>
              <w:rPr>
                <w:sz w:val="20"/>
              </w:rPr>
              <w:t>Cookie authentication, ownership checks, and private uploads</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Usable daily operations</w:t>
            </w:r>
          </w:p>
        </w:tc>
        <w:tc>
          <w:tcPr>
            <w:tcW w:type="dxa" w:w="6955"/>
            <w:shd w:fill="F4F5F1"/>
            <w:vAlign w:val="center"/>
            <w:tcMar>
              <w:top w:w="95" w:type="dxa"/>
              <w:left w:w="95" w:type="dxa"/>
              <w:bottom w:w="95" w:type="dxa"/>
              <w:right w:w="95" w:type="dxa"/>
            </w:tcMar>
          </w:tcPr>
          <w:p>
            <w:pPr>
              <w:spacing w:after="0" w:before="0" w:line="250" w:lineRule="auto"/>
            </w:pPr>
            <w:r>
              <w:rPr>
                <w:sz w:val="20"/>
              </w:rPr>
              <w:t>Search, filters, notifications, and an action center</w:t>
            </w:r>
          </w:p>
        </w:tc>
      </w:tr>
    </w:tbl>
    <w:p>
      <w:pPr>
        <w:spacing w:after="0"/>
      </w:pPr>
    </w:p>
    <w:p>
      <w:pPr>
        <w:pStyle w:val="Heading2"/>
      </w:pPr>
      <w:r>
        <w:t>Boundaries of the current version</w:t>
      </w:r>
    </w:p>
    <w:p>
      <w:r>
        <w:t>The project includes local scoring, resume text extraction, and optional external analysis. Contests validate short answers rather than running submitted code. Scanned resume PDFs need an OCR service that is not connected. Membership choices in demo mode do not process payments.</w:t>
      </w:r>
    </w:p>
    <w:p>
      <w:pPr>
        <w:spacing w:before="180" w:after="180"/>
        <w:shd w:fill="E1D7F1"/>
      </w:pPr>
      <w:r>
        <w:rPr>
          <w:sz w:val="19"/>
        </w:rPr>
        <w:t>The aim is a working placement platform with explainable records. Final hiring decisions remain with recruiters and campus teams.</w:t>
      </w:r>
    </w:p>
    <w:p>
      <w:r>
        <w:br w:type="page"/>
      </w:r>
    </w:p>
    <w:p>
      <w:pPr>
        <w:pStyle w:val="Heading1"/>
      </w:pPr>
      <w:r>
        <w:t>Student workspace</w:t>
      </w:r>
    </w:p>
    <w:p>
      <w:pPr>
        <w:pStyle w:val="Subtitle"/>
      </w:pPr>
      <w:r>
        <w:t>Preparation applications and placement outcomes</w:t>
      </w:r>
    </w:p>
    <w:p>
      <w:r>
        <w:t>The student workspace starts with a career profile and follows the student through preparation, applications, interviews, and offers. Its purpose is to make the available evidence and upcoming decisions easy to find.</w:t>
      </w:r>
    </w:p>
    <w:p>
      <w:pPr>
        <w:spacing w:after="140"/>
      </w:pPr>
      <w:r>
        <w:drawing>
          <wp:inline xmlns:a="http://schemas.openxmlformats.org/drawingml/2006/main" xmlns:pic="http://schemas.openxmlformats.org/drawingml/2006/picture">
            <wp:extent cx="6245352" cy="1561338"/>
            <wp:docPr id="4" name="Picture 4" descr="student workflow summary"/>
            <wp:cNvGraphicFramePr>
              <a:graphicFrameLocks noChangeAspect="1"/>
            </wp:cNvGraphicFramePr>
            <a:graphic>
              <a:graphicData uri="http://schemas.openxmlformats.org/drawingml/2006/picture">
                <pic:pic>
                  <pic:nvPicPr>
                    <pic:cNvPr id="0" name="student.png"/>
                    <pic:cNvPicPr/>
                  </pic:nvPicPr>
                  <pic:blipFill>
                    <a:blip r:embed="rId14"/>
                    <a:stretch>
                      <a:fillRect/>
                    </a:stretch>
                  </pic:blipFill>
                  <pic:spPr>
                    <a:xfrm>
                      <a:off x="0" y="0"/>
                      <a:ext cx="6245352" cy="1561338"/>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55"/>
      </w:tblGrid>
      <w:tr>
        <w:trPr>
          <w:tblHeader/>
          <w:cantSplit/>
        </w:trPr>
        <w:tc>
          <w:tcPr>
            <w:tcW w:type="dxa" w:w="2880"/>
            <w:shd w:fill="20221F"/>
            <w:vAlign w:val="center"/>
            <w:tcMar>
              <w:top w:w="95" w:type="dxa"/>
              <w:left w:w="95" w:type="dxa"/>
              <w:bottom w:w="95" w:type="dxa"/>
              <w:right w:w="95" w:type="dxa"/>
            </w:tcMar>
          </w:tcPr>
          <w:p>
            <w:pPr>
              <w:spacing w:after="0" w:before="0" w:line="250" w:lineRule="auto"/>
            </w:pPr>
            <w:r>
              <w:rPr>
                <w:b/>
                <w:color w:val="FFFFFF"/>
                <w:sz w:val="20"/>
              </w:rPr>
              <w:t>Area</w:t>
            </w:r>
          </w:p>
        </w:tc>
        <w:tc>
          <w:tcPr>
            <w:tcW w:type="dxa" w:w="6955"/>
            <w:shd w:fill="20221F"/>
            <w:vAlign w:val="center"/>
            <w:tcMar>
              <w:top w:w="95" w:type="dxa"/>
              <w:left w:w="95" w:type="dxa"/>
              <w:bottom w:w="95" w:type="dxa"/>
              <w:right w:w="95" w:type="dxa"/>
            </w:tcMar>
          </w:tcPr>
          <w:p>
            <w:pPr>
              <w:spacing w:after="0" w:before="0" w:line="250" w:lineRule="auto"/>
            </w:pPr>
            <w:r>
              <w:rPr>
                <w:b/>
                <w:color w:val="FFFFFF"/>
                <w:sz w:val="20"/>
              </w:rPr>
              <w:t>What the student can do</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Career profile</w:t>
            </w:r>
          </w:p>
        </w:tc>
        <w:tc>
          <w:tcPr>
            <w:tcW w:type="dxa" w:w="6955"/>
            <w:shd w:fill="FFFFFF"/>
            <w:vAlign w:val="center"/>
            <w:tcMar>
              <w:top w:w="95" w:type="dxa"/>
              <w:left w:w="95" w:type="dxa"/>
              <w:bottom w:w="95" w:type="dxa"/>
              <w:right w:w="95" w:type="dxa"/>
            </w:tcMar>
          </w:tcPr>
          <w:p>
            <w:pPr>
              <w:spacing w:after="0" w:before="0" w:line="250" w:lineRule="auto"/>
            </w:pPr>
            <w:r>
              <w:rPr>
                <w:sz w:val="20"/>
              </w:rPr>
              <w:t>Maintain academic details, skills, projects, and a profile photograph</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Skill verification</w:t>
            </w:r>
          </w:p>
        </w:tc>
        <w:tc>
          <w:tcPr>
            <w:tcW w:type="dxa" w:w="6955"/>
            <w:shd w:fill="F4F5F1"/>
            <w:vAlign w:val="center"/>
            <w:tcMar>
              <w:top w:w="95" w:type="dxa"/>
              <w:left w:w="95" w:type="dxa"/>
              <w:bottom w:w="95" w:type="dxa"/>
              <w:right w:w="95" w:type="dxa"/>
            </w:tcMar>
          </w:tcPr>
          <w:p>
            <w:pPr>
              <w:spacing w:after="0" w:before="0" w:line="250" w:lineRule="auto"/>
            </w:pPr>
            <w:r>
              <w:rPr>
                <w:sz w:val="20"/>
              </w:rPr>
              <w:t>Take assessments and earn verified evidence through recorded results</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Opportunities</w:t>
            </w:r>
          </w:p>
        </w:tc>
        <w:tc>
          <w:tcPr>
            <w:tcW w:type="dxa" w:w="6955"/>
            <w:shd w:fill="FFFFFF"/>
            <w:vAlign w:val="center"/>
            <w:tcMar>
              <w:top w:w="95" w:type="dxa"/>
              <w:left w:w="95" w:type="dxa"/>
              <w:bottom w:w="95" w:type="dxa"/>
              <w:right w:w="95" w:type="dxa"/>
            </w:tcMar>
          </w:tcPr>
          <w:p>
            <w:pPr>
              <w:spacing w:after="0" w:before="0" w:line="250" w:lineRule="auto"/>
            </w:pPr>
            <w:r>
              <w:rPr>
                <w:sz w:val="20"/>
              </w:rPr>
              <w:t>Explore activated campus drives and review eligibility and fit</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Applications</w:t>
            </w:r>
          </w:p>
        </w:tc>
        <w:tc>
          <w:tcPr>
            <w:tcW w:type="dxa" w:w="6955"/>
            <w:shd w:fill="F4F5F1"/>
            <w:vAlign w:val="center"/>
            <w:tcMar>
              <w:top w:w="95" w:type="dxa"/>
              <w:left w:w="95" w:type="dxa"/>
              <w:bottom w:w="95" w:type="dxa"/>
              <w:right w:w="95" w:type="dxa"/>
            </w:tcMar>
          </w:tcPr>
          <w:p>
            <w:pPr>
              <w:spacing w:after="0" w:before="0" w:line="250" w:lineRule="auto"/>
            </w:pPr>
            <w:r>
              <w:rPr>
                <w:sz w:val="20"/>
              </w:rPr>
              <w:t>Submit an eligible application and track its stage</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Interview hub</w:t>
            </w:r>
          </w:p>
        </w:tc>
        <w:tc>
          <w:tcPr>
            <w:tcW w:type="dxa" w:w="6955"/>
            <w:shd w:fill="FFFFFF"/>
            <w:vAlign w:val="center"/>
            <w:tcMar>
              <w:top w:w="95" w:type="dxa"/>
              <w:left w:w="95" w:type="dxa"/>
              <w:bottom w:w="95" w:type="dxa"/>
              <w:right w:w="95" w:type="dxa"/>
            </w:tcMar>
          </w:tcPr>
          <w:p>
            <w:pPr>
              <w:spacing w:after="0" w:before="0" w:line="250" w:lineRule="auto"/>
            </w:pPr>
            <w:r>
              <w:rPr>
                <w:sz w:val="20"/>
              </w:rPr>
              <w:t>See scheduled rounds and complete practice sessions</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Offers</w:t>
            </w:r>
          </w:p>
        </w:tc>
        <w:tc>
          <w:tcPr>
            <w:tcW w:type="dxa" w:w="6955"/>
            <w:shd w:fill="F4F5F1"/>
            <w:vAlign w:val="center"/>
            <w:tcMar>
              <w:top w:w="95" w:type="dxa"/>
              <w:left w:w="95" w:type="dxa"/>
              <w:bottom w:w="95" w:type="dxa"/>
              <w:right w:w="95" w:type="dxa"/>
            </w:tcMar>
          </w:tcPr>
          <w:p>
            <w:pPr>
              <w:spacing w:after="0" w:before="0" w:line="250" w:lineRule="auto"/>
            </w:pPr>
            <w:r>
              <w:rPr>
                <w:sz w:val="20"/>
              </w:rPr>
              <w:t>Review, accept, decline, defer, or withdraw a response at allowed stages</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Documents</w:t>
            </w:r>
          </w:p>
        </w:tc>
        <w:tc>
          <w:tcPr>
            <w:tcW w:type="dxa" w:w="6955"/>
            <w:shd w:fill="FFFFFF"/>
            <w:vAlign w:val="center"/>
            <w:tcMar>
              <w:top w:w="95" w:type="dxa"/>
              <w:left w:w="95" w:type="dxa"/>
              <w:bottom w:w="95" w:type="dxa"/>
              <w:right w:w="95" w:type="dxa"/>
            </w:tcMar>
          </w:tcPr>
          <w:p>
            <w:pPr>
              <w:spacing w:after="0" w:before="0" w:line="250" w:lineRule="auto"/>
            </w:pPr>
            <w:r>
              <w:rPr>
                <w:sz w:val="20"/>
              </w:rPr>
              <w:t>Upload supported files and access them through authorized downloads</w:t>
            </w:r>
          </w:p>
        </w:tc>
      </w:tr>
    </w:tbl>
    <w:p>
      <w:pPr>
        <w:spacing w:after="0"/>
      </w:pPr>
    </w:p>
    <w:p>
      <w:pPr>
        <w:pStyle w:val="Heading2"/>
      </w:pPr>
      <w:r>
        <w:t>A typical student session</w:t>
      </w:r>
    </w:p>
    <w:p>
      <w:r>
        <w:t>A student opens the action center and sees an upcoming application deadline. Before applying, the student reviews the drive and checks academic eligibility. An unverified skill can lead to an assessment. When a recruiter schedules a conversation, the interview appears in the workspace and can be included in a calendar download.</w:t>
      </w:r>
    </w:p>
    <w:p>
      <w:pPr>
        <w:pStyle w:val="Heading2"/>
      </w:pPr>
      <w:r>
        <w:t>Readiness without hidden assumptions</w:t>
      </w:r>
    </w:p>
    <w:p>
      <w:r>
        <w:t>Readiness combines recorded skills, academics, projects, aptitude, communication, and interview evidence. A missing result is shown as missing evidence. The score helps the student plan preparation; it does not guarantee selection or award an offer.</w:t>
      </w:r>
    </w:p>
    <w:p>
      <w:pPr>
        <w:spacing w:before="180" w:after="180"/>
        <w:shd w:fill="E1D7F1"/>
      </w:pPr>
      <w:r>
        <w:rPr>
          <w:sz w:val="19"/>
        </w:rPr>
        <w:t>Expired opportunities and opportunities already applied to are removed from the student action queue. Decisions are completed in the relevant workflow.</w:t>
      </w:r>
    </w:p>
    <w:p>
      <w:r>
        <w:br w:type="page"/>
      </w:r>
    </w:p>
    <w:p>
      <w:pPr>
        <w:pStyle w:val="Heading1"/>
      </w:pPr>
      <w:r>
        <w:t>Recruiter workspace</w:t>
      </w:r>
    </w:p>
    <w:p>
      <w:pPr>
        <w:pStyle w:val="Subtitle"/>
      </w:pPr>
      <w:r>
        <w:t>Campus coordination and candidate review</w:t>
      </w:r>
    </w:p>
    <w:p>
      <w:r>
        <w:t>Recruiters begin with a company profile and campus discovery. They request a placement drive instead of publishing directly to students. This lets the campus review the role, eligibility rules, and practical arrangements before opening participation.</w:t>
      </w:r>
    </w:p>
    <w:p>
      <w:pPr>
        <w:spacing w:after="140"/>
      </w:pPr>
      <w:r>
        <w:drawing>
          <wp:inline xmlns:a="http://schemas.openxmlformats.org/drawingml/2006/main" xmlns:pic="http://schemas.openxmlformats.org/drawingml/2006/picture">
            <wp:extent cx="6245352" cy="1561338"/>
            <wp:docPr id="5" name="Picture 5" descr="recruiter workflow summary"/>
            <wp:cNvGraphicFramePr>
              <a:graphicFrameLocks noChangeAspect="1"/>
            </wp:cNvGraphicFramePr>
            <a:graphic>
              <a:graphicData uri="http://schemas.openxmlformats.org/drawingml/2006/picture">
                <pic:pic>
                  <pic:nvPicPr>
                    <pic:cNvPr id="0" name="recruiter.png"/>
                    <pic:cNvPicPr/>
                  </pic:nvPicPr>
                  <pic:blipFill>
                    <a:blip r:embed="rId15"/>
                    <a:stretch>
                      <a:fillRect/>
                    </a:stretch>
                  </pic:blipFill>
                  <pic:spPr>
                    <a:xfrm>
                      <a:off x="0" y="0"/>
                      <a:ext cx="6245352" cy="1561338"/>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55"/>
      </w:tblGrid>
      <w:tr>
        <w:trPr>
          <w:tblHeader/>
          <w:cantSplit/>
        </w:trPr>
        <w:tc>
          <w:tcPr>
            <w:tcW w:type="dxa" w:w="2880"/>
            <w:shd w:fill="20221F"/>
            <w:vAlign w:val="center"/>
            <w:tcMar>
              <w:top w:w="95" w:type="dxa"/>
              <w:left w:w="95" w:type="dxa"/>
              <w:bottom w:w="95" w:type="dxa"/>
              <w:right w:w="95" w:type="dxa"/>
            </w:tcMar>
          </w:tcPr>
          <w:p>
            <w:pPr>
              <w:spacing w:after="0" w:before="0" w:line="250" w:lineRule="auto"/>
            </w:pPr>
            <w:r>
              <w:rPr>
                <w:b/>
                <w:color w:val="FFFFFF"/>
                <w:sz w:val="20"/>
              </w:rPr>
              <w:t>Recruiter task</w:t>
            </w:r>
          </w:p>
        </w:tc>
        <w:tc>
          <w:tcPr>
            <w:tcW w:type="dxa" w:w="6955"/>
            <w:shd w:fill="20221F"/>
            <w:vAlign w:val="center"/>
            <w:tcMar>
              <w:top w:w="95" w:type="dxa"/>
              <w:left w:w="95" w:type="dxa"/>
              <w:bottom w:w="95" w:type="dxa"/>
              <w:right w:w="95" w:type="dxa"/>
            </w:tcMar>
          </w:tcPr>
          <w:p>
            <w:pPr>
              <w:spacing w:after="0" w:before="0" w:line="250" w:lineRule="auto"/>
            </w:pPr>
            <w:r>
              <w:rPr>
                <w:b/>
                <w:color w:val="FFFFFF"/>
                <w:sz w:val="20"/>
              </w:rPr>
              <w:t>Supported workflow</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Describe the organization</w:t>
            </w:r>
          </w:p>
        </w:tc>
        <w:tc>
          <w:tcPr>
            <w:tcW w:type="dxa" w:w="6955"/>
            <w:shd w:fill="FFFFFF"/>
            <w:vAlign w:val="center"/>
            <w:tcMar>
              <w:top w:w="95" w:type="dxa"/>
              <w:left w:w="95" w:type="dxa"/>
              <w:bottom w:w="95" w:type="dxa"/>
              <w:right w:w="95" w:type="dxa"/>
            </w:tcMar>
          </w:tcPr>
          <w:p>
            <w:pPr>
              <w:spacing w:after="0" w:before="0" w:line="250" w:lineRule="auto"/>
            </w:pPr>
            <w:r>
              <w:rPr>
                <w:sz w:val="20"/>
              </w:rPr>
              <w:t>Save a company profile and recruitment information</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Request a campus visit</w:t>
            </w:r>
          </w:p>
        </w:tc>
        <w:tc>
          <w:tcPr>
            <w:tcW w:type="dxa" w:w="6955"/>
            <w:shd w:fill="F4F5F1"/>
            <w:vAlign w:val="center"/>
            <w:tcMar>
              <w:top w:w="95" w:type="dxa"/>
              <w:left w:w="95" w:type="dxa"/>
              <w:bottom w:w="95" w:type="dxa"/>
              <w:right w:w="95" w:type="dxa"/>
            </w:tcMar>
          </w:tcPr>
          <w:p>
            <w:pPr>
              <w:spacing w:after="0" w:before="0" w:line="250" w:lineRule="auto"/>
            </w:pPr>
            <w:r>
              <w:rPr>
                <w:sz w:val="20"/>
              </w:rPr>
              <w:t>Submit the role, eligibility, dates, rounds, and resources</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Respond to review</w:t>
            </w:r>
          </w:p>
        </w:tc>
        <w:tc>
          <w:tcPr>
            <w:tcW w:type="dxa" w:w="6955"/>
            <w:shd w:fill="FFFFFF"/>
            <w:vAlign w:val="center"/>
            <w:tcMar>
              <w:top w:w="95" w:type="dxa"/>
              <w:left w:w="95" w:type="dxa"/>
              <w:bottom w:w="95" w:type="dxa"/>
              <w:right w:w="95" w:type="dxa"/>
            </w:tcMar>
          </w:tcPr>
          <w:p>
            <w:pPr>
              <w:spacing w:after="0" w:before="0" w:line="250" w:lineRule="auto"/>
            </w:pPr>
            <w:r>
              <w:rPr>
                <w:sz w:val="20"/>
              </w:rPr>
              <w:t>Revise requests when the campus asks for changes</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Confirm the schedule</w:t>
            </w:r>
          </w:p>
        </w:tc>
        <w:tc>
          <w:tcPr>
            <w:tcW w:type="dxa" w:w="6955"/>
            <w:shd w:fill="F4F5F1"/>
            <w:vAlign w:val="center"/>
            <w:tcMar>
              <w:top w:w="95" w:type="dxa"/>
              <w:left w:w="95" w:type="dxa"/>
              <w:bottom w:w="95" w:type="dxa"/>
              <w:right w:w="95" w:type="dxa"/>
            </w:tcMar>
          </w:tcPr>
          <w:p>
            <w:pPr>
              <w:spacing w:after="0" w:before="0" w:line="250" w:lineRule="auto"/>
            </w:pPr>
            <w:r>
              <w:rPr>
                <w:sz w:val="20"/>
              </w:rPr>
              <w:t>Review and confirm the campus-proposed visit arrangements</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Review candidates</w:t>
            </w:r>
          </w:p>
        </w:tc>
        <w:tc>
          <w:tcPr>
            <w:tcW w:type="dxa" w:w="6955"/>
            <w:shd w:fill="FFFFFF"/>
            <w:vAlign w:val="center"/>
            <w:tcMar>
              <w:top w:w="95" w:type="dxa"/>
              <w:left w:w="95" w:type="dxa"/>
              <w:bottom w:w="95" w:type="dxa"/>
              <w:right w:w="95" w:type="dxa"/>
            </w:tcMar>
          </w:tcPr>
          <w:p>
            <w:pPr>
              <w:spacing w:after="0" w:before="0" w:line="250" w:lineRule="auto"/>
            </w:pPr>
            <w:r>
              <w:rPr>
                <w:sz w:val="20"/>
              </w:rPr>
              <w:t>Inspect authorized applicants, fit factors, and readiness evidence</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Manage selection</w:t>
            </w:r>
          </w:p>
        </w:tc>
        <w:tc>
          <w:tcPr>
            <w:tcW w:type="dxa" w:w="6955"/>
            <w:shd w:fill="F4F5F1"/>
            <w:vAlign w:val="center"/>
            <w:tcMar>
              <w:top w:w="95" w:type="dxa"/>
              <w:left w:w="95" w:type="dxa"/>
              <w:bottom w:w="95" w:type="dxa"/>
              <w:right w:w="95" w:type="dxa"/>
            </w:tcMar>
          </w:tcPr>
          <w:p>
            <w:pPr>
              <w:spacing w:after="0" w:before="0" w:line="250" w:lineRule="auto"/>
            </w:pPr>
            <w:r>
              <w:rPr>
                <w:sz w:val="20"/>
              </w:rPr>
              <w:t>Shortlist, schedule interviews, and record allowed selection steps</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Issue offers</w:t>
            </w:r>
          </w:p>
        </w:tc>
        <w:tc>
          <w:tcPr>
            <w:tcW w:type="dxa" w:w="6955"/>
            <w:shd w:fill="FFFFFF"/>
            <w:vAlign w:val="center"/>
            <w:tcMar>
              <w:top w:w="95" w:type="dxa"/>
              <w:left w:w="95" w:type="dxa"/>
              <w:bottom w:w="95" w:type="dxa"/>
              <w:right w:w="95" w:type="dxa"/>
            </w:tcMar>
          </w:tcPr>
          <w:p>
            <w:pPr>
              <w:spacing w:after="0" w:before="0" w:line="250" w:lineRule="auto"/>
            </w:pPr>
            <w:r>
              <w:rPr>
                <w:sz w:val="20"/>
              </w:rPr>
              <w:t>Record offers after an application reaches the offer stage</w:t>
            </w:r>
          </w:p>
        </w:tc>
      </w:tr>
    </w:tbl>
    <w:p>
      <w:pPr>
        <w:spacing w:after="0"/>
      </w:pPr>
    </w:p>
    <w:p>
      <w:pPr>
        <w:pStyle w:val="Heading2"/>
      </w:pPr>
      <w:r>
        <w:t>Candidate discovery with context</w:t>
      </w:r>
    </w:p>
    <w:p>
      <w:r>
        <w:t>In connected mode, recruiters see applicants within their authorized recruitment pool. Eligibility is checked before matching. Ranking combines recorded profile evidence with text relevance and presents the factors so a reviewer can understand the result.</w:t>
      </w:r>
    </w:p>
    <w:p>
      <w:pPr>
        <w:pStyle w:val="Heading2"/>
      </w:pPr>
      <w:r>
        <w:t>The recruiter action center</w:t>
      </w:r>
    </w:p>
    <w:p>
      <w:r>
        <w:t>Draft requests, requested revisions, schedules awaiting confirmation, and active selection work appear as actions. Each action opens the existing drive or interview screen. The list follows record status, which keeps it consistent with the underlying workflow.</w:t>
      </w:r>
    </w:p>
    <w:p>
      <w:pPr>
        <w:spacing w:before="180" w:after="180"/>
        <w:shd w:fill="E1D7F1"/>
      </w:pPr>
      <w:r>
        <w:rPr>
          <w:sz w:val="19"/>
        </w:rPr>
        <w:t>A recruiter cannot make an inactive drive visible to students. Campus activation is required after confirmation and finalization.</w:t>
      </w:r>
    </w:p>
    <w:p>
      <w:r>
        <w:br w:type="page"/>
      </w:r>
    </w:p>
    <w:p>
      <w:pPr>
        <w:pStyle w:val="Heading1"/>
      </w:pPr>
      <w:r>
        <w:t>Campus and administrator workspaces</w:t>
      </w:r>
    </w:p>
    <w:p>
      <w:pPr>
        <w:pStyle w:val="Subtitle"/>
      </w:pPr>
      <w:r>
        <w:t>Placement coordination and platform administration</w:t>
      </w:r>
    </w:p>
    <w:p>
      <w:r>
        <w:t>The campus workspace is the operational center for an institution. It brings together students, recruiters, requests, campus resources, and placement results. Campus teams approve and coordinate activities within their own institution.</w:t>
      </w:r>
    </w:p>
    <w:p>
      <w:pPr>
        <w:spacing w:after="140"/>
      </w:pPr>
      <w:r>
        <w:drawing>
          <wp:inline xmlns:a="http://schemas.openxmlformats.org/drawingml/2006/main" xmlns:pic="http://schemas.openxmlformats.org/drawingml/2006/picture">
            <wp:extent cx="6245352" cy="1561338"/>
            <wp:docPr id="6" name="Picture 6" descr="campus workflow summary"/>
            <wp:cNvGraphicFramePr>
              <a:graphicFrameLocks noChangeAspect="1"/>
            </wp:cNvGraphicFramePr>
            <a:graphic>
              <a:graphicData uri="http://schemas.openxmlformats.org/drawingml/2006/picture">
                <pic:pic>
                  <pic:nvPicPr>
                    <pic:cNvPr id="0" name="campus.png"/>
                    <pic:cNvPicPr/>
                  </pic:nvPicPr>
                  <pic:blipFill>
                    <a:blip r:embed="rId16"/>
                    <a:stretch>
                      <a:fillRect/>
                    </a:stretch>
                  </pic:blipFill>
                  <pic:spPr>
                    <a:xfrm>
                      <a:off x="0" y="0"/>
                      <a:ext cx="6245352" cy="1561338"/>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55"/>
      </w:tblGrid>
      <w:tr>
        <w:trPr>
          <w:tblHeader/>
          <w:cantSplit/>
        </w:trPr>
        <w:tc>
          <w:tcPr>
            <w:tcW w:type="dxa" w:w="2880"/>
            <w:shd w:fill="20221F"/>
            <w:vAlign w:val="center"/>
            <w:tcMar>
              <w:top w:w="95" w:type="dxa"/>
              <w:left w:w="95" w:type="dxa"/>
              <w:bottom w:w="95" w:type="dxa"/>
              <w:right w:w="95" w:type="dxa"/>
            </w:tcMar>
          </w:tcPr>
          <w:p>
            <w:pPr>
              <w:spacing w:after="0" w:before="0" w:line="250" w:lineRule="auto"/>
            </w:pPr>
            <w:r>
              <w:rPr>
                <w:b/>
                <w:color w:val="FFFFFF"/>
                <w:sz w:val="20"/>
              </w:rPr>
              <w:t>Campus responsibility</w:t>
            </w:r>
          </w:p>
        </w:tc>
        <w:tc>
          <w:tcPr>
            <w:tcW w:type="dxa" w:w="6955"/>
            <w:shd w:fill="20221F"/>
            <w:vAlign w:val="center"/>
            <w:tcMar>
              <w:top w:w="95" w:type="dxa"/>
              <w:left w:w="95" w:type="dxa"/>
              <w:bottom w:w="95" w:type="dxa"/>
              <w:right w:w="95" w:type="dxa"/>
            </w:tcMar>
          </w:tcPr>
          <w:p>
            <w:pPr>
              <w:spacing w:after="0" w:before="0" w:line="250" w:lineRule="auto"/>
            </w:pPr>
            <w:r>
              <w:rPr>
                <w:b/>
                <w:color w:val="FFFFFF"/>
                <w:sz w:val="20"/>
              </w:rPr>
              <w:t>Available controls</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Review requests</w:t>
            </w:r>
          </w:p>
        </w:tc>
        <w:tc>
          <w:tcPr>
            <w:tcW w:type="dxa" w:w="6955"/>
            <w:shd w:fill="FFFFFF"/>
            <w:vAlign w:val="center"/>
            <w:tcMar>
              <w:top w:w="95" w:type="dxa"/>
              <w:left w:w="95" w:type="dxa"/>
              <w:bottom w:w="95" w:type="dxa"/>
              <w:right w:w="95" w:type="dxa"/>
            </w:tcMar>
          </w:tcPr>
          <w:p>
            <w:pPr>
              <w:spacing w:after="0" w:before="0" w:line="250" w:lineRule="auto"/>
            </w:pPr>
            <w:r>
              <w:rPr>
                <w:sz w:val="20"/>
              </w:rPr>
              <w:t>Inspect drive details, approve scheduling, request changes, or reject</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Coordinate visits</w:t>
            </w:r>
          </w:p>
        </w:tc>
        <w:tc>
          <w:tcPr>
            <w:tcW w:type="dxa" w:w="6955"/>
            <w:shd w:fill="F4F5F1"/>
            <w:vAlign w:val="center"/>
            <w:tcMar>
              <w:top w:w="95" w:type="dxa"/>
              <w:left w:w="95" w:type="dxa"/>
              <w:bottom w:w="95" w:type="dxa"/>
              <w:right w:w="95" w:type="dxa"/>
            </w:tcMar>
          </w:tcPr>
          <w:p>
            <w:pPr>
              <w:spacing w:after="0" w:before="0" w:line="250" w:lineRule="auto"/>
            </w:pPr>
            <w:r>
              <w:rPr>
                <w:sz w:val="20"/>
              </w:rPr>
              <w:t>Allocate dates, venues, labs, rooms, and systems</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Open participation</w:t>
            </w:r>
          </w:p>
        </w:tc>
        <w:tc>
          <w:tcPr>
            <w:tcW w:type="dxa" w:w="6955"/>
            <w:shd w:fill="FFFFFF"/>
            <w:vAlign w:val="center"/>
            <w:tcMar>
              <w:top w:w="95" w:type="dxa"/>
              <w:left w:w="95" w:type="dxa"/>
              <w:bottom w:w="95" w:type="dxa"/>
              <w:right w:w="95" w:type="dxa"/>
            </w:tcMar>
          </w:tcPr>
          <w:p>
            <w:pPr>
              <w:spacing w:after="0" w:before="0" w:line="250" w:lineRule="auto"/>
            </w:pPr>
            <w:r>
              <w:rPr>
                <w:sz w:val="20"/>
              </w:rPr>
              <w:t>Finalize confirmed arrangements and activate the drive</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Track the event</w:t>
            </w:r>
          </w:p>
        </w:tc>
        <w:tc>
          <w:tcPr>
            <w:tcW w:type="dxa" w:w="6955"/>
            <w:shd w:fill="F4F5F1"/>
            <w:vAlign w:val="center"/>
            <w:tcMar>
              <w:top w:w="95" w:type="dxa"/>
              <w:left w:w="95" w:type="dxa"/>
              <w:bottom w:w="95" w:type="dxa"/>
              <w:right w:w="95" w:type="dxa"/>
            </w:tcMar>
          </w:tcPr>
          <w:p>
            <w:pPr>
              <w:spacing w:after="0" w:before="0" w:line="250" w:lineRule="auto"/>
            </w:pPr>
            <w:r>
              <w:rPr>
                <w:sz w:val="20"/>
              </w:rPr>
              <w:t>Record attendance, cleared rounds, and selection progress</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Complete outcomes</w:t>
            </w:r>
          </w:p>
        </w:tc>
        <w:tc>
          <w:tcPr>
            <w:tcW w:type="dxa" w:w="6955"/>
            <w:shd w:fill="FFFFFF"/>
            <w:vAlign w:val="center"/>
            <w:tcMar>
              <w:top w:w="95" w:type="dxa"/>
              <w:left w:w="95" w:type="dxa"/>
              <w:bottom w:w="95" w:type="dxa"/>
              <w:right w:w="95" w:type="dxa"/>
            </w:tcMar>
          </w:tcPr>
          <w:p>
            <w:pPr>
              <w:spacing w:after="0" w:before="0" w:line="250" w:lineRule="auto"/>
            </w:pPr>
            <w:r>
              <w:rPr>
                <w:sz w:val="20"/>
              </w:rPr>
              <w:t>Verify documents and record joining at the permitted stage</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Review the cohort</w:t>
            </w:r>
          </w:p>
        </w:tc>
        <w:tc>
          <w:tcPr>
            <w:tcW w:type="dxa" w:w="6955"/>
            <w:shd w:fill="F4F5F1"/>
            <w:vAlign w:val="center"/>
            <w:tcMar>
              <w:top w:w="95" w:type="dxa"/>
              <w:left w:w="95" w:type="dxa"/>
              <w:bottom w:w="95" w:type="dxa"/>
              <w:right w:w="95" w:type="dxa"/>
            </w:tcMar>
          </w:tcPr>
          <w:p>
            <w:pPr>
              <w:spacing w:after="0" w:before="0" w:line="250" w:lineRule="auto"/>
            </w:pPr>
            <w:r>
              <w:rPr>
                <w:sz w:val="20"/>
              </w:rPr>
              <w:t>Use students, applications, reports, and placement analytics</w:t>
            </w:r>
          </w:p>
        </w:tc>
      </w:tr>
    </w:tbl>
    <w:p>
      <w:pPr>
        <w:spacing w:after="0"/>
      </w:pPr>
    </w:p>
    <w:p>
      <w:pPr>
        <w:pStyle w:val="Heading2"/>
      </w:pPr>
      <w:r>
        <w:t>Administrator access</w:t>
      </w:r>
    </w:p>
    <w:p>
      <w:r>
        <w:t>The administrator console manages accounts, campuses, question banks, assessments, contests, integration status, and audit history. It is separate from public registration. An operator grants administrator permission to a specified existing account; the browser cannot assign that permission.</w:t>
      </w:r>
    </w:p>
    <w:p>
      <w:pPr>
        <w:pStyle w:val="Heading2"/>
      </w:pPr>
      <w:r>
        <w:t>Content management</w:t>
      </w:r>
    </w:p>
    <w:p>
      <w:r>
        <w:t>Assessment and contest content starts as a draft. Administrators can create questions, choose an audience, publish content, and archive it later. Correct answers are excluded from student APIs. Assessment scoring uses answer snapshots held by the server.</w:t>
      </w:r>
    </w:p>
    <w:p>
      <w:pPr>
        <w:spacing w:before="180" w:after="180"/>
        <w:shd w:fill="E1D7F1"/>
      </w:pPr>
      <w:r>
        <w:rPr>
          <w:sz w:val="19"/>
        </w:rPr>
        <w:t>Campus authority is scoped to the institution. Administrator permission is checked independently and requires an approved, verified account.</w:t>
      </w:r>
    </w:p>
    <w:p>
      <w:r>
        <w:br w:type="page"/>
      </w:r>
    </w:p>
    <w:p>
      <w:pPr>
        <w:pStyle w:val="Heading1"/>
      </w:pPr>
      <w:r>
        <w:t>Placement drive workflow</w:t>
      </w:r>
    </w:p>
    <w:p>
      <w:pPr>
        <w:pStyle w:val="Subtitle"/>
      </w:pPr>
      <w:r>
        <w:t>From a recruitment request to a campus visit</w:t>
      </w:r>
    </w:p>
    <w:p>
      <w:r>
        <w:t>A drive is a controlled sequence of decisions. The state tells each participant what can happen next and prevents an unfinished request from appearing as an opportunity.</w:t>
      </w:r>
    </w:p>
    <w:p>
      <w:pPr>
        <w:spacing w:after="140"/>
      </w:pPr>
      <w:r>
        <w:drawing>
          <wp:inline xmlns:a="http://schemas.openxmlformats.org/drawingml/2006/main" xmlns:pic="http://schemas.openxmlformats.org/drawingml/2006/picture">
            <wp:extent cx="6245352" cy="2151177"/>
            <wp:docPr id="7" name="Picture 7" descr="Six placement stages from request to selection"/>
            <wp:cNvGraphicFramePr>
              <a:graphicFrameLocks noChangeAspect="1"/>
            </wp:cNvGraphicFramePr>
            <a:graphic>
              <a:graphicData uri="http://schemas.openxmlformats.org/drawingml/2006/picture">
                <pic:pic>
                  <pic:nvPicPr>
                    <pic:cNvPr id="0" name="workflow.png"/>
                    <pic:cNvPicPr/>
                  </pic:nvPicPr>
                  <pic:blipFill>
                    <a:blip r:embed="rId17"/>
                    <a:stretch>
                      <a:fillRect/>
                    </a:stretch>
                  </pic:blipFill>
                  <pic:spPr>
                    <a:xfrm>
                      <a:off x="0" y="0"/>
                      <a:ext cx="6245352" cy="2151177"/>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016"/>
        <w:gridCol w:w="5443"/>
      </w:tblGrid>
      <w:tr>
        <w:trPr>
          <w:tblHeader/>
          <w:cantSplit/>
        </w:trPr>
        <w:tc>
          <w:tcPr>
            <w:tcW w:type="dxa" w:w="2376"/>
            <w:shd w:fill="20221F"/>
            <w:vAlign w:val="center"/>
            <w:tcMar>
              <w:top w:w="95" w:type="dxa"/>
              <w:left w:w="95" w:type="dxa"/>
              <w:bottom w:w="95" w:type="dxa"/>
              <w:right w:w="95" w:type="dxa"/>
            </w:tcMar>
          </w:tcPr>
          <w:p>
            <w:pPr>
              <w:spacing w:after="0" w:before="0" w:line="250" w:lineRule="auto"/>
            </w:pPr>
            <w:r>
              <w:rPr>
                <w:b/>
                <w:color w:val="FFFFFF"/>
                <w:sz w:val="20"/>
              </w:rPr>
              <w:t>Stage</w:t>
            </w:r>
          </w:p>
        </w:tc>
        <w:tc>
          <w:tcPr>
            <w:tcW w:type="dxa" w:w="2016"/>
            <w:shd w:fill="20221F"/>
            <w:vAlign w:val="center"/>
            <w:tcMar>
              <w:top w:w="95" w:type="dxa"/>
              <w:left w:w="95" w:type="dxa"/>
              <w:bottom w:w="95" w:type="dxa"/>
              <w:right w:w="95" w:type="dxa"/>
            </w:tcMar>
          </w:tcPr>
          <w:p>
            <w:pPr>
              <w:spacing w:after="0" w:before="0" w:line="250" w:lineRule="auto"/>
            </w:pPr>
            <w:r>
              <w:rPr>
                <w:b/>
                <w:color w:val="FFFFFF"/>
                <w:sz w:val="20"/>
              </w:rPr>
              <w:t>Who acts</w:t>
            </w:r>
          </w:p>
        </w:tc>
        <w:tc>
          <w:tcPr>
            <w:tcW w:type="dxa" w:w="5443"/>
            <w:shd w:fill="20221F"/>
            <w:vAlign w:val="center"/>
            <w:tcMar>
              <w:top w:w="95" w:type="dxa"/>
              <w:left w:w="95" w:type="dxa"/>
              <w:bottom w:w="95" w:type="dxa"/>
              <w:right w:w="95" w:type="dxa"/>
            </w:tcMar>
          </w:tcPr>
          <w:p>
            <w:pPr>
              <w:spacing w:after="0" w:before="0" w:line="250" w:lineRule="auto"/>
            </w:pPr>
            <w:r>
              <w:rPr>
                <w:b/>
                <w:color w:val="FFFFFF"/>
                <w:sz w:val="20"/>
              </w:rPr>
              <w:t>Result</w:t>
            </w:r>
          </w:p>
        </w:tc>
      </w:tr>
      <w:tr>
        <w:trPr>
          <w:cantSplit/>
        </w:trPr>
        <w:tc>
          <w:tcPr>
            <w:tcW w:type="dxa" w:w="2376"/>
            <w:shd w:fill="FFFFFF"/>
            <w:vAlign w:val="center"/>
            <w:tcMar>
              <w:top w:w="95" w:type="dxa"/>
              <w:left w:w="95" w:type="dxa"/>
              <w:bottom w:w="95" w:type="dxa"/>
              <w:right w:w="95" w:type="dxa"/>
            </w:tcMar>
          </w:tcPr>
          <w:p>
            <w:pPr>
              <w:spacing w:after="0" w:before="0" w:line="250" w:lineRule="auto"/>
            </w:pPr>
            <w:r>
              <w:rPr>
                <w:sz w:val="20"/>
              </w:rPr>
              <w:t>Draft and submission</w:t>
            </w:r>
          </w:p>
        </w:tc>
        <w:tc>
          <w:tcPr>
            <w:tcW w:type="dxa" w:w="2016"/>
            <w:shd w:fill="FFFFFF"/>
            <w:vAlign w:val="center"/>
            <w:tcMar>
              <w:top w:w="95" w:type="dxa"/>
              <w:left w:w="95" w:type="dxa"/>
              <w:bottom w:w="95" w:type="dxa"/>
              <w:right w:w="95" w:type="dxa"/>
            </w:tcMar>
          </w:tcPr>
          <w:p>
            <w:pPr>
              <w:spacing w:after="0" w:before="0" w:line="250" w:lineRule="auto"/>
            </w:pPr>
            <w:r>
              <w:rPr>
                <w:sz w:val="20"/>
              </w:rPr>
              <w:t>Recruiter</w:t>
            </w:r>
          </w:p>
        </w:tc>
        <w:tc>
          <w:tcPr>
            <w:tcW w:type="dxa" w:w="5443"/>
            <w:shd w:fill="FFFFFF"/>
            <w:vAlign w:val="center"/>
            <w:tcMar>
              <w:top w:w="95" w:type="dxa"/>
              <w:left w:w="95" w:type="dxa"/>
              <w:bottom w:w="95" w:type="dxa"/>
              <w:right w:w="95" w:type="dxa"/>
            </w:tcMar>
          </w:tcPr>
          <w:p>
            <w:pPr>
              <w:spacing w:after="0" w:before="0" w:line="250" w:lineRule="auto"/>
            </w:pPr>
            <w:r>
              <w:rPr>
                <w:sz w:val="20"/>
              </w:rPr>
              <w:t>A request is prepared and sent to the campus</w:t>
            </w:r>
          </w:p>
        </w:tc>
      </w:tr>
      <w:tr>
        <w:trPr>
          <w:cantSplit/>
        </w:trPr>
        <w:tc>
          <w:tcPr>
            <w:tcW w:type="dxa" w:w="2376"/>
            <w:shd w:fill="F4F5F1"/>
            <w:vAlign w:val="center"/>
            <w:tcMar>
              <w:top w:w="95" w:type="dxa"/>
              <w:left w:w="95" w:type="dxa"/>
              <w:bottom w:w="95" w:type="dxa"/>
              <w:right w:w="95" w:type="dxa"/>
            </w:tcMar>
          </w:tcPr>
          <w:p>
            <w:pPr>
              <w:spacing w:after="0" w:before="0" w:line="250" w:lineRule="auto"/>
            </w:pPr>
            <w:r>
              <w:rPr>
                <w:sz w:val="20"/>
              </w:rPr>
              <w:t>Review</w:t>
            </w:r>
          </w:p>
        </w:tc>
        <w:tc>
          <w:tcPr>
            <w:tcW w:type="dxa" w:w="2016"/>
            <w:shd w:fill="F4F5F1"/>
            <w:vAlign w:val="center"/>
            <w:tcMar>
              <w:top w:w="95" w:type="dxa"/>
              <w:left w:w="95" w:type="dxa"/>
              <w:bottom w:w="95" w:type="dxa"/>
              <w:right w:w="95" w:type="dxa"/>
            </w:tcMar>
          </w:tcPr>
          <w:p>
            <w:pPr>
              <w:spacing w:after="0" w:before="0" w:line="250" w:lineRule="auto"/>
            </w:pPr>
            <w:r>
              <w:rPr>
                <w:sz w:val="20"/>
              </w:rPr>
              <w:t>Campus</w:t>
            </w:r>
          </w:p>
        </w:tc>
        <w:tc>
          <w:tcPr>
            <w:tcW w:type="dxa" w:w="5443"/>
            <w:shd w:fill="F4F5F1"/>
            <w:vAlign w:val="center"/>
            <w:tcMar>
              <w:top w:w="95" w:type="dxa"/>
              <w:left w:w="95" w:type="dxa"/>
              <w:bottom w:w="95" w:type="dxa"/>
              <w:right w:w="95" w:type="dxa"/>
            </w:tcMar>
          </w:tcPr>
          <w:p>
            <w:pPr>
              <w:spacing w:after="0" w:before="0" w:line="250" w:lineRule="auto"/>
            </w:pPr>
            <w:r>
              <w:rPr>
                <w:sz w:val="20"/>
              </w:rPr>
              <w:t>The request advances, returns for changes, or is rejected</w:t>
            </w:r>
          </w:p>
        </w:tc>
      </w:tr>
      <w:tr>
        <w:trPr>
          <w:cantSplit/>
        </w:trPr>
        <w:tc>
          <w:tcPr>
            <w:tcW w:type="dxa" w:w="2376"/>
            <w:shd w:fill="FFFFFF"/>
            <w:vAlign w:val="center"/>
            <w:tcMar>
              <w:top w:w="95" w:type="dxa"/>
              <w:left w:w="95" w:type="dxa"/>
              <w:bottom w:w="95" w:type="dxa"/>
              <w:right w:w="95" w:type="dxa"/>
            </w:tcMar>
          </w:tcPr>
          <w:p>
            <w:pPr>
              <w:spacing w:after="0" w:before="0" w:line="250" w:lineRule="auto"/>
            </w:pPr>
            <w:r>
              <w:rPr>
                <w:sz w:val="20"/>
              </w:rPr>
              <w:t>Scheduling</w:t>
            </w:r>
          </w:p>
        </w:tc>
        <w:tc>
          <w:tcPr>
            <w:tcW w:type="dxa" w:w="2016"/>
            <w:shd w:fill="FFFFFF"/>
            <w:vAlign w:val="center"/>
            <w:tcMar>
              <w:top w:w="95" w:type="dxa"/>
              <w:left w:w="95" w:type="dxa"/>
              <w:bottom w:w="95" w:type="dxa"/>
              <w:right w:w="95" w:type="dxa"/>
            </w:tcMar>
          </w:tcPr>
          <w:p>
            <w:pPr>
              <w:spacing w:after="0" w:before="0" w:line="250" w:lineRule="auto"/>
            </w:pPr>
            <w:r>
              <w:rPr>
                <w:sz w:val="20"/>
              </w:rPr>
              <w:t>Campus</w:t>
            </w:r>
          </w:p>
        </w:tc>
        <w:tc>
          <w:tcPr>
            <w:tcW w:type="dxa" w:w="5443"/>
            <w:shd w:fill="FFFFFF"/>
            <w:vAlign w:val="center"/>
            <w:tcMar>
              <w:top w:w="95" w:type="dxa"/>
              <w:left w:w="95" w:type="dxa"/>
              <w:bottom w:w="95" w:type="dxa"/>
              <w:right w:w="95" w:type="dxa"/>
            </w:tcMar>
          </w:tcPr>
          <w:p>
            <w:pPr>
              <w:spacing w:after="0" w:before="0" w:line="250" w:lineRule="auto"/>
            </w:pPr>
            <w:r>
              <w:rPr>
                <w:sz w:val="20"/>
              </w:rPr>
              <w:t>A proposed visit and resource allocation are recorded</w:t>
            </w:r>
          </w:p>
        </w:tc>
      </w:tr>
      <w:tr>
        <w:trPr>
          <w:cantSplit/>
        </w:trPr>
        <w:tc>
          <w:tcPr>
            <w:tcW w:type="dxa" w:w="2376"/>
            <w:shd w:fill="F4F5F1"/>
            <w:vAlign w:val="center"/>
            <w:tcMar>
              <w:top w:w="95" w:type="dxa"/>
              <w:left w:w="95" w:type="dxa"/>
              <w:bottom w:w="95" w:type="dxa"/>
              <w:right w:w="95" w:type="dxa"/>
            </w:tcMar>
          </w:tcPr>
          <w:p>
            <w:pPr>
              <w:spacing w:after="0" w:before="0" w:line="250" w:lineRule="auto"/>
            </w:pPr>
            <w:r>
              <w:rPr>
                <w:sz w:val="20"/>
              </w:rPr>
              <w:t>Confirmation</w:t>
            </w:r>
          </w:p>
        </w:tc>
        <w:tc>
          <w:tcPr>
            <w:tcW w:type="dxa" w:w="2016"/>
            <w:shd w:fill="F4F5F1"/>
            <w:vAlign w:val="center"/>
            <w:tcMar>
              <w:top w:w="95" w:type="dxa"/>
              <w:left w:w="95" w:type="dxa"/>
              <w:bottom w:w="95" w:type="dxa"/>
              <w:right w:w="95" w:type="dxa"/>
            </w:tcMar>
          </w:tcPr>
          <w:p>
            <w:pPr>
              <w:spacing w:after="0" w:before="0" w:line="250" w:lineRule="auto"/>
            </w:pPr>
            <w:r>
              <w:rPr>
                <w:sz w:val="20"/>
              </w:rPr>
              <w:t>Recruiter</w:t>
            </w:r>
          </w:p>
        </w:tc>
        <w:tc>
          <w:tcPr>
            <w:tcW w:type="dxa" w:w="5443"/>
            <w:shd w:fill="F4F5F1"/>
            <w:vAlign w:val="center"/>
            <w:tcMar>
              <w:top w:w="95" w:type="dxa"/>
              <w:left w:w="95" w:type="dxa"/>
              <w:bottom w:w="95" w:type="dxa"/>
              <w:right w:w="95" w:type="dxa"/>
            </w:tcMar>
          </w:tcPr>
          <w:p>
            <w:pPr>
              <w:spacing w:after="0" w:before="0" w:line="250" w:lineRule="auto"/>
            </w:pPr>
            <w:r>
              <w:rPr>
                <w:sz w:val="20"/>
              </w:rPr>
              <w:t>The proposed campus arrangements are confirmed</w:t>
            </w:r>
          </w:p>
        </w:tc>
      </w:tr>
      <w:tr>
        <w:trPr>
          <w:cantSplit/>
        </w:trPr>
        <w:tc>
          <w:tcPr>
            <w:tcW w:type="dxa" w:w="2376"/>
            <w:shd w:fill="FFFFFF"/>
            <w:vAlign w:val="center"/>
            <w:tcMar>
              <w:top w:w="95" w:type="dxa"/>
              <w:left w:w="95" w:type="dxa"/>
              <w:bottom w:w="95" w:type="dxa"/>
              <w:right w:w="95" w:type="dxa"/>
            </w:tcMar>
          </w:tcPr>
          <w:p>
            <w:pPr>
              <w:spacing w:after="0" w:before="0" w:line="250" w:lineRule="auto"/>
            </w:pPr>
            <w:r>
              <w:rPr>
                <w:sz w:val="20"/>
              </w:rPr>
              <w:t>Finalization and activation</w:t>
            </w:r>
          </w:p>
        </w:tc>
        <w:tc>
          <w:tcPr>
            <w:tcW w:type="dxa" w:w="2016"/>
            <w:shd w:fill="FFFFFF"/>
            <w:vAlign w:val="center"/>
            <w:tcMar>
              <w:top w:w="95" w:type="dxa"/>
              <w:left w:w="95" w:type="dxa"/>
              <w:bottom w:w="95" w:type="dxa"/>
              <w:right w:w="95" w:type="dxa"/>
            </w:tcMar>
          </w:tcPr>
          <w:p>
            <w:pPr>
              <w:spacing w:after="0" w:before="0" w:line="250" w:lineRule="auto"/>
            </w:pPr>
            <w:r>
              <w:rPr>
                <w:sz w:val="20"/>
              </w:rPr>
              <w:t>Campus</w:t>
            </w:r>
          </w:p>
        </w:tc>
        <w:tc>
          <w:tcPr>
            <w:tcW w:type="dxa" w:w="5443"/>
            <w:shd w:fill="FFFFFF"/>
            <w:vAlign w:val="center"/>
            <w:tcMar>
              <w:top w:w="95" w:type="dxa"/>
              <w:left w:w="95" w:type="dxa"/>
              <w:bottom w:w="95" w:type="dxa"/>
              <w:right w:w="95" w:type="dxa"/>
            </w:tcMar>
          </w:tcPr>
          <w:p>
            <w:pPr>
              <w:spacing w:after="0" w:before="0" w:line="250" w:lineRule="auto"/>
            </w:pPr>
            <w:r>
              <w:rPr>
                <w:sz w:val="20"/>
              </w:rPr>
              <w:t>Student participation is opened</w:t>
            </w:r>
          </w:p>
        </w:tc>
      </w:tr>
      <w:tr>
        <w:trPr>
          <w:cantSplit/>
        </w:trPr>
        <w:tc>
          <w:tcPr>
            <w:tcW w:type="dxa" w:w="2376"/>
            <w:shd w:fill="F4F5F1"/>
            <w:vAlign w:val="center"/>
            <w:tcMar>
              <w:top w:w="95" w:type="dxa"/>
              <w:left w:w="95" w:type="dxa"/>
              <w:bottom w:w="95" w:type="dxa"/>
              <w:right w:w="95" w:type="dxa"/>
            </w:tcMar>
          </w:tcPr>
          <w:p>
            <w:pPr>
              <w:spacing w:after="0" w:before="0" w:line="250" w:lineRule="auto"/>
            </w:pPr>
            <w:r>
              <w:rPr>
                <w:sz w:val="20"/>
              </w:rPr>
              <w:t>Event and completion</w:t>
            </w:r>
          </w:p>
        </w:tc>
        <w:tc>
          <w:tcPr>
            <w:tcW w:type="dxa" w:w="2016"/>
            <w:shd w:fill="F4F5F1"/>
            <w:vAlign w:val="center"/>
            <w:tcMar>
              <w:top w:w="95" w:type="dxa"/>
              <w:left w:w="95" w:type="dxa"/>
              <w:bottom w:w="95" w:type="dxa"/>
              <w:right w:w="95" w:type="dxa"/>
            </w:tcMar>
          </w:tcPr>
          <w:p>
            <w:pPr>
              <w:spacing w:after="0" w:before="0" w:line="250" w:lineRule="auto"/>
            </w:pPr>
            <w:r>
              <w:rPr>
                <w:sz w:val="20"/>
              </w:rPr>
              <w:t>Authorized teams</w:t>
            </w:r>
          </w:p>
        </w:tc>
        <w:tc>
          <w:tcPr>
            <w:tcW w:type="dxa" w:w="5443"/>
            <w:shd w:fill="F4F5F1"/>
            <w:vAlign w:val="center"/>
            <w:tcMar>
              <w:top w:w="95" w:type="dxa"/>
              <w:left w:w="95" w:type="dxa"/>
              <w:bottom w:w="95" w:type="dxa"/>
              <w:right w:w="95" w:type="dxa"/>
            </w:tcMar>
          </w:tcPr>
          <w:p>
            <w:pPr>
              <w:spacing w:after="0" w:before="0" w:line="250" w:lineRule="auto"/>
            </w:pPr>
            <w:r>
              <w:rPr>
                <w:sz w:val="20"/>
              </w:rPr>
              <w:t>Attendance, rounds, outcomes, and completion are recorded</w:t>
            </w:r>
          </w:p>
        </w:tc>
      </w:tr>
    </w:tbl>
    <w:p>
      <w:pPr>
        <w:spacing w:after="0"/>
      </w:pPr>
    </w:p>
    <w:p>
      <w:pPr>
        <w:pStyle w:val="Heading2"/>
      </w:pPr>
      <w:r>
        <w:t>Eligibility and conflict checks</w:t>
      </w:r>
    </w:p>
    <w:p>
      <w:r>
        <w:t>Student eligibility uses campus, course, branch, graduation year, CGPA, and backlog rules. Scheduling checks sample resource, recruiter, and student-cohort conflicts. The API rechecks reservations when a schedule is saved. Transactions protect concurrent placement changes.</w:t>
      </w:r>
    </w:p>
    <w:p>
      <w:r>
        <w:t>Rejected and cancelled drives stay outside the student opportunity feed. Changes return to the appropriate review step rather than bypassing the approval process.</w:t>
      </w:r>
    </w:p>
    <w:p>
      <w:pPr>
        <w:spacing w:before="180" w:after="180"/>
        <w:shd w:fill="E1D7F1"/>
      </w:pPr>
      <w:r>
        <w:rPr>
          <w:sz w:val="19"/>
        </w:rPr>
        <w:t>Lifecycle tests cover visibility, role permissions, transition order, eligibility, scheduling conflicts, cancellation, and cleared-round counts.</w:t>
      </w:r>
    </w:p>
    <w:p>
      <w:r>
        <w:br w:type="page"/>
      </w:r>
    </w:p>
    <w:p>
      <w:pPr>
        <w:pStyle w:val="Heading1"/>
      </w:pPr>
      <w:r>
        <w:t>Preparation and analysis</w:t>
      </w:r>
    </w:p>
    <w:p>
      <w:pPr>
        <w:pStyle w:val="Subtitle"/>
      </w:pPr>
      <w:r>
        <w:t>Recorded evidence behind student guidance</w:t>
      </w:r>
    </w:p>
    <w:p>
      <w:r>
        <w:t>Preparation tools connect study activity to evidence. Assessments record results, passed verification updates skills, and practice interviews store feedback on submitted answers. Learning paths support continued study without treating a completed reading task as a verified skill.</w:t>
      </w:r>
    </w:p>
    <w:p>
      <w:pPr>
        <w:spacing w:after="140"/>
      </w:pPr>
      <w:r>
        <w:drawing>
          <wp:inline xmlns:a="http://schemas.openxmlformats.org/drawingml/2006/main" xmlns:pic="http://schemas.openxmlformats.org/drawingml/2006/picture">
            <wp:extent cx="6245352" cy="2151177"/>
            <wp:docPr id="8" name="Picture 8" descr="Readiness weights for six evidence categories"/>
            <wp:cNvGraphicFramePr>
              <a:graphicFrameLocks noChangeAspect="1"/>
            </wp:cNvGraphicFramePr>
            <a:graphic>
              <a:graphicData uri="http://schemas.openxmlformats.org/drawingml/2006/picture">
                <pic:pic>
                  <pic:nvPicPr>
                    <pic:cNvPr id="0" name="weights.png"/>
                    <pic:cNvPicPr/>
                  </pic:nvPicPr>
                  <pic:blipFill>
                    <a:blip r:embed="rId18"/>
                    <a:stretch>
                      <a:fillRect/>
                    </a:stretch>
                  </pic:blipFill>
                  <pic:spPr>
                    <a:xfrm>
                      <a:off x="0" y="0"/>
                      <a:ext cx="6245352" cy="2151177"/>
                    </a:xfrm>
                    <a:prstGeom prst="rect"/>
                  </pic:spPr>
                </pic:pic>
              </a:graphicData>
            </a:graphic>
          </wp:inline>
        </w:drawing>
      </w:r>
    </w:p>
    <w:p>
      <w:pPr>
        <w:pStyle w:val="Caption"/>
      </w:pPr>
      <w:r>
        <w:t>Readiness weights used by the shared scoring implementation</w:t>
      </w:r>
    </w:p>
    <w:p>
      <w:pPr>
        <w:pStyle w:val="Heading2"/>
      </w:pPr>
      <w:r>
        <w:t>Resume and interview analysis</w:t>
      </w:r>
    </w:p>
    <w:p>
      <w:r>
        <w:t>Local resume analysis extracts text from supported PDF files and recognizes technology aliases and explicit job criteria. Interview feedback looks for detail, relevance, structure, and examples. These are preparation tools, so students review suggestions before acting on them.</w:t>
      </w:r>
    </w:p>
    <w:p>
      <w:pPr>
        <w:pStyle w:val="Heading2"/>
      </w:pPr>
      <w:r>
        <w:t>Optional external services</w:t>
      </w:r>
    </w:p>
    <w:p>
      <w:r>
        <w:t>Generative coaching and the external ML service require separate student consent. Email and phone patterns are removed from submitted text, though other identifying details may remain. If consent is off or a service fails, supported workflows retain local analysis.</w:t>
      </w:r>
    </w:p>
    <w:p>
      <w:r>
        <w:t>Outcome prediction uses a trainable model with held-out cohort evaluation. Synthetic demonstration models are blocked from production inference. A probability estimate needs validated historical records and checked scoring rubrics before it can be interpreted responsibly.</w:t>
      </w:r>
    </w:p>
    <w:p>
      <w:pPr>
        <w:spacing w:before="180" w:after="180"/>
        <w:shd w:fill="E1D7F1"/>
      </w:pPr>
      <w:r>
        <w:rPr>
          <w:sz w:val="19"/>
        </w:rPr>
        <w:t>Career Points reward completed activity: 120 for passed skill verification, 80 for an assessment, 150 for a contest, and 75 for a mock interview. They are not a hiring score.</w:t>
      </w:r>
    </w:p>
    <w:p>
      <w:r>
        <w:br w:type="page"/>
      </w:r>
    </w:p>
    <w:p>
      <w:pPr>
        <w:pStyle w:val="Heading1"/>
      </w:pPr>
      <w:r>
        <w:t>Interface and action center</w:t>
      </w:r>
    </w:p>
    <w:p>
      <w:pPr>
        <w:pStyle w:val="Subtitle"/>
      </w:pPr>
      <w:r>
        <w:t>A website designed around the next task</w:t>
      </w:r>
    </w:p>
    <w:p>
      <w:r>
        <w:t>CampusLink uses a cream base, dark text, and pastel lavender, sage, yellow, pink, and blue surfaces. Rounded cards, consistent spacing, and clear controls give the public site and workspaces a related visual identity. The recent workspace update adds a lighter navigation panel and stronger hierarchy.</w:t>
      </w:r>
    </w:p>
    <w:p>
      <w:pPr>
        <w:spacing w:after="140"/>
      </w:pPr>
      <w:r>
        <w:drawing>
          <wp:inline xmlns:a="http://schemas.openxmlformats.org/drawingml/2006/main" xmlns:pic="http://schemas.openxmlformats.org/drawingml/2006/picture">
            <wp:extent cx="6245352" cy="2151177"/>
            <wp:docPr id="9" name="Picture 9" descr="Illustrated action center with role tasks"/>
            <wp:cNvGraphicFramePr>
              <a:graphicFrameLocks noChangeAspect="1"/>
            </wp:cNvGraphicFramePr>
            <a:graphic>
              <a:graphicData uri="http://schemas.openxmlformats.org/drawingml/2006/picture">
                <pic:pic>
                  <pic:nvPicPr>
                    <pic:cNvPr id="0" name="actions.png"/>
                    <pic:cNvPicPr/>
                  </pic:nvPicPr>
                  <pic:blipFill>
                    <a:blip r:embed="rId19"/>
                    <a:stretch>
                      <a:fillRect/>
                    </a:stretch>
                  </pic:blipFill>
                  <pic:spPr>
                    <a:xfrm>
                      <a:off x="0" y="0"/>
                      <a:ext cx="6245352" cy="2151177"/>
                    </a:xfrm>
                    <a:prstGeom prst="rect"/>
                  </pic:spPr>
                </pic:pic>
              </a:graphicData>
            </a:graphic>
          </wp:inline>
        </w:drawing>
      </w:r>
    </w:p>
    <w:p>
      <w:pPr>
        <w:pStyle w:val="Caption"/>
      </w:pPr>
      <w:r>
        <w:t>Illustration of the action-center pattern and role-specific next steps</w:t>
      </w:r>
    </w:p>
    <w:p>
      <w:pPr>
        <w:pStyle w:val="Heading2"/>
      </w:pPr>
      <w:r>
        <w:t>Role specific work queues</w:t>
      </w:r>
    </w:p>
    <w:p>
      <w:r>
        <w:t>The action center gathers preparation steps, application deadlines, pending decisions, and scheduled interviews from existing records. Search matches titles and details. Category and priority filters narrow the queue, and every item links to its working screen.</w:t>
      </w:r>
    </w:p>
    <w:p>
      <w:pPr>
        <w:pStyle w:val="Heading2"/>
      </w:pPr>
      <w:r>
        <w:t>Calendar and notification support</w:t>
      </w:r>
    </w:p>
    <w:p>
      <w:r>
        <w:t>Calendar export produces an ICS file with upcoming dates as all-day reminders. Interview times remain in the description. An export is a snapshot and should be downloaded again when schedules change. Notifications have read and unread states, and connected events queue recipient-specific email jobs.</w:t>
      </w:r>
    </w:p>
    <w:p>
      <w:pPr>
        <w:pStyle w:val="Heading2"/>
      </w:pPr>
      <w:r>
        <w:t>Smaller screens and accessibility</w:t>
      </w:r>
    </w:p>
    <w:p>
      <w:r>
        <w:t>The workspace adapts to smaller displays with a navigation drawer and stacked action rows. Focus indicators, descriptive control labels, dialog keyboard handling, and reduced-motion preferences support keyboard use and a less distracting experience.</w:t>
      </w:r>
    </w:p>
    <w:p>
      <w:pPr>
        <w:spacing w:before="180" w:after="180"/>
        <w:shd w:fill="E1D7F1"/>
      </w:pPr>
      <w:r>
        <w:rPr>
          <w:sz w:val="19"/>
        </w:rPr>
        <w:t>The queue is derived from live workspace state in connected mode. It does not maintain a second set of manually completed tasks.</w:t>
      </w:r>
    </w:p>
    <w:p>
      <w:r>
        <w:br w:type="page"/>
      </w:r>
    </w:p>
    <w:p>
      <w:pPr>
        <w:pStyle w:val="Heading1"/>
      </w:pPr>
      <w:r>
        <w:t>Architecture and records</w:t>
      </w:r>
    </w:p>
    <w:p>
      <w:pPr>
        <w:pStyle w:val="Subtitle"/>
      </w:pPr>
      <w:r>
        <w:t>How the browser API and private data connect</w:t>
      </w:r>
    </w:p>
    <w:p>
      <w:pPr>
        <w:spacing w:after="140"/>
      </w:pPr>
      <w:r>
        <w:drawing>
          <wp:inline xmlns:a="http://schemas.openxmlformats.org/drawingml/2006/main" xmlns:pic="http://schemas.openxmlformats.org/drawingml/2006/picture">
            <wp:extent cx="6245352" cy="2151177"/>
            <wp:docPr id="10" name="Picture 10" descr="Browser API and private records architecture"/>
            <wp:cNvGraphicFramePr>
              <a:graphicFrameLocks noChangeAspect="1"/>
            </wp:cNvGraphicFramePr>
            <a:graphic>
              <a:graphicData uri="http://schemas.openxmlformats.org/drawingml/2006/picture">
                <pic:pic>
                  <pic:nvPicPr>
                    <pic:cNvPr id="0" name="architecture.png"/>
                    <pic:cNvPicPr/>
                  </pic:nvPicPr>
                  <pic:blipFill>
                    <a:blip r:embed="rId20"/>
                    <a:stretch>
                      <a:fillRect/>
                    </a:stretch>
                  </pic:blipFill>
                  <pic:spPr>
                    <a:xfrm>
                      <a:off x="0" y="0"/>
                      <a:ext cx="6245352" cy="2151177"/>
                    </a:xfrm>
                    <a:prstGeom prst="rect"/>
                  </pic:spPr>
                </pic:pic>
              </a:graphicData>
            </a:graphic>
          </wp:inline>
        </w:drawing>
      </w:r>
    </w:p>
    <w:p>
      <w:pPr>
        <w:pStyle w:val="Heading2"/>
      </w:pPr>
      <w:r>
        <w:t>Frontend</w:t>
      </w:r>
    </w:p>
    <w:p>
      <w:r>
        <w:t>Next.js and React render the public pages and role workspaces. TypeScript defines the domain contracts. TanStack Query manages fetched data, Zustand stores session state, and React Hook Form with Zod supports validated forms. Lucide, Recharts, and motion libraries provide interface icons, charts, and transitions.</w:t>
      </w:r>
    </w:p>
    <w:p>
      <w:pPr>
        <w:pStyle w:val="Heading2"/>
      </w:pPr>
      <w:r>
        <w:t>Backend and persistence</w:t>
      </w:r>
    </w:p>
    <w:p>
      <w:r>
        <w:t>Express exposes the API under /api/v1. The frontend uses a same-origin proxy so browser requests follow the website domain. The service layer checks the role and business rule before changing records. Local development uses persistent SQLite; production requires PostgreSQL and external private file storage.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55"/>
      </w:tblGrid>
      <w:tr>
        <w:trPr>
          <w:tblHeader/>
          <w:cantSplit/>
        </w:trPr>
        <w:tc>
          <w:tcPr>
            <w:tcW w:type="dxa" w:w="2880"/>
            <w:shd w:fill="20221F"/>
            <w:vAlign w:val="center"/>
            <w:tcMar>
              <w:top w:w="95" w:type="dxa"/>
              <w:left w:w="95" w:type="dxa"/>
              <w:bottom w:w="95" w:type="dxa"/>
              <w:right w:w="95" w:type="dxa"/>
            </w:tcMar>
          </w:tcPr>
          <w:p>
            <w:pPr>
              <w:spacing w:after="0" w:before="0" w:line="250" w:lineRule="auto"/>
            </w:pPr>
            <w:r>
              <w:rPr>
                <w:b/>
                <w:color w:val="FFFFFF"/>
                <w:sz w:val="20"/>
              </w:rPr>
              <w:t>Record group</w:t>
            </w:r>
          </w:p>
        </w:tc>
        <w:tc>
          <w:tcPr>
            <w:tcW w:type="dxa" w:w="6955"/>
            <w:shd w:fill="20221F"/>
            <w:vAlign w:val="center"/>
            <w:tcMar>
              <w:top w:w="95" w:type="dxa"/>
              <w:left w:w="95" w:type="dxa"/>
              <w:bottom w:w="95" w:type="dxa"/>
              <w:right w:w="95" w:type="dxa"/>
            </w:tcMar>
          </w:tcPr>
          <w:p>
            <w:pPr>
              <w:spacing w:after="0" w:before="0" w:line="250" w:lineRule="auto"/>
            </w:pPr>
            <w:r>
              <w:rPr>
                <w:b/>
                <w:color w:val="FFFFFF"/>
                <w:sz w:val="20"/>
              </w:rPr>
              <w:t>Examples</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Identity and access</w:t>
            </w:r>
          </w:p>
        </w:tc>
        <w:tc>
          <w:tcPr>
            <w:tcW w:type="dxa" w:w="6955"/>
            <w:shd w:fill="FFFFFF"/>
            <w:vAlign w:val="center"/>
            <w:tcMar>
              <w:top w:w="95" w:type="dxa"/>
              <w:left w:w="95" w:type="dxa"/>
              <w:bottom w:w="95" w:type="dxa"/>
              <w:right w:w="95" w:type="dxa"/>
            </w:tcMar>
          </w:tcPr>
          <w:p>
            <w:pPr>
              <w:spacing w:after="0" w:before="0" w:line="250" w:lineRule="auto"/>
            </w:pPr>
            <w:r>
              <w:rPr>
                <w:sz w:val="20"/>
              </w:rPr>
              <w:t>Accounts, sessions, verification tokens, permissions</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Student evidence</w:t>
            </w:r>
          </w:p>
        </w:tc>
        <w:tc>
          <w:tcPr>
            <w:tcW w:type="dxa" w:w="6955"/>
            <w:shd w:fill="F4F5F1"/>
            <w:vAlign w:val="center"/>
            <w:tcMar>
              <w:top w:w="95" w:type="dxa"/>
              <w:left w:w="95" w:type="dxa"/>
              <w:bottom w:w="95" w:type="dxa"/>
              <w:right w:w="95" w:type="dxa"/>
            </w:tcMar>
          </w:tcPr>
          <w:p>
            <w:pPr>
              <w:spacing w:after="0" w:before="0" w:line="250" w:lineRule="auto"/>
            </w:pPr>
            <w:r>
              <w:rPr>
                <w:sz w:val="20"/>
              </w:rPr>
              <w:t>Profiles, skills, assessment attempts, practice feedback</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Placement operations</w:t>
            </w:r>
          </w:p>
        </w:tc>
        <w:tc>
          <w:tcPr>
            <w:tcW w:type="dxa" w:w="6955"/>
            <w:shd w:fill="FFFFFF"/>
            <w:vAlign w:val="center"/>
            <w:tcMar>
              <w:top w:w="95" w:type="dxa"/>
              <w:left w:w="95" w:type="dxa"/>
              <w:bottom w:w="95" w:type="dxa"/>
              <w:right w:w="95" w:type="dxa"/>
            </w:tcMar>
          </w:tcPr>
          <w:p>
            <w:pPr>
              <w:spacing w:after="0" w:before="0" w:line="250" w:lineRule="auto"/>
            </w:pPr>
            <w:r>
              <w:rPr>
                <w:sz w:val="20"/>
              </w:rPr>
              <w:t>Drives, applications, schedules, rounds, and offers</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Supporting records</w:t>
            </w:r>
          </w:p>
        </w:tc>
        <w:tc>
          <w:tcPr>
            <w:tcW w:type="dxa" w:w="6955"/>
            <w:shd w:fill="F4F5F1"/>
            <w:vAlign w:val="center"/>
            <w:tcMar>
              <w:top w:w="95" w:type="dxa"/>
              <w:left w:w="95" w:type="dxa"/>
              <w:bottom w:w="95" w:type="dxa"/>
              <w:right w:w="95" w:type="dxa"/>
            </w:tcMar>
          </w:tcPr>
          <w:p>
            <w:pPr>
              <w:spacing w:after="0" w:before="0" w:line="250" w:lineRule="auto"/>
            </w:pPr>
            <w:r>
              <w:rPr>
                <w:sz w:val="20"/>
              </w:rPr>
              <w:t>Documents, notifications, mail jobs, and audit events</w:t>
            </w:r>
          </w:p>
        </w:tc>
      </w:tr>
    </w:tbl>
    <w:p>
      <w:pPr>
        <w:spacing w:after="0"/>
      </w:pPr>
    </w:p>
    <w:p>
      <w:pPr>
        <w:pStyle w:val="Heading2"/>
      </w:pPr>
      <w:r>
        <w:t>Two operating modes</w:t>
      </w:r>
    </w:p>
    <w:p>
      <w:r>
        <w:t>Standalone demo mode persists sample records in the browser. Connected mode uses server-owned records and real authorization. The interface labels the active mode. Production guards reject local upload storage and the local email outbox.</w:t>
      </w:r>
    </w:p>
    <w:p>
      <w:pPr>
        <w:spacing w:before="180" w:after="180"/>
        <w:shd w:fill="E1D7F1"/>
      </w:pPr>
      <w:r>
        <w:rPr>
          <w:sz w:val="19"/>
        </w:rPr>
        <w:t>Vercel is the documented frontend target, Render hosts the persistent API process, and Supabase supplies the hosted PostgreSQL and private-storage services.</w:t>
      </w:r>
    </w:p>
    <w:p>
      <w:r>
        <w:br w:type="page"/>
      </w:r>
    </w:p>
    <w:p>
      <w:pPr>
        <w:pStyle w:val="Heading1"/>
      </w:pPr>
      <w:r>
        <w:t>Security and access</w:t>
      </w:r>
    </w:p>
    <w:p>
      <w:pPr>
        <w:pStyle w:val="Subtitle"/>
      </w:pPr>
      <w:r>
        <w:t>Checks applied before records are read or changed</w:t>
      </w:r>
    </w:p>
    <w:p>
      <w:pPr>
        <w:spacing w:after="140"/>
      </w:pPr>
      <w:r>
        <w:drawing>
          <wp:inline xmlns:a="http://schemas.openxmlformats.org/drawingml/2006/main" xmlns:pic="http://schemas.openxmlformats.org/drawingml/2006/picture">
            <wp:extent cx="6245352" cy="2151177"/>
            <wp:docPr id="11" name="Picture 11" descr="Identity permission and protected changes"/>
            <wp:cNvGraphicFramePr>
              <a:graphicFrameLocks noChangeAspect="1"/>
            </wp:cNvGraphicFramePr>
            <a:graphic>
              <a:graphicData uri="http://schemas.openxmlformats.org/drawingml/2006/picture">
                <pic:pic>
                  <pic:nvPicPr>
                    <pic:cNvPr id="0" name="security.png"/>
                    <pic:cNvPicPr/>
                  </pic:nvPicPr>
                  <pic:blipFill>
                    <a:blip r:embed="rId21"/>
                    <a:stretch>
                      <a:fillRect/>
                    </a:stretch>
                  </pic:blipFill>
                  <pic:spPr>
                    <a:xfrm>
                      <a:off x="0" y="0"/>
                      <a:ext cx="6245352" cy="2151177"/>
                    </a:xfrm>
                    <a:prstGeom prst="rect"/>
                  </pic:spPr>
                </pic:pic>
              </a:graphicData>
            </a:graphic>
          </wp:inline>
        </w:drawing>
      </w:r>
    </w:p>
    <w:p>
      <w:pPr>
        <w:pStyle w:val="Heading2"/>
      </w:pPr>
      <w:r>
        <w:t>Account identity</w:t>
      </w:r>
    </w:p>
    <w:p>
      <w:r>
        <w:t>Passwords are salted and hashed with scrypt. Login issues a random session token in an HTTP-only cookie; the stored session uses a token digest and expiry. Production cookies are secure. Verification and password-reset links are single-use, and password reset revokes existing sessions.</w:t>
      </w:r>
    </w:p>
    <w:p>
      <w:pPr>
        <w:pStyle w:val="Heading2"/>
      </w:pPr>
      <w:r>
        <w:t>Role and ownership enforcement</w:t>
      </w:r>
    </w:p>
    <w:p>
      <w:r>
        <w:t>The API checks the authenticated account rather than accepting a browser-supplied role as authority. Campus access is scoped to the institution. Recruiters are limited to their recruitment pool, and private file routes check authorization before returning bytes. Profile patches cannot assign verified skills, XP, or approval status.</w:t>
      </w:r>
    </w:p>
    <w:p>
      <w:pPr>
        <w:pStyle w:val="Heading2"/>
      </w:pPr>
      <w:r>
        <w:t>Safe changes and responses</w:t>
      </w:r>
    </w:p>
    <w:p>
      <w:r>
        <w:t>Authenticated writes need a session-specific CSRF token. Unexpected browser origins are rejected. Rate limits constrain requests, JSON and upload sizes are bounded, and file signatures are checked. API responses prevent shared caching; unexpected failures return a generic message without infrastructure details.</w:t>
      </w:r>
    </w:p>
    <w:p>
      <w:pPr>
        <w:pStyle w:val="Heading2"/>
      </w:pPr>
      <w:r>
        <w:t>Startup safeguards</w:t>
      </w:r>
    </w:p>
    <w:p>
      <w:r>
        <w:t>Production settings must select supported providers, a PostgreSQL connection, exact HTTPS origins, private storage, and email delivery. The optional external AI provider needs its server key. Database passwords and provider credentials stay outside browser variables and source control.</w:t>
      </w:r>
    </w:p>
    <w:p>
      <w:pPr>
        <w:spacing w:before="180" w:after="180"/>
        <w:shd w:fill="E1D7F1"/>
      </w:pPr>
      <w:r>
        <w:rPr>
          <w:sz w:val="19"/>
        </w:rPr>
        <w:t>Private portrait responses allow a short private browser cache. Documents remain private and are downloaded through authenticated routes.</w:t>
      </w:r>
    </w:p>
    <w:p>
      <w:r>
        <w:br w:type="page"/>
      </w:r>
    </w:p>
    <w:p>
      <w:pPr>
        <w:pStyle w:val="Heading1"/>
      </w:pPr>
      <w:r>
        <w:t>Testing and deployment</w:t>
      </w:r>
    </w:p>
    <w:p>
      <w:pPr>
        <w:pStyle w:val="Subtitle"/>
      </w:pPr>
      <w:r>
        <w:t>Local validation and the remaining launch checks</w:t>
      </w:r>
    </w:p>
    <w:p>
      <w:r>
        <w:t>The latest local review passed 134 tests across 16 test files. Frontend and backend type checks passed, frontend lint passed, and both production builds completed. These checks establish local implementation behavior; they do not prove hosted-service availability.</w:t>
      </w:r>
    </w:p>
    <w:p>
      <w:pPr>
        <w:spacing w:after="140"/>
      </w:pPr>
      <w:r>
        <w:drawing>
          <wp:inline xmlns:a="http://schemas.openxmlformats.org/drawingml/2006/main" xmlns:pic="http://schemas.openxmlformats.org/drawingml/2006/picture">
            <wp:extent cx="6245352" cy="1561338"/>
            <wp:docPr id="12" name="Picture 12" descr="validation workflow summary"/>
            <wp:cNvGraphicFramePr>
              <a:graphicFrameLocks noChangeAspect="1"/>
            </wp:cNvGraphicFramePr>
            <a:graphic>
              <a:graphicData uri="http://schemas.openxmlformats.org/drawingml/2006/picture">
                <pic:pic>
                  <pic:nvPicPr>
                    <pic:cNvPr id="0" name="validation.png"/>
                    <pic:cNvPicPr/>
                  </pic:nvPicPr>
                  <pic:blipFill>
                    <a:blip r:embed="rId22"/>
                    <a:stretch>
                      <a:fillRect/>
                    </a:stretch>
                  </pic:blipFill>
                  <pic:spPr>
                    <a:xfrm>
                      <a:off x="0" y="0"/>
                      <a:ext cx="6245352" cy="1561338"/>
                    </a:xfrm>
                    <a:prstGeom prst="rect"/>
                  </pic:spPr>
                </pic:pic>
              </a:graphicData>
            </a:graphic>
          </wp:inline>
        </w:drawing>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55"/>
      </w:tblGrid>
      <w:tr>
        <w:trPr>
          <w:tblHeader/>
          <w:cantSplit/>
        </w:trPr>
        <w:tc>
          <w:tcPr>
            <w:tcW w:type="dxa" w:w="2880"/>
            <w:shd w:fill="20221F"/>
            <w:vAlign w:val="center"/>
            <w:tcMar>
              <w:top w:w="95" w:type="dxa"/>
              <w:left w:w="95" w:type="dxa"/>
              <w:bottom w:w="95" w:type="dxa"/>
              <w:right w:w="95" w:type="dxa"/>
            </w:tcMar>
          </w:tcPr>
          <w:p>
            <w:pPr>
              <w:spacing w:after="0" w:before="0" w:line="250" w:lineRule="auto"/>
            </w:pPr>
            <w:r>
              <w:rPr>
                <w:b/>
                <w:color w:val="FFFFFF"/>
                <w:sz w:val="20"/>
              </w:rPr>
              <w:t>Validation area</w:t>
            </w:r>
          </w:p>
        </w:tc>
        <w:tc>
          <w:tcPr>
            <w:tcW w:type="dxa" w:w="6955"/>
            <w:shd w:fill="20221F"/>
            <w:vAlign w:val="center"/>
            <w:tcMar>
              <w:top w:w="95" w:type="dxa"/>
              <w:left w:w="95" w:type="dxa"/>
              <w:bottom w:w="95" w:type="dxa"/>
              <w:right w:w="95" w:type="dxa"/>
            </w:tcMar>
          </w:tcPr>
          <w:p>
            <w:pPr>
              <w:spacing w:after="0" w:before="0" w:line="250" w:lineRule="auto"/>
            </w:pPr>
            <w:r>
              <w:rPr>
                <w:b/>
                <w:color w:val="FFFFFF"/>
                <w:sz w:val="20"/>
              </w:rPr>
              <w:t>Evidence checked</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Authentication</w:t>
            </w:r>
          </w:p>
        </w:tc>
        <w:tc>
          <w:tcPr>
            <w:tcW w:type="dxa" w:w="6955"/>
            <w:shd w:fill="FFFFFF"/>
            <w:vAlign w:val="center"/>
            <w:tcMar>
              <w:top w:w="95" w:type="dxa"/>
              <w:left w:w="95" w:type="dxa"/>
              <w:bottom w:w="95" w:type="dxa"/>
              <w:right w:w="95" w:type="dxa"/>
            </w:tcMar>
          </w:tcPr>
          <w:p>
            <w:pPr>
              <w:spacing w:after="0" w:before="0" w:line="250" w:lineRule="auto"/>
            </w:pPr>
            <w:r>
              <w:rPr>
                <w:sz w:val="20"/>
              </w:rPr>
              <w:t>Passwords, session handling, CSRF, and reset-token consumption</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Record isolation</w:t>
            </w:r>
          </w:p>
        </w:tc>
        <w:tc>
          <w:tcPr>
            <w:tcW w:type="dxa" w:w="6955"/>
            <w:shd w:fill="F4F5F1"/>
            <w:vAlign w:val="center"/>
            <w:tcMar>
              <w:top w:w="95" w:type="dxa"/>
              <w:left w:w="95" w:type="dxa"/>
              <w:bottom w:w="95" w:type="dxa"/>
              <w:right w:w="95" w:type="dxa"/>
            </w:tcMar>
          </w:tcPr>
          <w:p>
            <w:pPr>
              <w:spacing w:after="0" w:before="0" w:line="250" w:lineRule="auto"/>
            </w:pPr>
            <w:r>
              <w:rPr>
                <w:sz w:val="20"/>
              </w:rPr>
              <w:t>Role, campus, candidate-pool, and private-file boundaries</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Placement workflow</w:t>
            </w:r>
          </w:p>
        </w:tc>
        <w:tc>
          <w:tcPr>
            <w:tcW w:type="dxa" w:w="6955"/>
            <w:shd w:fill="FFFFFF"/>
            <w:vAlign w:val="center"/>
            <w:tcMar>
              <w:top w:w="95" w:type="dxa"/>
              <w:left w:w="95" w:type="dxa"/>
              <w:bottom w:w="95" w:type="dxa"/>
              <w:right w:w="95" w:type="dxa"/>
            </w:tcMar>
          </w:tcPr>
          <w:p>
            <w:pPr>
              <w:spacing w:after="0" w:before="0" w:line="250" w:lineRule="auto"/>
            </w:pPr>
            <w:r>
              <w:rPr>
                <w:sz w:val="20"/>
              </w:rPr>
              <w:t>Visibility, eligibility, scheduling races, offers, and joining</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Assessment integrity</w:t>
            </w:r>
          </w:p>
        </w:tc>
        <w:tc>
          <w:tcPr>
            <w:tcW w:type="dxa" w:w="6955"/>
            <w:shd w:fill="F4F5F1"/>
            <w:vAlign w:val="center"/>
            <w:tcMar>
              <w:top w:w="95" w:type="dxa"/>
              <w:left w:w="95" w:type="dxa"/>
              <w:bottom w:w="95" w:type="dxa"/>
              <w:right w:w="95" w:type="dxa"/>
            </w:tcMar>
          </w:tcPr>
          <w:p>
            <w:pPr>
              <w:spacing w:after="0" w:before="0" w:line="250" w:lineRule="auto"/>
            </w:pPr>
            <w:r>
              <w:rPr>
                <w:sz w:val="20"/>
              </w:rPr>
              <w:t>Server-held answers, grading, and replay protection</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Deployment safeguards</w:t>
            </w:r>
          </w:p>
        </w:tc>
        <w:tc>
          <w:tcPr>
            <w:tcW w:type="dxa" w:w="6955"/>
            <w:shd w:fill="FFFFFF"/>
            <w:vAlign w:val="center"/>
            <w:tcMar>
              <w:top w:w="95" w:type="dxa"/>
              <w:left w:w="95" w:type="dxa"/>
              <w:bottom w:w="95" w:type="dxa"/>
              <w:right w:w="95" w:type="dxa"/>
            </w:tcMar>
          </w:tcPr>
          <w:p>
            <w:pPr>
              <w:spacing w:after="0" w:before="0" w:line="250" w:lineRule="auto"/>
            </w:pPr>
            <w:r>
              <w:rPr>
                <w:sz w:val="20"/>
              </w:rPr>
              <w:t>Provider validation, response caching, and error disclosure</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Action center</w:t>
            </w:r>
          </w:p>
        </w:tc>
        <w:tc>
          <w:tcPr>
            <w:tcW w:type="dxa" w:w="6955"/>
            <w:shd w:fill="F4F5F1"/>
            <w:vAlign w:val="center"/>
            <w:tcMar>
              <w:top w:w="95" w:type="dxa"/>
              <w:left w:w="95" w:type="dxa"/>
              <w:bottom w:w="95" w:type="dxa"/>
              <w:right w:w="95" w:type="dxa"/>
            </w:tcMar>
          </w:tcPr>
          <w:p>
            <w:pPr>
              <w:spacing w:after="0" w:before="0" w:line="250" w:lineRule="auto"/>
            </w:pPr>
            <w:r>
              <w:rPr>
                <w:sz w:val="20"/>
              </w:rPr>
              <w:t>Role routing, expired applications, and calendar escaping</w:t>
            </w:r>
          </w:p>
        </w:tc>
      </w:tr>
    </w:tbl>
    <w:p>
      <w:pPr>
        <w:spacing w:after="0"/>
      </w:pPr>
    </w:p>
    <w:p>
      <w:pPr>
        <w:pStyle w:val="Heading2"/>
      </w:pPr>
      <w:r>
        <w:t>Before the hosted launch</w:t>
      </w:r>
    </w:p>
    <w:p>
      <w:r>
        <w:t>Configure the real frontend and backend origins, deploy the API with production settings, and confirm the database connection. Use test accounts to complete a full placement workflow. Verify actual login, account approval, private upload and download, password-reset delivery, and Google login if enabled.</w:t>
      </w:r>
    </w:p>
    <w:p>
      <w:pPr>
        <w:pStyle w:val="Heading2"/>
      </w:pPr>
      <w:r>
        <w:t>Operational work for a wider rollout</w:t>
      </w:r>
    </w:p>
    <w:p>
      <w:r>
        <w:t>The current hosting template selects a free backend plan. Dependable scheduled delivery needs a process that stays running. Email work currently holds the global placement transaction while contacting the provider. Before scaling, isolate delivery jobs, benchmark concurrent placements, and use a shared rate-limit store across API instances.</w:t>
      </w:r>
    </w:p>
    <w:p>
      <w:r>
        <w:t>Backups, restore drills, personal-record retention, and worker monitoring also need an operating plan. A successful build is one checkpoint in deployment, not a substitute for these checks.</w:t>
      </w:r>
    </w:p>
    <w:p>
      <w:pPr>
        <w:spacing w:before="180" w:after="180"/>
        <w:shd w:fill="E1D7F1"/>
      </w:pPr>
      <w:r>
        <w:rPr>
          <w:sz w:val="19"/>
        </w:rPr>
        <w:t>Current status: implemented and locally validated. Hosted integration, recovery, and load checks remain before a production-ready deployment can be claimed.</w:t>
      </w:r>
    </w:p>
    <w:p>
      <w:r>
        <w:br w:type="page"/>
      </w:r>
    </w:p>
    <w:p>
      <w:pPr>
        <w:pStyle w:val="Heading1"/>
      </w:pPr>
      <w:r>
        <w:t>Team and next steps</w:t>
      </w:r>
    </w:p>
    <w:p>
      <w:pPr>
        <w:pStyle w:val="Subtitle"/>
      </w:pPr>
      <w:r>
        <w:t>Project contributors and planned improvements</w:t>
      </w:r>
    </w:p>
    <w:p>
      <w:r>
        <w:t>Team StartX brings development, design, testing, presentation, and analysis roles to CampusLink. The public website lists the following contributors.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955"/>
      </w:tblGrid>
      <w:tr>
        <w:trPr>
          <w:tblHeader/>
          <w:cantSplit/>
        </w:trPr>
        <w:tc>
          <w:tcPr>
            <w:tcW w:type="dxa" w:w="2880"/>
            <w:shd w:fill="20221F"/>
            <w:vAlign w:val="center"/>
            <w:tcMar>
              <w:top w:w="95" w:type="dxa"/>
              <w:left w:w="95" w:type="dxa"/>
              <w:bottom w:w="95" w:type="dxa"/>
              <w:right w:w="95" w:type="dxa"/>
            </w:tcMar>
          </w:tcPr>
          <w:p>
            <w:pPr>
              <w:spacing w:after="0" w:before="0" w:line="250" w:lineRule="auto"/>
            </w:pPr>
            <w:r>
              <w:rPr>
                <w:b/>
                <w:color w:val="FFFFFF"/>
                <w:sz w:val="20"/>
              </w:rPr>
              <w:t>Contributor</w:t>
            </w:r>
          </w:p>
        </w:tc>
        <w:tc>
          <w:tcPr>
            <w:tcW w:type="dxa" w:w="6955"/>
            <w:shd w:fill="20221F"/>
            <w:vAlign w:val="center"/>
            <w:tcMar>
              <w:top w:w="95" w:type="dxa"/>
              <w:left w:w="95" w:type="dxa"/>
              <w:bottom w:w="95" w:type="dxa"/>
              <w:right w:w="95" w:type="dxa"/>
            </w:tcMar>
          </w:tcPr>
          <w:p>
            <w:pPr>
              <w:spacing w:after="0" w:before="0" w:line="250" w:lineRule="auto"/>
            </w:pPr>
            <w:r>
              <w:rPr>
                <w:b/>
                <w:color w:val="FFFFFF"/>
                <w:sz w:val="20"/>
              </w:rPr>
              <w:t>Project role</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Diptiprava Dash</w:t>
            </w:r>
          </w:p>
        </w:tc>
        <w:tc>
          <w:tcPr>
            <w:tcW w:type="dxa" w:w="6955"/>
            <w:shd w:fill="FFFFFF"/>
            <w:vAlign w:val="center"/>
            <w:tcMar>
              <w:top w:w="95" w:type="dxa"/>
              <w:left w:w="95" w:type="dxa"/>
              <w:bottom w:w="95" w:type="dxa"/>
              <w:right w:w="95" w:type="dxa"/>
            </w:tcMar>
          </w:tcPr>
          <w:p>
            <w:pPr>
              <w:spacing w:after="0" w:before="0" w:line="250" w:lineRule="auto"/>
            </w:pPr>
            <w:r>
              <w:rPr>
                <w:sz w:val="20"/>
              </w:rPr>
              <w:t>Team leader</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Sonalika Nayak</w:t>
            </w:r>
          </w:p>
        </w:tc>
        <w:tc>
          <w:tcPr>
            <w:tcW w:type="dxa" w:w="6955"/>
            <w:shd w:fill="F4F5F1"/>
            <w:vAlign w:val="center"/>
            <w:tcMar>
              <w:top w:w="95" w:type="dxa"/>
              <w:left w:w="95" w:type="dxa"/>
              <w:bottom w:w="95" w:type="dxa"/>
              <w:right w:w="95" w:type="dxa"/>
            </w:tcMar>
          </w:tcPr>
          <w:p>
            <w:pPr>
              <w:spacing w:after="0" w:before="0" w:line="250" w:lineRule="auto"/>
            </w:pPr>
            <w:r>
              <w:rPr>
                <w:sz w:val="20"/>
              </w:rPr>
              <w:t>Presenter</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Ayushman Nayak</w:t>
            </w:r>
          </w:p>
        </w:tc>
        <w:tc>
          <w:tcPr>
            <w:tcW w:type="dxa" w:w="6955"/>
            <w:shd w:fill="FFFFFF"/>
            <w:vAlign w:val="center"/>
            <w:tcMar>
              <w:top w:w="95" w:type="dxa"/>
              <w:left w:w="95" w:type="dxa"/>
              <w:bottom w:w="95" w:type="dxa"/>
              <w:right w:w="95" w:type="dxa"/>
            </w:tcMar>
          </w:tcPr>
          <w:p>
            <w:pPr>
              <w:spacing w:after="0" w:before="0" w:line="250" w:lineRule="auto"/>
            </w:pPr>
            <w:r>
              <w:rPr>
                <w:sz w:val="20"/>
              </w:rPr>
              <w:t>Tester</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Rishikanta Sahoo</w:t>
            </w:r>
          </w:p>
        </w:tc>
        <w:tc>
          <w:tcPr>
            <w:tcW w:type="dxa" w:w="6955"/>
            <w:shd w:fill="F4F5F1"/>
            <w:vAlign w:val="center"/>
            <w:tcMar>
              <w:top w:w="95" w:type="dxa"/>
              <w:left w:w="95" w:type="dxa"/>
              <w:bottom w:w="95" w:type="dxa"/>
              <w:right w:w="95" w:type="dxa"/>
            </w:tcMar>
          </w:tcPr>
          <w:p>
            <w:pPr>
              <w:spacing w:after="0" w:before="0" w:line="250" w:lineRule="auto"/>
            </w:pPr>
            <w:r>
              <w:rPr>
                <w:sz w:val="20"/>
              </w:rPr>
              <w:t>AI engineer</w:t>
            </w:r>
          </w:p>
        </w:tc>
      </w:tr>
      <w:tr>
        <w:trPr>
          <w:cantSplit/>
        </w:trPr>
        <w:tc>
          <w:tcPr>
            <w:tcW w:type="dxa" w:w="2880"/>
            <w:shd w:fill="FFFFFF"/>
            <w:vAlign w:val="center"/>
            <w:tcMar>
              <w:top w:w="95" w:type="dxa"/>
              <w:left w:w="95" w:type="dxa"/>
              <w:bottom w:w="95" w:type="dxa"/>
              <w:right w:w="95" w:type="dxa"/>
            </w:tcMar>
          </w:tcPr>
          <w:p>
            <w:pPr>
              <w:spacing w:after="0" w:before="0" w:line="250" w:lineRule="auto"/>
            </w:pPr>
            <w:r>
              <w:rPr>
                <w:sz w:val="20"/>
              </w:rPr>
              <w:t>Sachin Das</w:t>
            </w:r>
          </w:p>
        </w:tc>
        <w:tc>
          <w:tcPr>
            <w:tcW w:type="dxa" w:w="6955"/>
            <w:shd w:fill="FFFFFF"/>
            <w:vAlign w:val="center"/>
            <w:tcMar>
              <w:top w:w="95" w:type="dxa"/>
              <w:left w:w="95" w:type="dxa"/>
              <w:bottom w:w="95" w:type="dxa"/>
              <w:right w:w="95" w:type="dxa"/>
            </w:tcMar>
          </w:tcPr>
          <w:p>
            <w:pPr>
              <w:spacing w:after="0" w:before="0" w:line="250" w:lineRule="auto"/>
            </w:pPr>
            <w:r>
              <w:rPr>
                <w:sz w:val="20"/>
              </w:rPr>
              <w:t>AI engineer</w:t>
            </w:r>
          </w:p>
        </w:tc>
      </w:tr>
      <w:tr>
        <w:trPr>
          <w:cantSplit/>
        </w:trPr>
        <w:tc>
          <w:tcPr>
            <w:tcW w:type="dxa" w:w="2880"/>
            <w:shd w:fill="F4F5F1"/>
            <w:vAlign w:val="center"/>
            <w:tcMar>
              <w:top w:w="95" w:type="dxa"/>
              <w:left w:w="95" w:type="dxa"/>
              <w:bottom w:w="95" w:type="dxa"/>
              <w:right w:w="95" w:type="dxa"/>
            </w:tcMar>
          </w:tcPr>
          <w:p>
            <w:pPr>
              <w:spacing w:after="0" w:before="0" w:line="250" w:lineRule="auto"/>
            </w:pPr>
            <w:r>
              <w:rPr>
                <w:sz w:val="20"/>
              </w:rPr>
              <w:t>Biswojit Sahoo</w:t>
            </w:r>
          </w:p>
        </w:tc>
        <w:tc>
          <w:tcPr>
            <w:tcW w:type="dxa" w:w="6955"/>
            <w:shd w:fill="F4F5F1"/>
            <w:vAlign w:val="center"/>
            <w:tcMar>
              <w:top w:w="95" w:type="dxa"/>
              <w:left w:w="95" w:type="dxa"/>
              <w:bottom w:w="95" w:type="dxa"/>
              <w:right w:w="95" w:type="dxa"/>
            </w:tcMar>
          </w:tcPr>
          <w:p>
            <w:pPr>
              <w:spacing w:after="0" w:before="0" w:line="250" w:lineRule="auto"/>
            </w:pPr>
            <w:r>
              <w:rPr>
                <w:sz w:val="20"/>
              </w:rPr>
              <w:t>Developer and UI UX</w:t>
            </w:r>
          </w:p>
        </w:tc>
      </w:tr>
    </w:tbl>
    <w:p>
      <w:pPr>
        <w:spacing w:after="0"/>
      </w:pPr>
    </w:p>
    <w:p>
      <w:pPr>
        <w:pStyle w:val="Heading2"/>
      </w:pPr>
      <w:r>
        <w:t>Next development priorities</w:t>
      </w:r>
    </w:p>
    <w:p>
      <w:r>
        <w:t>The immediate priority is to verify the hosted workflow with real service configuration. After that, a campus pilot can test how well the screens fit day-to-day placement work. Pilot feedback should guide improvements to scheduling, preparation guidance, and reporting.</w:t>
      </w:r>
    </w:p>
    <w:p>
      <w:r>
        <w:t>Technical priorities include separating workers from placement transactions, adding shared rate limits, improving retention and monitoring, and testing backups. OCR for scanned resumes and code execution for contests are possible future features, with their own security and service requirements.</w:t>
      </w:r>
    </w:p>
    <w:p>
      <w:pPr>
        <w:pStyle w:val="Heading2"/>
      </w:pPr>
      <w:r>
        <w:t>Project conclusion</w:t>
      </w:r>
    </w:p>
    <w:p>
      <w:r>
        <w:t>CampusLink connects preparation with the operational work that makes a campus drive possible. Its strongest feature is the controlled handoff between recruiter, campus, and student: each role has a clear responsibility, and each decision changes what can happen next. The current version is ready for review and local testing, with hosted checks remaining before launch.</w:t>
      </w:r>
    </w:p>
    <w:p>
      <w:pPr>
        <w:pStyle w:val="Heading2"/>
      </w:pPr>
      <w:r>
        <w:t>Project references</w:t>
      </w:r>
    </w:p>
    <w:p>
      <w:r>
        <w:t>Repository documentation: README.md, BACKEND-SETUP.md, DEPLOYMENT.md, server/API.md, and PRODUCTION-READINESS.md. Feature behavior and scoring are defined by the role screens, service policies, shared scoring rules, and workflow tests.</w:t>
      </w:r>
    </w:p>
    <w:p>
      <w:pPr>
        <w:spacing w:before="180" w:after="180"/>
        <w:shd w:fill="E1D7F1"/>
      </w:pPr>
      <w:r>
        <w:rPr>
          <w:sz w:val="19"/>
        </w:rPr>
        <w:t>CampusLink  |  Team StartX  |  Project report  |  October 2026</w:t>
      </w:r>
    </w:p>
    <w:sectPr w:rsidR="00FC693F" w:rsidRPr="0006063C" w:rsidSect="00034616">
      <w:headerReference w:type="default" r:id="rId9"/>
      <w:footerReference w:type="default" r:id="rId10"/>
      <w:pgSz w:w="11909" w:h="16834"/>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2665E"/>
        <w:sz w:val="16"/>
      </w:rPr>
      <w:t xml:space="preserve">TEAM STARTX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CAMPUSLINK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60" w:line="283"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83" w:lineRule="auto"/>
      <w:outlineLvl w:val="0"/>
    </w:pPr>
    <w:rPr>
      <w:rFonts w:asciiTheme="majorHAnsi" w:eastAsiaTheme="majorEastAsia" w:hAnsiTheme="majorHAnsi" w:cstheme="majorBidi" w:ascii="Calibri" w:hAnsi="Calibri"/>
      <w:b/>
      <w:bCs/>
      <w:color w:val="000000"/>
      <w:sz w:val="54"/>
      <w:szCs w:val="28"/>
    </w:rPr>
  </w:style>
  <w:style w:type="paragraph" w:styleId="Heading2">
    <w:name w:val="heading 2"/>
    <w:basedOn w:val="Normal"/>
    <w:next w:val="Normal"/>
    <w:link w:val="Heading2Char"/>
    <w:uiPriority w:val="9"/>
    <w:unhideWhenUsed/>
    <w:qFormat/>
    <w:rsid w:val="00FC693F"/>
    <w:pPr>
      <w:keepNext/>
      <w:keepLines/>
      <w:spacing w:before="180" w:after="160" w:line="283"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83" w:lineRule="auto"/>
      <w:contextualSpacing/>
    </w:pPr>
    <w:rPr>
      <w:rFonts w:asciiTheme="majorHAnsi" w:eastAsiaTheme="majorEastAsia" w:hAnsiTheme="majorHAnsi" w:cstheme="majorBidi" w:ascii="Calibri" w:hAnsi="Calibri"/>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line="283" w:lineRule="auto"/>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83" w:lineRule="auto" w:after="160"/>
    </w:pPr>
    <w:rPr>
      <w:rFonts w:ascii="Calibri" w:hAnsi="Calibri"/>
      <w:b/>
      <w:bCs/>
      <w:color w:val="62665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CampusLink Project Report</dc:title>
  <dc:subject>Campus placement workflows features architecture and implementation status</dc:subject>
  <dc:creator>Team StartX</dc:creator>
  <cp:keywords>CampusLink, Team StartX, campus placement, student, recruiter</cp:keywords>
  <dc:description>generated by python-docx</dc:description>
  <cp:lastModifiedBy/>
  <cp:revision>1</cp:revision>
  <dcterms:created xsi:type="dcterms:W3CDTF">2013-12-23T23:15:00Z</dcterms:created>
  <dcterms:modified xsi:type="dcterms:W3CDTF">2013-12-23T23:15:00Z</dcterms:modified>
  <cp:category/>
</cp:coreProperties>
</file>