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B23A32"/>
          <w:sz w:val="44"/>
          <w:szCs w:val="44"/>
        </w:rPr>
        <w:t xml:space="preserve">J-KABU TYPE</w:t>
      </w:r>
    </w:p>
    <w:p>
      <w:pPr>
        <w:spacing w:after="60"/>
      </w:pPr>
      <w:r>
        <w:rPr>
          <w:b/>
          <w:bCs/>
          <w:color w:val="1A1E27"/>
          <w:sz w:val="30"/>
          <w:szCs w:val="30"/>
        </w:rPr>
        <w:t xml:space="preserve">日本株投資家性格診断サイト　簡易仕様書</w:t>
      </w:r>
    </w:p>
    <w:p>
      <w:pPr>
        <w:spacing w:after="400"/>
      </w:pPr>
      <w:r>
        <w:rPr>
          <w:color w:val="5B6376"/>
          <w:sz w:val="20"/>
          <w:szCs w:val="20"/>
        </w:rPr>
        <w:t xml:space="preserve">Version 1.0（フロントエンドのみ構成 / GitHub Pages 無料デプロイ版）</w:t>
      </w:r>
    </w:p>
    <w:p>
      <w:pPr>
        <w:pStyle w:val="Heading1"/>
        <w:pBdr>
          <w:bottom w:val="single" w:color="B23A32" w:sz="6" w:space="4"/>
        </w:pBdr>
        <w:spacing w:after="160" w:before="320"/>
      </w:pPr>
      <w:r>
        <w:rPr>
          <w:b/>
          <w:bCs/>
          <w:color w:val="B23A32"/>
          <w:sz w:val="28"/>
          <w:szCs w:val="28"/>
        </w:rPr>
        <w:t xml:space="preserve">1. 概要</w:t>
      </w:r>
    </w:p>
    <w:p>
      <w:pPr>
        <w:spacing w:after="120"/>
      </w:pPr>
      <w:r>
        <w:rPr>
          <w:color w:val="1A1E27"/>
          <w:sz w:val="21"/>
          <w:szCs w:val="21"/>
        </w:rPr>
        <w:t xml:space="preserve">「J-KABU TYPE」は、性格・価値観・行動特性に関する質問への回答から、利用者を日本株投資家として16タイプのいずれかに分類し、あわせて得意になりやすい業種セクターを提示する診断Webサイトである。</w:t>
      </w:r>
    </w:p>
    <w:p>
      <w:pPr>
        <w:spacing w:after="120"/>
      </w:pPr>
      <w:r>
        <w:rPr>
          <w:color w:val="1A1E27"/>
          <w:sz w:val="21"/>
          <w:szCs w:val="21"/>
        </w:rPr>
        <w:t xml:space="preserve">特定の銘柄の購入を推奨するサービスではなく、「自分に合った投資スタイルを知るきっかけ」を提供することを目的とする。</w:t>
      </w:r>
    </w:p>
    <w:p>
      <w:pPr>
        <w:pStyle w:val="Heading1"/>
        <w:pBdr>
          <w:bottom w:val="single" w:color="B23A32" w:sz="6" w:space="4"/>
        </w:pBdr>
        <w:spacing w:after="160" w:before="320"/>
      </w:pPr>
      <w:r>
        <w:rPr>
          <w:b/>
          <w:bCs/>
          <w:color w:val="B23A32"/>
          <w:sz w:val="28"/>
          <w:szCs w:val="28"/>
        </w:rPr>
        <w:t xml:space="preserve">2. システム構成方針</w:t>
      </w:r>
    </w:p>
    <w:p>
      <w:pPr>
        <w:pStyle w:val="ListParagraph"/>
        <w:numPr>
          <w:ilvl w:val="0"/>
          <w:numId w:val="1"/>
        </w:numPr>
        <w:spacing w:after="60"/>
      </w:pPr>
      <w:r>
        <w:rPr>
          <w:color w:val="1A1E27"/>
          <w:sz w:val="21"/>
          <w:szCs w:val="21"/>
        </w:rPr>
        <w:t xml:space="preserve">フロントエンドのみで完結する静的Webサイトとする（サーバーサイド処理なし）。</w:t>
      </w:r>
    </w:p>
    <w:p>
      <w:pPr>
        <w:pStyle w:val="ListParagraph"/>
        <w:numPr>
          <w:ilvl w:val="0"/>
          <w:numId w:val="1"/>
        </w:numPr>
        <w:spacing w:after="60"/>
      </w:pPr>
      <w:r>
        <w:rPr>
          <w:color w:val="1A1E27"/>
          <w:sz w:val="21"/>
          <w:szCs w:val="21"/>
        </w:rPr>
        <w:t xml:space="preserve">アカウント登録機能・ログイン機能は設けない。</w:t>
      </w:r>
    </w:p>
    <w:p>
      <w:pPr>
        <w:pStyle w:val="ListParagraph"/>
        <w:numPr>
          <w:ilvl w:val="0"/>
          <w:numId w:val="1"/>
        </w:numPr>
        <w:spacing w:after="60"/>
      </w:pPr>
      <w:r>
        <w:rPr>
          <w:color w:val="1A1E27"/>
          <w:sz w:val="21"/>
          <w:szCs w:val="21"/>
        </w:rPr>
        <w:t xml:space="preserve">データベースは使用しない。診断結果・回答内容はページ内のメモリ（JavaScript変数）にのみ保持し、ページを離れる／再読み込みすると破棄される。</w:t>
      </w:r>
    </w:p>
    <w:p>
      <w:pPr>
        <w:pStyle w:val="ListParagraph"/>
        <w:numPr>
          <w:ilvl w:val="0"/>
          <w:numId w:val="1"/>
        </w:numPr>
        <w:spacing w:after="60"/>
      </w:pPr>
      <w:r>
        <w:rPr>
          <w:color w:val="1A1E27"/>
          <w:sz w:val="21"/>
          <w:szCs w:val="21"/>
        </w:rPr>
        <w:t xml:space="preserve">ビルドツール（webpack等）やパッケージマネージャを必要としない構成とし、リポジトリをそのまま静的ホスティングに配置するだけで動作する。</w:t>
      </w:r>
    </w:p>
    <w:p>
      <w:pPr>
        <w:pStyle w:val="ListParagraph"/>
        <w:numPr>
          <w:ilvl w:val="0"/>
          <w:numId w:val="1"/>
        </w:numPr>
        <w:spacing w:after="60"/>
      </w:pPr>
      <w:r>
        <w:rPr>
          <w:color w:val="1A1E27"/>
          <w:sz w:val="21"/>
          <w:szCs w:val="21"/>
        </w:rPr>
        <w:t xml:space="preserve">GitHub Pages 等の無料ホスティングサービスへのデプロイを前提とし、運用コストをゼロに抑える。</w:t>
      </w:r>
    </w:p>
    <w:p>
      <w:pPr>
        <w:pStyle w:val="Heading1"/>
        <w:pBdr>
          <w:bottom w:val="single" w:color="B23A32" w:sz="6" w:space="4"/>
        </w:pBdr>
        <w:spacing w:after="160" w:before="320"/>
      </w:pPr>
      <w:r>
        <w:rPr>
          <w:b/>
          <w:bCs/>
          <w:color w:val="B23A32"/>
          <w:sz w:val="28"/>
          <w:szCs w:val="28"/>
        </w:rPr>
        <w:t xml:space="preserve">3. 技術スタック</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50"/>
      </w:tblGrid>
      <w:tr>
        <w:tc>
          <w:tcPr>
            <w:tcW w:type="dxa" w:w="2200"/>
            <w:shd w:fill="B23A32" w:val="clear"/>
            <w:tcMar>
              <w:top w:type="dxa" w:w="80"/>
              <w:left w:type="dxa" w:w="100"/>
              <w:bottom w:type="dxa" w:w="80"/>
              <w:right w:type="dxa" w:w="100"/>
            </w:tcMar>
          </w:tcPr>
          <w:p>
            <w:r>
              <w:rPr>
                <w:b/>
                <w:bCs/>
                <w:color w:val="FFFFFF"/>
                <w:sz w:val="20"/>
                <w:szCs w:val="20"/>
              </w:rPr>
              <w:t xml:space="preserve">区分</w:t>
            </w:r>
          </w:p>
        </w:tc>
        <w:tc>
          <w:tcPr>
            <w:tcW w:type="dxa" w:w="4200"/>
            <w:shd w:fill="B23A32" w:val="clear"/>
            <w:tcMar>
              <w:top w:type="dxa" w:w="80"/>
              <w:left w:type="dxa" w:w="100"/>
              <w:bottom w:type="dxa" w:w="80"/>
              <w:right w:type="dxa" w:w="100"/>
            </w:tcMar>
          </w:tcPr>
          <w:p>
            <w:r>
              <w:rPr>
                <w:b/>
                <w:bCs/>
                <w:color w:val="FFFFFF"/>
                <w:sz w:val="20"/>
                <w:szCs w:val="20"/>
              </w:rPr>
              <w:t xml:space="preserve">採用技術</w:t>
            </w:r>
          </w:p>
        </w:tc>
        <w:tc>
          <w:tcPr>
            <w:tcW w:type="dxa" w:w="2950"/>
            <w:shd w:fill="B23A32" w:val="clear"/>
            <w:tcMar>
              <w:top w:type="dxa" w:w="80"/>
              <w:left w:type="dxa" w:w="100"/>
              <w:bottom w:type="dxa" w:w="80"/>
              <w:right w:type="dxa" w:w="100"/>
            </w:tcMar>
          </w:tcPr>
          <w:p>
            <w:r>
              <w:rPr>
                <w:b/>
                <w:bCs/>
                <w:color w:val="FFFFFF"/>
                <w:sz w:val="20"/>
                <w:szCs w:val="20"/>
              </w:rPr>
              <w:t xml:space="preserve">備考</w:t>
            </w:r>
          </w:p>
        </w:tc>
      </w:tr>
      <w:tr>
        <w:tc>
          <w:tcPr>
            <w:tcW w:type="dxa" w:w="2200"/>
            <w:tcMar>
              <w:top w:type="dxa" w:w="80"/>
              <w:left w:type="dxa" w:w="100"/>
              <w:bottom w:type="dxa" w:w="80"/>
              <w:right w:type="dxa" w:w="100"/>
            </w:tcMar>
          </w:tcPr>
          <w:p>
            <w:r>
              <w:rPr>
                <w:b w:val="false"/>
                <w:bCs w:val="false"/>
                <w:color w:val="1A1E27"/>
                <w:sz w:val="20"/>
                <w:szCs w:val="20"/>
              </w:rPr>
              <w:t xml:space="preserve">マークアップ</w:t>
            </w:r>
          </w:p>
        </w:tc>
        <w:tc>
          <w:tcPr>
            <w:tcW w:type="dxa" w:w="4200"/>
            <w:tcMar>
              <w:top w:type="dxa" w:w="80"/>
              <w:left w:type="dxa" w:w="100"/>
              <w:bottom w:type="dxa" w:w="80"/>
              <w:right w:type="dxa" w:w="100"/>
            </w:tcMar>
          </w:tcPr>
          <w:p>
            <w:r>
              <w:rPr>
                <w:b w:val="false"/>
                <w:bCs w:val="false"/>
                <w:color w:val="1A1E27"/>
                <w:sz w:val="20"/>
                <w:szCs w:val="20"/>
              </w:rPr>
              <w:t xml:space="preserve">HTML5</w:t>
            </w:r>
          </w:p>
        </w:tc>
        <w:tc>
          <w:tcPr>
            <w:tcW w:type="dxa" w:w="2950"/>
            <w:tcMar>
              <w:top w:type="dxa" w:w="80"/>
              <w:left w:type="dxa" w:w="100"/>
              <w:bottom w:type="dxa" w:w="80"/>
              <w:right w:type="dxa" w:w="100"/>
            </w:tcMar>
          </w:tcPr>
          <w:p>
            <w:r>
              <w:rPr>
                <w:b w:val="false"/>
                <w:bCs w:val="false"/>
                <w:color w:val="1A1E27"/>
                <w:sz w:val="20"/>
                <w:szCs w:val="20"/>
              </w:rPr>
              <w:t xml:space="preserve">index.html 1ファイル構成（SPA）</w:t>
            </w:r>
          </w:p>
        </w:tc>
      </w:tr>
      <w:tr>
        <w:tc>
          <w:tcPr>
            <w:tcW w:type="dxa" w:w="2200"/>
            <w:tcMar>
              <w:top w:type="dxa" w:w="80"/>
              <w:left w:type="dxa" w:w="100"/>
              <w:bottom w:type="dxa" w:w="80"/>
              <w:right w:type="dxa" w:w="100"/>
            </w:tcMar>
          </w:tcPr>
          <w:p>
            <w:r>
              <w:rPr>
                <w:b w:val="false"/>
                <w:bCs w:val="false"/>
                <w:color w:val="1A1E27"/>
                <w:sz w:val="20"/>
                <w:szCs w:val="20"/>
              </w:rPr>
              <w:t xml:space="preserve">スタイル</w:t>
            </w:r>
          </w:p>
        </w:tc>
        <w:tc>
          <w:tcPr>
            <w:tcW w:type="dxa" w:w="4200"/>
            <w:tcMar>
              <w:top w:type="dxa" w:w="80"/>
              <w:left w:type="dxa" w:w="100"/>
              <w:bottom w:type="dxa" w:w="80"/>
              <w:right w:type="dxa" w:w="100"/>
            </w:tcMar>
          </w:tcPr>
          <w:p>
            <w:r>
              <w:rPr>
                <w:b w:val="false"/>
                <w:bCs w:val="false"/>
                <w:color w:val="1A1E27"/>
                <w:sz w:val="20"/>
                <w:szCs w:val="20"/>
              </w:rPr>
              <w:t xml:space="preserve">CSS3</w:t>
            </w:r>
          </w:p>
        </w:tc>
        <w:tc>
          <w:tcPr>
            <w:tcW w:type="dxa" w:w="2950"/>
            <w:tcMar>
              <w:top w:type="dxa" w:w="80"/>
              <w:left w:type="dxa" w:w="100"/>
              <w:bottom w:type="dxa" w:w="80"/>
              <w:right w:type="dxa" w:w="100"/>
            </w:tcMar>
          </w:tcPr>
          <w:p>
            <w:r>
              <w:rPr>
                <w:b w:val="false"/>
                <w:bCs w:val="false"/>
                <w:color w:val="1A1E27"/>
                <w:sz w:val="20"/>
                <w:szCs w:val="20"/>
              </w:rPr>
              <w:t xml:space="preserve">css/style.css。フレームワーク不使用</w:t>
            </w:r>
          </w:p>
        </w:tc>
      </w:tr>
      <w:tr>
        <w:tc>
          <w:tcPr>
            <w:tcW w:type="dxa" w:w="2200"/>
            <w:tcMar>
              <w:top w:type="dxa" w:w="80"/>
              <w:left w:type="dxa" w:w="100"/>
              <w:bottom w:type="dxa" w:w="80"/>
              <w:right w:type="dxa" w:w="100"/>
            </w:tcMar>
          </w:tcPr>
          <w:p>
            <w:r>
              <w:rPr>
                <w:b w:val="false"/>
                <w:bCs w:val="false"/>
                <w:color w:val="1A1E27"/>
                <w:sz w:val="20"/>
                <w:szCs w:val="20"/>
              </w:rPr>
              <w:t xml:space="preserve">ロジック</w:t>
            </w:r>
          </w:p>
        </w:tc>
        <w:tc>
          <w:tcPr>
            <w:tcW w:type="dxa" w:w="4200"/>
            <w:tcMar>
              <w:top w:type="dxa" w:w="80"/>
              <w:left w:type="dxa" w:w="100"/>
              <w:bottom w:type="dxa" w:w="80"/>
              <w:right w:type="dxa" w:w="100"/>
            </w:tcMar>
          </w:tcPr>
          <w:p>
            <w:r>
              <w:rPr>
                <w:b w:val="false"/>
                <w:bCs w:val="false"/>
                <w:color w:val="1A1E27"/>
                <w:sz w:val="20"/>
                <w:szCs w:val="20"/>
              </w:rPr>
              <w:t xml:space="preserve">JavaScript (ES Modules)</w:t>
            </w:r>
          </w:p>
        </w:tc>
        <w:tc>
          <w:tcPr>
            <w:tcW w:type="dxa" w:w="2950"/>
            <w:tcMar>
              <w:top w:type="dxa" w:w="80"/>
              <w:left w:type="dxa" w:w="100"/>
              <w:bottom w:type="dxa" w:w="80"/>
              <w:right w:type="dxa" w:w="100"/>
            </w:tcMar>
          </w:tcPr>
          <w:p>
            <w:r>
              <w:rPr>
                <w:b w:val="false"/>
                <w:bCs w:val="false"/>
                <w:color w:val="1A1E27"/>
                <w:sz w:val="20"/>
                <w:szCs w:val="20"/>
              </w:rPr>
              <w:t xml:space="preserve">TypeScript・React 等は不使用。ビルド不要で直接ブラウザ実行</w:t>
            </w:r>
          </w:p>
        </w:tc>
      </w:tr>
      <w:tr>
        <w:tc>
          <w:tcPr>
            <w:tcW w:type="dxa" w:w="2200"/>
            <w:tcMar>
              <w:top w:type="dxa" w:w="80"/>
              <w:left w:type="dxa" w:w="100"/>
              <w:bottom w:type="dxa" w:w="80"/>
              <w:right w:type="dxa" w:w="100"/>
            </w:tcMar>
          </w:tcPr>
          <w:p>
            <w:r>
              <w:rPr>
                <w:b w:val="false"/>
                <w:bCs w:val="false"/>
                <w:color w:val="1A1E27"/>
                <w:sz w:val="20"/>
                <w:szCs w:val="20"/>
              </w:rPr>
              <w:t xml:space="preserve">フォント</w:t>
            </w:r>
          </w:p>
        </w:tc>
        <w:tc>
          <w:tcPr>
            <w:tcW w:type="dxa" w:w="4200"/>
            <w:tcMar>
              <w:top w:type="dxa" w:w="80"/>
              <w:left w:type="dxa" w:w="100"/>
              <w:bottom w:type="dxa" w:w="80"/>
              <w:right w:type="dxa" w:w="100"/>
            </w:tcMar>
          </w:tcPr>
          <w:p>
            <w:r>
              <w:rPr>
                <w:b w:val="false"/>
                <w:bCs w:val="false"/>
                <w:color w:val="1A1E27"/>
                <w:sz w:val="20"/>
                <w:szCs w:val="20"/>
              </w:rPr>
              <w:t xml:space="preserve">Google Fonts（CDN）</w:t>
            </w:r>
          </w:p>
        </w:tc>
        <w:tc>
          <w:tcPr>
            <w:tcW w:type="dxa" w:w="2950"/>
            <w:tcMar>
              <w:top w:type="dxa" w:w="80"/>
              <w:left w:type="dxa" w:w="100"/>
              <w:bottom w:type="dxa" w:w="80"/>
              <w:right w:type="dxa" w:w="100"/>
            </w:tcMar>
          </w:tcPr>
          <w:p>
            <w:r>
              <w:rPr>
                <w:b w:val="false"/>
                <w:bCs w:val="false"/>
                <w:color w:val="1A1E27"/>
                <w:sz w:val="20"/>
                <w:szCs w:val="20"/>
              </w:rPr>
              <w:t xml:space="preserve">Shippori Mincho / Zen Kaku Gothic New / JetBrains Mono</w:t>
            </w:r>
          </w:p>
        </w:tc>
      </w:tr>
      <w:tr>
        <w:tc>
          <w:tcPr>
            <w:tcW w:type="dxa" w:w="2200"/>
            <w:tcMar>
              <w:top w:type="dxa" w:w="80"/>
              <w:left w:type="dxa" w:w="100"/>
              <w:bottom w:type="dxa" w:w="80"/>
              <w:right w:type="dxa" w:w="100"/>
            </w:tcMar>
          </w:tcPr>
          <w:p>
            <w:r>
              <w:rPr>
                <w:b w:val="false"/>
                <w:bCs w:val="false"/>
                <w:color w:val="1A1E27"/>
                <w:sz w:val="20"/>
                <w:szCs w:val="20"/>
              </w:rPr>
              <w:t xml:space="preserve">グラフ描画</w:t>
            </w:r>
          </w:p>
        </w:tc>
        <w:tc>
          <w:tcPr>
            <w:tcW w:type="dxa" w:w="4200"/>
            <w:tcMar>
              <w:top w:type="dxa" w:w="80"/>
              <w:left w:type="dxa" w:w="100"/>
              <w:bottom w:type="dxa" w:w="80"/>
              <w:right w:type="dxa" w:w="100"/>
            </w:tcMar>
          </w:tcPr>
          <w:p>
            <w:r>
              <w:rPr>
                <w:b w:val="false"/>
                <w:bCs w:val="false"/>
                <w:color w:val="1A1E27"/>
                <w:sz w:val="20"/>
                <w:szCs w:val="20"/>
              </w:rPr>
              <w:t xml:space="preserve">自前SVG生成（依存ライブラリなし）</w:t>
            </w:r>
          </w:p>
        </w:tc>
        <w:tc>
          <w:tcPr>
            <w:tcW w:type="dxa" w:w="2950"/>
            <w:tcMar>
              <w:top w:type="dxa" w:w="80"/>
              <w:left w:type="dxa" w:w="100"/>
              <w:bottom w:type="dxa" w:w="80"/>
              <w:right w:type="dxa" w:w="100"/>
            </w:tcMar>
          </w:tcPr>
          <w:p>
            <w:r>
              <w:rPr>
                <w:b w:val="false"/>
                <w:bCs w:val="false"/>
                <w:color w:val="1A1E27"/>
                <w:sz w:val="20"/>
                <w:szCs w:val="20"/>
              </w:rPr>
              <w:t xml:space="preserve">js/radar.js で投資家DNAのレーダーチャートを描画</w:t>
            </w:r>
          </w:p>
        </w:tc>
      </w:tr>
      <w:tr>
        <w:tc>
          <w:tcPr>
            <w:tcW w:type="dxa" w:w="2200"/>
            <w:tcMar>
              <w:top w:type="dxa" w:w="80"/>
              <w:left w:type="dxa" w:w="100"/>
              <w:bottom w:type="dxa" w:w="80"/>
              <w:right w:type="dxa" w:w="100"/>
            </w:tcMar>
          </w:tcPr>
          <w:p>
            <w:r>
              <w:rPr>
                <w:b w:val="false"/>
                <w:bCs w:val="false"/>
                <w:color w:val="1A1E27"/>
                <w:sz w:val="20"/>
                <w:szCs w:val="20"/>
              </w:rPr>
              <w:t xml:space="preserve">ホスティング</w:t>
            </w:r>
          </w:p>
        </w:tc>
        <w:tc>
          <w:tcPr>
            <w:tcW w:type="dxa" w:w="4200"/>
            <w:tcMar>
              <w:top w:type="dxa" w:w="80"/>
              <w:left w:type="dxa" w:w="100"/>
              <w:bottom w:type="dxa" w:w="80"/>
              <w:right w:type="dxa" w:w="100"/>
            </w:tcMar>
          </w:tcPr>
          <w:p>
            <w:r>
              <w:rPr>
                <w:b w:val="false"/>
                <w:bCs w:val="false"/>
                <w:color w:val="1A1E27"/>
                <w:sz w:val="20"/>
                <w:szCs w:val="20"/>
              </w:rPr>
              <w:t xml:space="preserve">GitHub Pages（無料）</w:t>
            </w:r>
          </w:p>
        </w:tc>
        <w:tc>
          <w:tcPr>
            <w:tcW w:type="dxa" w:w="2950"/>
            <w:tcMar>
              <w:top w:type="dxa" w:w="80"/>
              <w:left w:type="dxa" w:w="100"/>
              <w:bottom w:type="dxa" w:w="80"/>
              <w:right w:type="dxa" w:w="100"/>
            </w:tcMar>
          </w:tcPr>
          <w:p>
            <w:r>
              <w:rPr>
                <w:b w:val="false"/>
                <w:bCs w:val="false"/>
                <w:color w:val="1A1E27"/>
                <w:sz w:val="20"/>
                <w:szCs w:val="20"/>
              </w:rPr>
              <w:t xml:space="preserve">Settings → Pages → main ブランチ / root で公開</w:t>
            </w:r>
          </w:p>
        </w:tc>
      </w:tr>
    </w:tbl>
    <w:p>
      <w:pPr>
        <w:pStyle w:val="Heading1"/>
        <w:pBdr>
          <w:bottom w:val="single" w:color="B23A32" w:sz="6" w:space="4"/>
        </w:pBdr>
        <w:spacing w:after="160" w:before="320"/>
      </w:pPr>
      <w:r>
        <w:rPr>
          <w:b/>
          <w:bCs/>
          <w:color w:val="B23A32"/>
          <w:sz w:val="28"/>
          <w:szCs w:val="28"/>
        </w:rPr>
        <w:t xml:space="preserve">4. ディレクトリ構成</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c>
          <w:tcPr>
            <w:tcW w:type="dxa" w:w="2600"/>
            <w:shd w:fill="B23A32" w:val="clear"/>
            <w:tcMar>
              <w:top w:type="dxa" w:w="80"/>
              <w:left w:type="dxa" w:w="100"/>
              <w:bottom w:type="dxa" w:w="80"/>
              <w:right w:type="dxa" w:w="100"/>
            </w:tcMar>
          </w:tcPr>
          <w:p>
            <w:r>
              <w:rPr>
                <w:b/>
                <w:bCs/>
                <w:color w:val="FFFFFF"/>
                <w:sz w:val="20"/>
                <w:szCs w:val="20"/>
              </w:rPr>
              <w:t xml:space="preserve">パス</w:t>
            </w:r>
          </w:p>
        </w:tc>
        <w:tc>
          <w:tcPr>
            <w:tcW w:type="dxa" w:w="6750"/>
            <w:shd w:fill="B23A32" w:val="clear"/>
            <w:tcMar>
              <w:top w:type="dxa" w:w="80"/>
              <w:left w:type="dxa" w:w="100"/>
              <w:bottom w:type="dxa" w:w="80"/>
              <w:right w:type="dxa" w:w="100"/>
            </w:tcMar>
          </w:tcPr>
          <w:p>
            <w:r>
              <w:rPr>
                <w:b/>
                <w:bCs/>
                <w:color w:val="FFFFFF"/>
                <w:sz w:val="20"/>
                <w:szCs w:val="20"/>
              </w:rPr>
              <w:t xml:space="preserve">内容</w:t>
            </w:r>
          </w:p>
        </w:tc>
      </w:tr>
      <w:tr>
        <w:tc>
          <w:tcPr>
            <w:tcW w:type="dxa" w:w="2600"/>
            <w:tcMar>
              <w:top w:type="dxa" w:w="80"/>
              <w:left w:type="dxa" w:w="100"/>
              <w:bottom w:type="dxa" w:w="80"/>
              <w:right w:type="dxa" w:w="100"/>
            </w:tcMar>
          </w:tcPr>
          <w:p>
            <w:r>
              <w:rPr>
                <w:b w:val="false"/>
                <w:bCs w:val="false"/>
                <w:color w:val="1A1E27"/>
                <w:sz w:val="20"/>
                <w:szCs w:val="20"/>
              </w:rPr>
              <w:t xml:space="preserve">index.html</w:t>
            </w:r>
          </w:p>
        </w:tc>
        <w:tc>
          <w:tcPr>
            <w:tcW w:type="dxa" w:w="6750"/>
            <w:tcMar>
              <w:top w:type="dxa" w:w="80"/>
              <w:left w:type="dxa" w:w="100"/>
              <w:bottom w:type="dxa" w:w="80"/>
              <w:right w:type="dxa" w:w="100"/>
            </w:tcMar>
          </w:tcPr>
          <w:p>
            <w:r>
              <w:rPr>
                <w:b w:val="false"/>
                <w:bCs w:val="false"/>
                <w:color w:val="1A1E27"/>
                <w:sz w:val="20"/>
                <w:szCs w:val="20"/>
              </w:rPr>
              <w:t xml:space="preserve">エントリーポイント（HTML本体・フォント読込・#app コンテナ）</w:t>
            </w:r>
          </w:p>
        </w:tc>
      </w:tr>
      <w:tr>
        <w:tc>
          <w:tcPr>
            <w:tcW w:type="dxa" w:w="2600"/>
            <w:tcMar>
              <w:top w:type="dxa" w:w="80"/>
              <w:left w:type="dxa" w:w="100"/>
              <w:bottom w:type="dxa" w:w="80"/>
              <w:right w:type="dxa" w:w="100"/>
            </w:tcMar>
          </w:tcPr>
          <w:p>
            <w:r>
              <w:rPr>
                <w:b w:val="false"/>
                <w:bCs w:val="false"/>
                <w:color w:val="1A1E27"/>
                <w:sz w:val="20"/>
                <w:szCs w:val="20"/>
              </w:rPr>
              <w:t xml:space="preserve">css/style.css</w:t>
            </w:r>
          </w:p>
        </w:tc>
        <w:tc>
          <w:tcPr>
            <w:tcW w:type="dxa" w:w="6750"/>
            <w:tcMar>
              <w:top w:type="dxa" w:w="80"/>
              <w:left w:type="dxa" w:w="100"/>
              <w:bottom w:type="dxa" w:w="80"/>
              <w:right w:type="dxa" w:w="100"/>
            </w:tcMar>
          </w:tcPr>
          <w:p>
            <w:r>
              <w:rPr>
                <w:b w:val="false"/>
                <w:bCs w:val="false"/>
                <w:color w:val="1A1E27"/>
                <w:sz w:val="20"/>
                <w:szCs w:val="20"/>
              </w:rPr>
              <w:t xml:space="preserve">全画面共通スタイル（配色・フォント・レイアウト）</w:t>
            </w:r>
          </w:p>
        </w:tc>
      </w:tr>
      <w:tr>
        <w:tc>
          <w:tcPr>
            <w:tcW w:type="dxa" w:w="2600"/>
            <w:tcMar>
              <w:top w:type="dxa" w:w="80"/>
              <w:left w:type="dxa" w:w="100"/>
              <w:bottom w:type="dxa" w:w="80"/>
              <w:right w:type="dxa" w:w="100"/>
            </w:tcMar>
          </w:tcPr>
          <w:p>
            <w:r>
              <w:rPr>
                <w:b w:val="false"/>
                <w:bCs w:val="false"/>
                <w:color w:val="1A1E27"/>
                <w:sz w:val="20"/>
                <w:szCs w:val="20"/>
              </w:rPr>
              <w:t xml:space="preserve">js/data.js</w:t>
            </w:r>
          </w:p>
        </w:tc>
        <w:tc>
          <w:tcPr>
            <w:tcW w:type="dxa" w:w="6750"/>
            <w:tcMar>
              <w:top w:type="dxa" w:w="80"/>
              <w:left w:type="dxa" w:w="100"/>
              <w:bottom w:type="dxa" w:w="80"/>
              <w:right w:type="dxa" w:w="100"/>
            </w:tcMar>
          </w:tcPr>
          <w:p>
            <w:r>
              <w:rPr>
                <w:b w:val="false"/>
                <w:bCs w:val="false"/>
                <w:color w:val="1A1E27"/>
                <w:sz w:val="20"/>
                <w:szCs w:val="20"/>
              </w:rPr>
              <w:t xml:space="preserve">質問データ（性格診断24問・セクター診断6問）、16タイプ定義データ</w:t>
            </w:r>
          </w:p>
        </w:tc>
      </w:tr>
      <w:tr>
        <w:tc>
          <w:tcPr>
            <w:tcW w:type="dxa" w:w="2600"/>
            <w:tcMar>
              <w:top w:type="dxa" w:w="80"/>
              <w:left w:type="dxa" w:w="100"/>
              <w:bottom w:type="dxa" w:w="80"/>
              <w:right w:type="dxa" w:w="100"/>
            </w:tcMar>
          </w:tcPr>
          <w:p>
            <w:r>
              <w:rPr>
                <w:b w:val="false"/>
                <w:bCs w:val="false"/>
                <w:color w:val="1A1E27"/>
                <w:sz w:val="20"/>
                <w:szCs w:val="20"/>
              </w:rPr>
              <w:t xml:space="preserve">js/score.js</w:t>
            </w:r>
          </w:p>
        </w:tc>
        <w:tc>
          <w:tcPr>
            <w:tcW w:type="dxa" w:w="6750"/>
            <w:tcMar>
              <w:top w:type="dxa" w:w="80"/>
              <w:left w:type="dxa" w:w="100"/>
              <w:bottom w:type="dxa" w:w="80"/>
              <w:right w:type="dxa" w:w="100"/>
            </w:tcMar>
          </w:tcPr>
          <w:p>
            <w:r>
              <w:rPr>
                <w:b w:val="false"/>
                <w:bCs w:val="false"/>
                <w:color w:val="1A1E27"/>
                <w:sz w:val="20"/>
                <w:szCs w:val="20"/>
              </w:rPr>
              <w:t xml:space="preserve">回答から軸スコア・タイプコード・投資家DNA・セクター集計を算出するロジック</w:t>
            </w:r>
          </w:p>
        </w:tc>
      </w:tr>
      <w:tr>
        <w:tc>
          <w:tcPr>
            <w:tcW w:type="dxa" w:w="2600"/>
            <w:tcMar>
              <w:top w:type="dxa" w:w="80"/>
              <w:left w:type="dxa" w:w="100"/>
              <w:bottom w:type="dxa" w:w="80"/>
              <w:right w:type="dxa" w:w="100"/>
            </w:tcMar>
          </w:tcPr>
          <w:p>
            <w:r>
              <w:rPr>
                <w:b w:val="false"/>
                <w:bCs w:val="false"/>
                <w:color w:val="1A1E27"/>
                <w:sz w:val="20"/>
                <w:szCs w:val="20"/>
              </w:rPr>
              <w:t xml:space="preserve">js/radar.js</w:t>
            </w:r>
          </w:p>
        </w:tc>
        <w:tc>
          <w:tcPr>
            <w:tcW w:type="dxa" w:w="6750"/>
            <w:tcMar>
              <w:top w:type="dxa" w:w="80"/>
              <w:left w:type="dxa" w:w="100"/>
              <w:bottom w:type="dxa" w:w="80"/>
              <w:right w:type="dxa" w:w="100"/>
            </w:tcMar>
          </w:tcPr>
          <w:p>
            <w:r>
              <w:rPr>
                <w:b w:val="false"/>
                <w:bCs w:val="false"/>
                <w:color w:val="1A1E27"/>
                <w:sz w:val="20"/>
                <w:szCs w:val="20"/>
              </w:rPr>
              <w:t xml:space="preserve">投資家DNAを表示するレーダーチャートのSVG描画関数</w:t>
            </w:r>
          </w:p>
        </w:tc>
      </w:tr>
      <w:tr>
        <w:tc>
          <w:tcPr>
            <w:tcW w:type="dxa" w:w="2600"/>
            <w:tcMar>
              <w:top w:type="dxa" w:w="80"/>
              <w:left w:type="dxa" w:w="100"/>
              <w:bottom w:type="dxa" w:w="80"/>
              <w:right w:type="dxa" w:w="100"/>
            </w:tcMar>
          </w:tcPr>
          <w:p>
            <w:r>
              <w:rPr>
                <w:b w:val="false"/>
                <w:bCs w:val="false"/>
                <w:color w:val="1A1E27"/>
                <w:sz w:val="20"/>
                <w:szCs w:val="20"/>
              </w:rPr>
              <w:t xml:space="preserve">js/app.js</w:t>
            </w:r>
          </w:p>
        </w:tc>
        <w:tc>
          <w:tcPr>
            <w:tcW w:type="dxa" w:w="6750"/>
            <w:tcMar>
              <w:top w:type="dxa" w:w="80"/>
              <w:left w:type="dxa" w:w="100"/>
              <w:bottom w:type="dxa" w:w="80"/>
              <w:right w:type="dxa" w:w="100"/>
            </w:tcMar>
          </w:tcPr>
          <w:p>
            <w:r>
              <w:rPr>
                <w:b w:val="false"/>
                <w:bCs w:val="false"/>
                <w:color w:val="1A1E27"/>
                <w:sz w:val="20"/>
                <w:szCs w:val="20"/>
              </w:rPr>
              <w:t xml:space="preserve">画面状態管理・DOM描画・イベントハンドリング（コントローラー）</w:t>
            </w:r>
          </w:p>
        </w:tc>
      </w:tr>
      <w:tr>
        <w:tc>
          <w:tcPr>
            <w:tcW w:type="dxa" w:w="2600"/>
            <w:tcMar>
              <w:top w:type="dxa" w:w="80"/>
              <w:left w:type="dxa" w:w="100"/>
              <w:bottom w:type="dxa" w:w="80"/>
              <w:right w:type="dxa" w:w="100"/>
            </w:tcMar>
          </w:tcPr>
          <w:p>
            <w:r>
              <w:rPr>
                <w:b w:val="false"/>
                <w:bCs w:val="false"/>
                <w:color w:val="1A1E27"/>
                <w:sz w:val="20"/>
                <w:szCs w:val="20"/>
              </w:rPr>
              <w:t xml:space="preserve">docs/</w:t>
            </w:r>
          </w:p>
        </w:tc>
        <w:tc>
          <w:tcPr>
            <w:tcW w:type="dxa" w:w="6750"/>
            <w:tcMar>
              <w:top w:type="dxa" w:w="80"/>
              <w:left w:type="dxa" w:w="100"/>
              <w:bottom w:type="dxa" w:w="80"/>
              <w:right w:type="dxa" w:w="100"/>
            </w:tcMar>
          </w:tcPr>
          <w:p>
            <w:r>
              <w:rPr>
                <w:b w:val="false"/>
                <w:bCs w:val="false"/>
                <w:color w:val="1A1E27"/>
                <w:sz w:val="20"/>
                <w:szCs w:val="20"/>
              </w:rPr>
              <w:t xml:space="preserve">本仕様書・画面遷移図・質問回答マトリックス表</w:t>
            </w:r>
          </w:p>
        </w:tc>
      </w:tr>
      <w:tr>
        <w:tc>
          <w:tcPr>
            <w:tcW w:type="dxa" w:w="2600"/>
            <w:tcMar>
              <w:top w:type="dxa" w:w="80"/>
              <w:left w:type="dxa" w:w="100"/>
              <w:bottom w:type="dxa" w:w="80"/>
              <w:right w:type="dxa" w:w="100"/>
            </w:tcMar>
          </w:tcPr>
          <w:p>
            <w:r>
              <w:rPr>
                <w:b w:val="false"/>
                <w:bCs w:val="false"/>
                <w:color w:val="1A1E27"/>
                <w:sz w:val="20"/>
                <w:szCs w:val="20"/>
              </w:rPr>
              <w:t xml:space="preserve">README.md</w:t>
            </w:r>
          </w:p>
        </w:tc>
        <w:tc>
          <w:tcPr>
            <w:tcW w:type="dxa" w:w="6750"/>
            <w:tcMar>
              <w:top w:type="dxa" w:w="80"/>
              <w:left w:type="dxa" w:w="100"/>
              <w:bottom w:type="dxa" w:w="80"/>
              <w:right w:type="dxa" w:w="100"/>
            </w:tcMar>
          </w:tcPr>
          <w:p>
            <w:r>
              <w:rPr>
                <w:b w:val="false"/>
                <w:bCs w:val="false"/>
                <w:color w:val="1A1E27"/>
                <w:sz w:val="20"/>
                <w:szCs w:val="20"/>
              </w:rPr>
              <w:t xml:space="preserve">セットアップ手順・GitHub Pagesへのデプロイ手順</w:t>
            </w:r>
          </w:p>
        </w:tc>
      </w:tr>
    </w:tbl>
    <w:p>
      <w:pPr>
        <w:pStyle w:val="Heading1"/>
        <w:pBdr>
          <w:bottom w:val="single" w:color="B23A32" w:sz="6" w:space="4"/>
        </w:pBdr>
        <w:spacing w:after="160" w:before="320"/>
      </w:pPr>
      <w:r>
        <w:rPr>
          <w:b/>
          <w:bCs/>
          <w:color w:val="B23A32"/>
          <w:sz w:val="28"/>
          <w:szCs w:val="28"/>
        </w:rPr>
        <w:t xml:space="preserve">5. 画面 / 機能一覧</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c>
          <w:tcPr>
            <w:tcW w:type="dxa" w:w="3200"/>
            <w:shd w:fill="B23A32" w:val="clear"/>
            <w:tcMar>
              <w:top w:type="dxa" w:w="80"/>
              <w:left w:type="dxa" w:w="100"/>
              <w:bottom w:type="dxa" w:w="80"/>
              <w:right w:type="dxa" w:w="100"/>
            </w:tcMar>
          </w:tcPr>
          <w:p>
            <w:r>
              <w:rPr>
                <w:b/>
                <w:bCs/>
                <w:color w:val="FFFFFF"/>
                <w:sz w:val="20"/>
                <w:szCs w:val="20"/>
              </w:rPr>
              <w:t xml:space="preserve">画面</w:t>
            </w:r>
          </w:p>
        </w:tc>
        <w:tc>
          <w:tcPr>
            <w:tcW w:type="dxa" w:w="6150"/>
            <w:shd w:fill="B23A32" w:val="clear"/>
            <w:tcMar>
              <w:top w:type="dxa" w:w="80"/>
              <w:left w:type="dxa" w:w="100"/>
              <w:bottom w:type="dxa" w:w="80"/>
              <w:right w:type="dxa" w:w="100"/>
            </w:tcMar>
          </w:tcPr>
          <w:p>
            <w:r>
              <w:rPr>
                <w:b/>
                <w:bCs/>
                <w:color w:val="FFFFFF"/>
                <w:sz w:val="20"/>
                <w:szCs w:val="20"/>
              </w:rPr>
              <w:t xml:space="preserve">主な機能</w:t>
            </w:r>
          </w:p>
        </w:tc>
      </w:tr>
      <w:tr>
        <w:tc>
          <w:tcPr>
            <w:tcW w:type="dxa" w:w="3200"/>
            <w:tcMar>
              <w:top w:type="dxa" w:w="80"/>
              <w:left w:type="dxa" w:w="100"/>
              <w:bottom w:type="dxa" w:w="80"/>
              <w:right w:type="dxa" w:w="100"/>
            </w:tcMar>
          </w:tcPr>
          <w:p>
            <w:r>
              <w:rPr>
                <w:b w:val="false"/>
                <w:bCs w:val="false"/>
                <w:color w:val="1A1E27"/>
                <w:sz w:val="20"/>
                <w:szCs w:val="20"/>
              </w:rPr>
              <w:t xml:space="preserve">①HOME画面</w:t>
            </w:r>
          </w:p>
        </w:tc>
        <w:tc>
          <w:tcPr>
            <w:tcW w:type="dxa" w:w="6150"/>
            <w:tcMar>
              <w:top w:type="dxa" w:w="80"/>
              <w:left w:type="dxa" w:w="100"/>
              <w:bottom w:type="dxa" w:w="80"/>
              <w:right w:type="dxa" w:w="100"/>
            </w:tcMar>
          </w:tcPr>
          <w:p>
            <w:r>
              <w:rPr>
                <w:b w:val="false"/>
                <w:bCs w:val="false"/>
                <w:color w:val="1A1E27"/>
                <w:sz w:val="20"/>
                <w:szCs w:val="20"/>
              </w:rPr>
              <w:t xml:space="preserve">Hero（サイト紹介・「3分で診断する」CTA）、②16タイプ紹介ギャラリー（キャラクター画像プレースホルダー付きカードのグリッド表示、クリックで詳細ページへ）、③診断へのCTA、の3セクション構成</w:t>
            </w:r>
          </w:p>
        </w:tc>
      </w:tr>
      <w:tr>
        <w:tc>
          <w:tcPr>
            <w:tcW w:type="dxa" w:w="3200"/>
            <w:tcMar>
              <w:top w:type="dxa" w:w="80"/>
              <w:left w:type="dxa" w:w="100"/>
              <w:bottom w:type="dxa" w:w="80"/>
              <w:right w:type="dxa" w:w="100"/>
            </w:tcMar>
          </w:tcPr>
          <w:p>
            <w:r>
              <w:rPr>
                <w:b w:val="false"/>
                <w:bCs w:val="false"/>
                <w:color w:val="1A1E27"/>
                <w:sz w:val="20"/>
                <w:szCs w:val="20"/>
              </w:rPr>
              <w:t xml:space="preserve">②タイプ詳細ページ（#/types/CODE）</w:t>
            </w:r>
          </w:p>
        </w:tc>
        <w:tc>
          <w:tcPr>
            <w:tcW w:type="dxa" w:w="6150"/>
            <w:tcMar>
              <w:top w:type="dxa" w:w="80"/>
              <w:left w:type="dxa" w:w="100"/>
              <w:bottom w:type="dxa" w:w="80"/>
              <w:right w:type="dxa" w:w="100"/>
            </w:tcMar>
          </w:tcPr>
          <w:p>
            <w:r>
              <w:rPr>
                <w:b w:val="false"/>
                <w:bCs w:val="false"/>
                <w:color w:val="1A1E27"/>
                <w:sz w:val="20"/>
                <w:szCs w:val="20"/>
              </w:rPr>
              <w:t xml:space="preserve">大きなキャラクター画像エリア、タイプ名・キャッチコピー・説明、投資家としての特徴、相性の良い投資スタイルTOP3、注意点、代表的投資家（免責注記つき）、一覧へ戻る導線、診断開始CTAを表示。URLハッシュによるルーティングでブックマーク・共有・リロードに対応</w:t>
            </w:r>
          </w:p>
        </w:tc>
      </w:tr>
      <w:tr>
        <w:tc>
          <w:tcPr>
            <w:tcW w:type="dxa" w:w="3200"/>
            <w:tcMar>
              <w:top w:type="dxa" w:w="80"/>
              <w:left w:type="dxa" w:w="100"/>
              <w:bottom w:type="dxa" w:w="80"/>
              <w:right w:type="dxa" w:w="100"/>
            </w:tcMar>
          </w:tcPr>
          <w:p>
            <w:r>
              <w:rPr>
                <w:b w:val="false"/>
                <w:bCs w:val="false"/>
                <w:color w:val="1A1E27"/>
                <w:sz w:val="20"/>
                <w:szCs w:val="20"/>
              </w:rPr>
              <w:t xml:space="preserve">③性格診断 質問画面（Q1〜Q24）</w:t>
            </w:r>
          </w:p>
        </w:tc>
        <w:tc>
          <w:tcPr>
            <w:tcW w:type="dxa" w:w="6150"/>
            <w:tcMar>
              <w:top w:type="dxa" w:w="80"/>
              <w:left w:type="dxa" w:w="100"/>
              <w:bottom w:type="dxa" w:w="80"/>
              <w:right w:type="dxa" w:w="100"/>
            </w:tcMar>
          </w:tcPr>
          <w:p>
            <w:r>
              <w:rPr>
                <w:b w:val="false"/>
                <w:bCs w:val="false"/>
                <w:color w:val="1A1E27"/>
                <w:sz w:val="20"/>
                <w:szCs w:val="20"/>
              </w:rPr>
              <w:t xml:space="preserve">A/B 2つのステートメントを提示し、○の大きさで回答する7段階の視覚的スケール（両端が大きく中央が小さい）から回答。進捗表示（質問 n/30）。回答ごとに自動で次の質問へ遷移</w:t>
            </w:r>
          </w:p>
        </w:tc>
      </w:tr>
      <w:tr>
        <w:tc>
          <w:tcPr>
            <w:tcW w:type="dxa" w:w="3200"/>
            <w:tcMar>
              <w:top w:type="dxa" w:w="80"/>
              <w:left w:type="dxa" w:w="100"/>
              <w:bottom w:type="dxa" w:w="80"/>
              <w:right w:type="dxa" w:w="100"/>
            </w:tcMar>
          </w:tcPr>
          <w:p>
            <w:r>
              <w:rPr>
                <w:b w:val="false"/>
                <w:bCs w:val="false"/>
                <w:color w:val="1A1E27"/>
                <w:sz w:val="20"/>
                <w:szCs w:val="20"/>
              </w:rPr>
              <w:t xml:space="preserve">④セクター診断 質問画面（Q25〜Q30）</w:t>
            </w:r>
          </w:p>
        </w:tc>
        <w:tc>
          <w:tcPr>
            <w:tcW w:type="dxa" w:w="6150"/>
            <w:tcMar>
              <w:top w:type="dxa" w:w="80"/>
              <w:left w:type="dxa" w:w="100"/>
              <w:bottom w:type="dxa" w:w="80"/>
              <w:right w:type="dxa" w:w="100"/>
            </w:tcMar>
          </w:tcPr>
          <w:p>
            <w:r>
              <w:rPr>
                <w:b w:val="false"/>
                <w:bCs w:val="false"/>
                <w:color w:val="1A1E27"/>
                <w:sz w:val="20"/>
                <w:szCs w:val="20"/>
              </w:rPr>
              <w:t xml:space="preserve">生活習慣・興味に関する質問を4択で提示し、回答ごとに自動で次の質問へ遷移</w:t>
            </w:r>
          </w:p>
        </w:tc>
      </w:tr>
      <w:tr>
        <w:tc>
          <w:tcPr>
            <w:tcW w:type="dxa" w:w="3200"/>
            <w:tcMar>
              <w:top w:type="dxa" w:w="80"/>
              <w:left w:type="dxa" w:w="100"/>
              <w:bottom w:type="dxa" w:w="80"/>
              <w:right w:type="dxa" w:w="100"/>
            </w:tcMar>
          </w:tcPr>
          <w:p>
            <w:r>
              <w:rPr>
                <w:b w:val="false"/>
                <w:bCs w:val="false"/>
                <w:color w:val="1A1E27"/>
                <w:sz w:val="20"/>
                <w:szCs w:val="20"/>
              </w:rPr>
              <w:t xml:space="preserve">⑤診断結果画面</w:t>
            </w:r>
          </w:p>
        </w:tc>
        <w:tc>
          <w:tcPr>
            <w:tcW w:type="dxa" w:w="6150"/>
            <w:tcMar>
              <w:top w:type="dxa" w:w="80"/>
              <w:left w:type="dxa" w:w="100"/>
              <w:bottom w:type="dxa" w:w="80"/>
              <w:right w:type="dxa" w:w="100"/>
            </w:tcMar>
          </w:tcPr>
          <w:p>
            <w:r>
              <w:rPr>
                <w:b w:val="false"/>
                <w:bCs w:val="false"/>
                <w:color w:val="1A1E27"/>
                <w:sz w:val="20"/>
                <w:szCs w:val="20"/>
              </w:rPr>
              <w:t xml:space="preserve">16タイプ判定結果（印影演出つき）、投資家DNA（レーダーチャート＋12指標バー）、特徴、相性の良い投資スタイルTOP3、注意点、得意セクターTOP3、代表的投資家（免責注記つき）、タイプ詳細ページへのリンク、結果シェア、再診断ボタンを表示</w:t>
            </w:r>
          </w:p>
        </w:tc>
      </w:tr>
    </w:tbl>
    <w:p>
      <w:pPr>
        <w:spacing w:after="120"/>
      </w:pPr>
      <w:r>
        <w:rPr>
          <w:color w:val="1A1E27"/>
          <w:sz w:val="21"/>
          <w:szCs w:val="21"/>
        </w:rPr>
        <w:t xml:space="preserve">画面遷移の詳細は「①画面遷移図」を参照。</w:t>
      </w:r>
    </w:p>
    <w:p>
      <w:pPr>
        <w:pStyle w:val="Heading1"/>
        <w:pBdr>
          <w:bottom w:val="single" w:color="B23A32" w:sz="6" w:space="4"/>
        </w:pBdr>
        <w:spacing w:after="160" w:before="320"/>
      </w:pPr>
      <w:r>
        <w:rPr>
          <w:b/>
          <w:bCs/>
          <w:color w:val="B23A32"/>
          <w:sz w:val="28"/>
          <w:szCs w:val="28"/>
        </w:rPr>
        <w:t xml:space="preserve">6. データ設計・診断ロジック概要</w:t>
      </w:r>
    </w:p>
    <w:p>
      <w:pPr>
        <w:pStyle w:val="Heading2"/>
        <w:spacing w:after="100" w:before="240"/>
      </w:pPr>
      <w:r>
        <w:rPr>
          <w:b/>
          <w:bCs/>
          <w:color w:val="1A1E27"/>
          <w:sz w:val="24"/>
          <w:szCs w:val="24"/>
        </w:rPr>
        <w:t xml:space="preserve">6.1 性格診断（16タイプ判定）</w:t>
      </w:r>
    </w:p>
    <w:p>
      <w:pPr>
        <w:pStyle w:val="ListParagraph"/>
        <w:numPr>
          <w:ilvl w:val="0"/>
          <w:numId w:val="1"/>
        </w:numPr>
        <w:spacing w:after="60"/>
      </w:pPr>
      <w:r>
        <w:rPr>
          <w:color w:val="1A1E27"/>
          <w:sz w:val="21"/>
          <w:szCs w:val="21"/>
        </w:rPr>
        <w:t xml:space="preserve">4つの軸（GH / LT / AV / WC）を用意し、各軸につき6問、計24問で構成する。</w:t>
      </w:r>
    </w:p>
    <w:p>
      <w:pPr>
        <w:pStyle w:val="ListParagraph"/>
        <w:numPr>
          <w:ilvl w:val="0"/>
          <w:numId w:val="1"/>
        </w:numPr>
        <w:spacing w:after="60"/>
      </w:pPr>
      <w:r>
        <w:rPr>
          <w:color w:val="1A1E27"/>
          <w:sz w:val="21"/>
          <w:szCs w:val="21"/>
        </w:rPr>
        <w:t xml:space="preserve">各質問は○の大きさで回答する7段階の視覚的スケール（両端が最大・中央が最小）を持ち、回答に応じて軸のa側・b側にポイントが加算される（1問あたり合計6点）。</w:t>
      </w:r>
    </w:p>
    <w:p>
      <w:pPr>
        <w:pStyle w:val="ListParagraph"/>
        <w:numPr>
          <w:ilvl w:val="0"/>
          <w:numId w:val="1"/>
        </w:numPr>
        <w:spacing w:after="60"/>
      </w:pPr>
      <w:r>
        <w:rPr>
          <w:color w:val="1A1E27"/>
          <w:sz w:val="21"/>
          <w:szCs w:val="21"/>
        </w:rPr>
        <w:t xml:space="preserve">全24問の回答終了後、軸ごとにa側・b側の合計を百分率に変換し、比率の高い側の文字を採用する（配点の絶対値ではなく百分率で判定するため、スケールの段階数を変更しても判定ロジックへの影響はない）。</w:t>
      </w:r>
    </w:p>
    <w:p>
      <w:pPr>
        <w:pStyle w:val="ListParagraph"/>
        <w:numPr>
          <w:ilvl w:val="0"/>
          <w:numId w:val="1"/>
        </w:numPr>
        <w:spacing w:after="60"/>
      </w:pPr>
      <w:r>
        <w:rPr>
          <w:color w:val="1A1E27"/>
          <w:sz w:val="21"/>
          <w:szCs w:val="21"/>
        </w:rPr>
        <w:t xml:space="preserve">4軸で採用された文字を連結した4文字が最終的な16タイプのタイプコードとなる（例：G・L・A・C → GLAC）。</w:t>
      </w:r>
    </w:p>
    <w:p>
      <w:pPr>
        <w:spacing w:after="120"/>
      </w:pPr>
      <w:r>
        <w:rPr>
          <w:color w:val="1A1E27"/>
          <w:sz w:val="21"/>
          <w:szCs w:val="21"/>
        </w:rPr>
        <w:t xml:space="preserve">質問文・選択肢と軸・配点の詳細な対応関係は「②質問回答マトリックス表」を参照。</w:t>
      </w:r>
    </w:p>
    <w:p>
      <w:pPr>
        <w:pStyle w:val="Heading2"/>
        <w:spacing w:after="100" w:before="240"/>
      </w:pPr>
      <w:r>
        <w:rPr>
          <w:b/>
          <w:bCs/>
          <w:color w:val="1A1E27"/>
          <w:sz w:val="24"/>
          <w:szCs w:val="24"/>
        </w:rPr>
        <w:t xml:space="preserve">6.2 投資家DNA（12指標）</w:t>
      </w:r>
    </w:p>
    <w:p>
      <w:pPr>
        <w:spacing w:after="120"/>
      </w:pPr>
      <w:r>
        <w:rPr>
          <w:color w:val="1A1E27"/>
          <w:sz w:val="21"/>
          <w:szCs w:val="21"/>
        </w:rPr>
        <w:t xml:space="preserve">軸の百分率スコアをもとに、攻撃性・防衛性・長期志向・短期志向・分析志向・先見志向・分散志向・集中志向の8指標を直接算出し、さらに成長志向・配当志向・アクティブ度・暴落耐性の4指標を軸スコアの組み合わせから算出して、合計12指標をレーダーチャートおよびバー表示する。</w:t>
      </w:r>
    </w:p>
    <w:p>
      <w:pPr>
        <w:pStyle w:val="Heading2"/>
        <w:spacing w:after="100" w:before="240"/>
      </w:pPr>
      <w:r>
        <w:rPr>
          <w:b/>
          <w:bCs/>
          <w:color w:val="1A1E27"/>
          <w:sz w:val="24"/>
          <w:szCs w:val="24"/>
        </w:rPr>
        <w:t xml:space="preserve">6.3 セクター適性診断</w:t>
      </w:r>
    </w:p>
    <w:p>
      <w:pPr>
        <w:spacing w:after="120"/>
      </w:pPr>
      <w:r>
        <w:rPr>
          <w:color w:val="1A1E27"/>
          <w:sz w:val="21"/>
          <w:szCs w:val="21"/>
        </w:rPr>
        <w:t xml:space="preserve">性格診断とは独立して、生活習慣・興味に関する6問（4択）を出題し、選択されたセクターを集計。回答終了後、出現回数の多い上位3セクターを「得意になりやすい日本株セクター」として提示する。</w:t>
      </w:r>
    </w:p>
    <w:p>
      <w:pPr>
        <w:pStyle w:val="Heading2"/>
        <w:spacing w:after="100" w:before="240"/>
      </w:pPr>
      <w:r>
        <w:rPr>
          <w:b/>
          <w:bCs/>
          <w:color w:val="1A1E27"/>
          <w:sz w:val="24"/>
          <w:szCs w:val="24"/>
        </w:rPr>
        <w:t xml:space="preserve">6.4 16タイプ紹介ギャラリー・タイプ詳細ページ</w:t>
      </w:r>
    </w:p>
    <w:p>
      <w:pPr>
        <w:spacing w:after="120"/>
      </w:pPr>
      <w:r>
        <w:rPr>
          <w:color w:val="1A1E27"/>
          <w:sz w:val="21"/>
          <w:szCs w:val="21"/>
        </w:rPr>
        <w:t xml:space="preserve">16タイプそれぞれのデータ（Code・日本語名・English名・キャッチコピー・詳細説明・特徴・向いている投資スタイル・注意点・代表的投資家・タイプカラー・画像パス）は js/data.js の investorTypes 相当のデータ構造（TYPES オブジェクト）に一元管理し、コンポーネント側にはベタ書きしない。画像は /images/types/{CODE}.webp を配置するだけで、プレースホルダー表示から自動的に正式なキャラクター画像に差し替わる設計とした（画像が存在しない場合は onerror でプレースホルダーへフォールバック）。</w:t>
      </w:r>
    </w:p>
    <w:p>
      <w:pPr>
        <w:pStyle w:val="Heading1"/>
        <w:pBdr>
          <w:bottom w:val="single" w:color="B23A32" w:sz="6" w:space="4"/>
        </w:pBdr>
        <w:spacing w:after="160" w:before="320"/>
      </w:pPr>
      <w:r>
        <w:rPr>
          <w:b/>
          <w:bCs/>
          <w:color w:val="B23A32"/>
          <w:sz w:val="28"/>
          <w:szCs w:val="28"/>
        </w:rPr>
        <w:t xml:space="preserve">7. 非機能要件</w:t>
      </w:r>
    </w:p>
    <w:p>
      <w:pPr>
        <w:pStyle w:val="ListParagraph"/>
        <w:numPr>
          <w:ilvl w:val="0"/>
          <w:numId w:val="1"/>
        </w:numPr>
        <w:spacing w:after="60"/>
      </w:pPr>
      <w:r>
        <w:rPr>
          <w:color w:val="1A1E27"/>
          <w:sz w:val="21"/>
          <w:szCs w:val="21"/>
        </w:rPr>
        <w:t xml:space="preserve">レスポンシブ対応：スマートフォンでの利用を最優先としつつ、PCブラウザでも表示崩れが起きないようにする（最大幅480pxを基準としたセンター配置レイアウト）。</w:t>
      </w:r>
    </w:p>
    <w:p>
      <w:pPr>
        <w:pStyle w:val="ListParagraph"/>
        <w:numPr>
          <w:ilvl w:val="0"/>
          <w:numId w:val="1"/>
        </w:numPr>
        <w:spacing w:after="60"/>
      </w:pPr>
      <w:r>
        <w:rPr>
          <w:color w:val="1A1E27"/>
          <w:sz w:val="21"/>
          <w:szCs w:val="21"/>
        </w:rPr>
        <w:t xml:space="preserve">対応ブラウザ：ES Modules・SVG・Clipboard API・Web Share API に対応する最新のモダンブラウザ（Chrome, Safari, Edge, Firefox 最新版）を想定する。</w:t>
      </w:r>
    </w:p>
    <w:p>
      <w:pPr>
        <w:pStyle w:val="ListParagraph"/>
        <w:numPr>
          <w:ilvl w:val="0"/>
          <w:numId w:val="1"/>
        </w:numPr>
        <w:spacing w:after="60"/>
      </w:pPr>
      <w:r>
        <w:rPr>
          <w:color w:val="1A1E27"/>
          <w:sz w:val="21"/>
          <w:szCs w:val="21"/>
        </w:rPr>
        <w:t xml:space="preserve">パフォーマンス：外部ライブラリを最小限（Googleフォントのみ）に抑え、初回表示を高速化する。</w:t>
      </w:r>
    </w:p>
    <w:p>
      <w:pPr>
        <w:pStyle w:val="ListParagraph"/>
        <w:numPr>
          <w:ilvl w:val="0"/>
          <w:numId w:val="1"/>
        </w:numPr>
        <w:spacing w:after="60"/>
      </w:pPr>
      <w:r>
        <w:rPr>
          <w:color w:val="1A1E27"/>
          <w:sz w:val="21"/>
          <w:szCs w:val="21"/>
        </w:rPr>
        <w:t xml:space="preserve">シェア機能：Web Share API に対応する端末ではOS標準の共有シートを利用し、非対応環境ではクリップボードへのコピーにフォールバックする。</w:t>
      </w:r>
    </w:p>
    <w:p>
      <w:pPr>
        <w:pStyle w:val="Heading1"/>
        <w:pBdr>
          <w:bottom w:val="single" w:color="B23A32" w:sz="6" w:space="4"/>
        </w:pBdr>
        <w:spacing w:after="160" w:before="320"/>
      </w:pPr>
      <w:r>
        <w:rPr>
          <w:b/>
          <w:bCs/>
          <w:color w:val="B23A32"/>
          <w:sz w:val="28"/>
          <w:szCs w:val="28"/>
        </w:rPr>
        <w:t xml:space="preserve">8. スコープ外（本バージョンで実装しない機能）</w:t>
      </w:r>
    </w:p>
    <w:p>
      <w:pPr>
        <w:pStyle w:val="ListParagraph"/>
        <w:numPr>
          <w:ilvl w:val="0"/>
          <w:numId w:val="1"/>
        </w:numPr>
        <w:spacing w:after="60"/>
      </w:pPr>
      <w:r>
        <w:rPr>
          <w:color w:val="1A1E27"/>
          <w:sz w:val="21"/>
          <w:szCs w:val="21"/>
        </w:rPr>
        <w:t xml:space="preserve">ユーザーアカウント登録・ログイン機能</w:t>
      </w:r>
    </w:p>
    <w:p>
      <w:pPr>
        <w:pStyle w:val="ListParagraph"/>
        <w:numPr>
          <w:ilvl w:val="0"/>
          <w:numId w:val="1"/>
        </w:numPr>
        <w:spacing w:after="60"/>
      </w:pPr>
      <w:r>
        <w:rPr>
          <w:color w:val="1A1E27"/>
          <w:sz w:val="21"/>
          <w:szCs w:val="21"/>
        </w:rPr>
        <w:t xml:space="preserve">データベースによる回答履歴・診断結果の保存</w:t>
      </w:r>
    </w:p>
    <w:p>
      <w:pPr>
        <w:pStyle w:val="ListParagraph"/>
        <w:numPr>
          <w:ilvl w:val="0"/>
          <w:numId w:val="1"/>
        </w:numPr>
        <w:spacing w:after="60"/>
      </w:pPr>
      <w:r>
        <w:rPr>
          <w:color w:val="1A1E27"/>
          <w:sz w:val="21"/>
          <w:szCs w:val="21"/>
        </w:rPr>
        <w:t xml:space="preserve">サーバーサイドAPI・バックエンド処理</w:t>
      </w:r>
    </w:p>
    <w:p>
      <w:pPr>
        <w:pStyle w:val="ListParagraph"/>
        <w:numPr>
          <w:ilvl w:val="0"/>
          <w:numId w:val="1"/>
        </w:numPr>
        <w:spacing w:after="60"/>
      </w:pPr>
      <w:r>
        <w:rPr>
          <w:color w:val="1A1E27"/>
          <w:sz w:val="21"/>
          <w:szCs w:val="21"/>
        </w:rPr>
        <w:t xml:space="preserve">個別銘柄との相性診断、ポートフォリオ診断（将来拡張として想定）</w:t>
      </w:r>
    </w:p>
    <w:p>
      <w:pPr>
        <w:pStyle w:val="ListParagraph"/>
        <w:numPr>
          <w:ilvl w:val="0"/>
          <w:numId w:val="1"/>
        </w:numPr>
        <w:spacing w:after="60"/>
      </w:pPr>
      <w:r>
        <w:rPr>
          <w:color w:val="1A1E27"/>
          <w:sz w:val="21"/>
          <w:szCs w:val="21"/>
        </w:rPr>
        <w:t xml:space="preserve">SNSシェア用の画像自動生成、他ユーザーとのタイプ比較、日本株ニュース連携（将来拡張として想定）</w:t>
      </w:r>
    </w:p>
    <w:p>
      <w:pPr>
        <w:pStyle w:val="Heading1"/>
        <w:pBdr>
          <w:bottom w:val="single" w:color="B23A32" w:sz="6" w:space="4"/>
        </w:pBdr>
        <w:spacing w:after="160" w:before="320"/>
      </w:pPr>
      <w:r>
        <w:rPr>
          <w:b/>
          <w:bCs/>
          <w:color w:val="B23A32"/>
          <w:sz w:val="28"/>
          <w:szCs w:val="28"/>
        </w:rPr>
        <w:t xml:space="preserve">9. 今後の拡張候補</w:t>
      </w:r>
    </w:p>
    <w:p>
      <w:pPr>
        <w:pStyle w:val="ListParagraph"/>
        <w:numPr>
          <w:ilvl w:val="0"/>
          <w:numId w:val="1"/>
        </w:numPr>
        <w:spacing w:after="60"/>
      </w:pPr>
      <w:r>
        <w:rPr>
          <w:color w:val="1A1E27"/>
          <w:sz w:val="21"/>
          <w:szCs w:val="21"/>
        </w:rPr>
        <w:t xml:space="preserve">保有銘柄・個別銘柄との相性診断（例：「あなたとトヨタの相性：82%」）</w:t>
      </w:r>
    </w:p>
    <w:p>
      <w:pPr>
        <w:pStyle w:val="ListParagraph"/>
        <w:numPr>
          <w:ilvl w:val="0"/>
          <w:numId w:val="1"/>
        </w:numPr>
        <w:spacing w:after="60"/>
      </w:pPr>
      <w:r>
        <w:rPr>
          <w:color w:val="1A1E27"/>
          <w:sz w:val="21"/>
          <w:szCs w:val="21"/>
        </w:rPr>
        <w:t xml:space="preserve">ポートフォリオ診断、保有銘柄のタイプ分類</w:t>
      </w:r>
    </w:p>
    <w:p>
      <w:pPr>
        <w:pStyle w:val="ListParagraph"/>
        <w:numPr>
          <w:ilvl w:val="0"/>
          <w:numId w:val="1"/>
        </w:numPr>
        <w:spacing w:after="60"/>
      </w:pPr>
      <w:r>
        <w:rPr>
          <w:color w:val="1A1E27"/>
          <w:sz w:val="21"/>
          <w:szCs w:val="21"/>
        </w:rPr>
        <w:t xml:space="preserve">投資家タイプ別ランキング、他ユーザーとのタイプ比較</w:t>
      </w:r>
    </w:p>
    <w:p>
      <w:pPr>
        <w:pStyle w:val="ListParagraph"/>
        <w:numPr>
          <w:ilvl w:val="0"/>
          <w:numId w:val="1"/>
        </w:numPr>
        <w:spacing w:after="60"/>
      </w:pPr>
      <w:r>
        <w:rPr>
          <w:color w:val="1A1E27"/>
          <w:sz w:val="21"/>
          <w:szCs w:val="21"/>
        </w:rPr>
        <w:t xml:space="preserve">診断結果のシェア画像生成（X等への投稿を想定）</w:t>
      </w:r>
    </w:p>
    <w:p>
      <w:pPr>
        <w:pStyle w:val="ListParagraph"/>
        <w:numPr>
          <w:ilvl w:val="0"/>
          <w:numId w:val="1"/>
        </w:numPr>
        <w:spacing w:after="60"/>
      </w:pPr>
      <w:r>
        <w:rPr>
          <w:color w:val="1A1E27"/>
          <w:sz w:val="21"/>
          <w:szCs w:val="21"/>
        </w:rPr>
        <w:t xml:space="preserve">定期的な再診断、日本株ニュースとの連携</w:t>
      </w:r>
    </w:p>
    <w:p>
      <w:pPr>
        <w:spacing w:after="120"/>
      </w:pPr>
      <w:r>
        <w:rPr>
          <w:color w:val="1A1E27"/>
          <w:sz w:val="21"/>
          <w:szCs w:val="21"/>
        </w:rPr>
        <w:t xml:space="preserve">これらはアカウント基盤やサーバーサイド機能を必要とするため、導入する場合は本仕様の「フロントエンドのみ・DBなし」という前提を見直す必要がある。</w:t>
      </w:r>
    </w:p>
    <w:p>
      <w:pPr>
        <w:pStyle w:val="Heading1"/>
        <w:pBdr>
          <w:bottom w:val="single" w:color="B23A32" w:sz="6" w:space="4"/>
        </w:pBdr>
        <w:spacing w:after="160" w:before="320"/>
      </w:pPr>
      <w:r>
        <w:rPr>
          <w:b/>
          <w:bCs/>
          <w:color w:val="B23A32"/>
          <w:sz w:val="28"/>
          <w:szCs w:val="28"/>
        </w:rPr>
        <w:t xml:space="preserve">10. 免責事項</w:t>
      </w:r>
    </w:p>
    <w:p>
      <w:pPr>
        <w:spacing w:after="120"/>
      </w:pPr>
      <w:r>
        <w:rPr>
          <w:color w:val="1A1E27"/>
          <w:sz w:val="21"/>
          <w:szCs w:val="21"/>
        </w:rPr>
        <w:t xml:space="preserve">本サイトは利用者の性格・価値観に基づいて投資スタイルの傾向を提示するものであり、特定の銘柄の購入を推奨・保証するものではない。診断結果に登場する代表的投資家・機関は、投資哲学や行動特性が近い参考例として紹介するものであり、本人または当該機関が本診断タイプに該当すると公言しているものではない。投資の最終判断は、利用者自身の責任において行うものとする。</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2026-08-12T23:34:54.327Z</dcterms:created>
  <dcterms:modified xsi:type="dcterms:W3CDTF">2026-08-12T23:34:54.329Z</dcterms:modified>
</cp:coreProperties>
</file>

<file path=docProps/custom.xml><?xml version="1.0" encoding="utf-8"?>
<Properties xmlns="http://schemas.openxmlformats.org/officeDocument/2006/custom-properties" xmlns:vt="http://schemas.openxmlformats.org/officeDocument/2006/docPropsVTypes"/>
</file>