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Materials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Alec’s and my own computer with solidworks functional, as well as their own computers.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Pretty much the entire session except for introductions and cleaning up. All 10 days would be nice but I can work it out if they miss a few days. As long as they are able to participate in the final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Outline of Curriculum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Round robin day make a basic object to show the basics of what it is and why we use 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Tell them that they need their own computer. If they have a desktop, tell them to take notes. Also they need a mouse to use 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First actual training day, go over basic functions such as sketching, extruding, smart dimension, measurements, and how to operate the mouse for viewing and orienteering.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we don’t finish everything day one, which we mostly likely won’t, finish up and start reviewing the topics. Also, begin making practice parts for actual experience, and possibly printing up a part.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Day three, start going into more advanced functions such as chamfer, fillet, and other things.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Day four, introduce assemblies and have them try to recreate a practice assembly. The parts for that practice assembly should be the parts they created for practice on day 2.</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Day five is kind of a random day. It’s a day to catch up anyone who is behind, reteach anything that they are confused about, and basic review. Also, students will come up with what they want to create for their final project, but it must be run by me and/or Eric.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Day 6-10 is their final certification test. They must create a final project where they create all the parts and assemble it. They must complete this as a group to become certified.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Certification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long as they only miss around 2 of the first learning days, and participate in the final project, they will be certified for CAD. But they must actually help in the final project, such as creating the parts and helping with the assembly. Every student should complete the project, but not all the projects need to be printed.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