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8161">
      <w:pPr>
        <w:jc w:val="center"/>
      </w:pPr>
      <w:r>
        <w:rPr>
          <w:b/>
          <w:color w:val="0E7490"/>
          <w:sz w:val="44"/>
        </w:rPr>
        <w:t>Chemistry Module &amp; Virtual Lab Simulations</w:t>
      </w:r>
      <w:r>
        <w:rPr>
          <w:b/>
          <w:color w:val="0E7490"/>
          <w:sz w:val="44"/>
        </w:rPr>
        <w:br w:type="textWrapping"/>
      </w:r>
    </w:p>
    <w:p w14:paraId="428B6EF4">
      <w:pPr>
        <w:jc w:val="center"/>
      </w:pPr>
      <w:r>
        <w:rPr>
          <w:i/>
          <w:color w:val="475569"/>
          <w:sz w:val="26"/>
        </w:rPr>
        <w:t>Detailed Features List, Implementation Specifications, and Virtual Lab Workings</w:t>
      </w:r>
      <w:r>
        <w:rPr>
          <w:i/>
          <w:color w:val="475569"/>
          <w:sz w:val="26"/>
        </w:rPr>
        <w:br w:type="textWrapping"/>
      </w:r>
    </w:p>
    <w:p w14:paraId="3B2821D5">
      <w:r>
        <w:br w:type="textWrapping"/>
      </w:r>
    </w:p>
    <w:tbl>
      <w:tblPr>
        <w:tblStyle w:val="12"/>
        <w:tblW w:w="0" w:type="auto"/>
        <w:jc w:val="center"/>
        <w:tblLayout w:type="autofit"/>
        <w:tblCellMar>
          <w:top w:w="0" w:type="dxa"/>
          <w:left w:w="108" w:type="dxa"/>
          <w:bottom w:w="0" w:type="dxa"/>
          <w:right w:w="108" w:type="dxa"/>
        </w:tblCellMar>
      </w:tblPr>
      <w:tblGrid>
        <w:gridCol w:w="9360"/>
      </w:tblGrid>
      <w:tr w14:paraId="409F1931">
        <w:tblPrEx>
          <w:tblCellMar>
            <w:top w:w="0" w:type="dxa"/>
            <w:left w:w="108" w:type="dxa"/>
            <w:bottom w:w="0" w:type="dxa"/>
            <w:right w:w="108" w:type="dxa"/>
          </w:tblCellMar>
        </w:tblPrEx>
        <w:trPr>
          <w:jc w:val="center"/>
        </w:trPr>
        <w:tc>
          <w:tcPr>
            <w:tcW w:w="9360" w:type="dxa"/>
            <w:shd w:val="clear" w:color="auto" w:fill="ECFDF5"/>
            <w:tcMar>
              <w:top w:w="200" w:type="dxa"/>
              <w:left w:w="300" w:type="dxa"/>
              <w:bottom w:w="200" w:type="dxa"/>
              <w:right w:w="300" w:type="dxa"/>
            </w:tcMar>
          </w:tcPr>
          <w:p w14:paraId="4070530E">
            <w:r>
              <w:rPr>
                <w:b/>
              </w:rPr>
              <w:t xml:space="preserve">Overview of Chemistry Module: </w:t>
            </w:r>
            <w:r>
              <w:t>This document lists the gamified educational modules developed for secondary chemistry. Each module integrates interactive visual renderers (Periodic Table, Bohr/Quantum canvas models) and a virtual Lab space supporting equation balancing, compound crafting, and freeform reactive sandbox runs integrated with AI backend simulation. The document details the UI design, chemical mechanics, and classroom impact.</w:t>
            </w:r>
          </w:p>
        </w:tc>
      </w:tr>
    </w:tbl>
    <w:p w14:paraId="6B35570A">
      <w:r>
        <w:br w:type="textWrapping"/>
      </w:r>
    </w:p>
    <w:p w14:paraId="7AE1A979">
      <w:pPr>
        <w:pStyle w:val="2"/>
      </w:pPr>
      <w:r>
        <w:rPr>
          <w:rFonts w:ascii="Segoe UI" w:hAnsi="Segoe UI"/>
          <w:color w:val="0E7490"/>
        </w:rPr>
        <w:t>Key Chemistry Modules &amp; Activities</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61F34E99">
        <w:tblPrEx>
          <w:tblCellMar>
            <w:top w:w="0" w:type="dxa"/>
            <w:left w:w="108" w:type="dxa"/>
            <w:bottom w:w="0" w:type="dxa"/>
            <w:right w:w="108" w:type="dxa"/>
          </w:tblCellMar>
        </w:tblPrEx>
        <w:trPr>
          <w:jc w:val="center"/>
        </w:trPr>
        <w:tc>
          <w:tcPr>
            <w:tcW w:w="3120" w:type="dxa"/>
            <w:shd w:val="clear" w:color="auto" w:fill="0E7490"/>
            <w:tcMar>
              <w:top w:w="120" w:type="dxa"/>
              <w:left w:w="150" w:type="dxa"/>
              <w:bottom w:w="120" w:type="dxa"/>
              <w:right w:w="150" w:type="dxa"/>
            </w:tcMar>
          </w:tcPr>
          <w:p w14:paraId="148A6147">
            <w:r>
              <w:rPr>
                <w:b/>
                <w:color w:val="FFFFFF"/>
              </w:rPr>
              <w:t>Module Name</w:t>
            </w:r>
          </w:p>
        </w:tc>
        <w:tc>
          <w:tcPr>
            <w:tcW w:w="3120" w:type="dxa"/>
            <w:shd w:val="clear" w:color="auto" w:fill="0E7490"/>
            <w:tcMar>
              <w:top w:w="120" w:type="dxa"/>
              <w:left w:w="150" w:type="dxa"/>
              <w:bottom w:w="120" w:type="dxa"/>
              <w:right w:w="150" w:type="dxa"/>
            </w:tcMar>
          </w:tcPr>
          <w:p w14:paraId="70908890">
            <w:r>
              <w:rPr>
                <w:b/>
                <w:color w:val="FFFFFF"/>
              </w:rPr>
              <w:t>Core Features Implemented</w:t>
            </w:r>
          </w:p>
        </w:tc>
        <w:tc>
          <w:tcPr>
            <w:tcW w:w="3120" w:type="dxa"/>
            <w:shd w:val="clear" w:color="auto" w:fill="0E7490"/>
            <w:tcMar>
              <w:top w:w="120" w:type="dxa"/>
              <w:left w:w="150" w:type="dxa"/>
              <w:bottom w:w="120" w:type="dxa"/>
              <w:right w:w="150" w:type="dxa"/>
            </w:tcMar>
          </w:tcPr>
          <w:p w14:paraId="425833E3">
            <w:r>
              <w:rPr>
                <w:b/>
                <w:color w:val="FFFFFF"/>
              </w:rPr>
              <w:t>Pedagogical Benefit</w:t>
            </w:r>
          </w:p>
        </w:tc>
      </w:tr>
      <w:tr w14:paraId="57CB52BE">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651CFDB5">
            <w:r>
              <w:rPr>
                <w:sz w:val="19"/>
              </w:rPr>
              <w:t>Periodic Table Explorer</w:t>
            </w:r>
          </w:p>
        </w:tc>
        <w:tc>
          <w:tcPr>
            <w:tcW w:w="3120" w:type="dxa"/>
            <w:tcMar>
              <w:top w:w="100" w:type="dxa"/>
              <w:left w:w="150" w:type="dxa"/>
              <w:bottom w:w="100" w:type="dxa"/>
              <w:right w:w="150" w:type="dxa"/>
            </w:tcMar>
          </w:tcPr>
          <w:p w14:paraId="3231A143">
            <w:r>
              <w:rPr>
                <w:sz w:val="19"/>
              </w:rPr>
              <w:t>Color-coded category filters (Alkali, Noble Gases, Transition, etc.), element detail cards (boiling point, discoverer, configurations), atomic-number-based navigation.</w:t>
            </w:r>
          </w:p>
        </w:tc>
        <w:tc>
          <w:tcPr>
            <w:tcW w:w="3120" w:type="dxa"/>
            <w:tcMar>
              <w:top w:w="100" w:type="dxa"/>
              <w:left w:w="150" w:type="dxa"/>
              <w:bottom w:w="100" w:type="dxa"/>
              <w:right w:w="150" w:type="dxa"/>
            </w:tcMar>
          </w:tcPr>
          <w:p w14:paraId="6CCC2FDD">
            <w:r>
              <w:rPr>
                <w:sz w:val="19"/>
              </w:rPr>
              <w:t>Helps students understand trends (periods, groups) and visualize chemical properties of all elements in one visual space.</w:t>
            </w:r>
          </w:p>
        </w:tc>
      </w:tr>
      <w:tr w14:paraId="44299D49">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6D601C79">
            <w:r>
              <w:rPr>
                <w:sz w:val="19"/>
              </w:rPr>
              <w:t>Historical Atomic Simulator</w:t>
            </w:r>
          </w:p>
        </w:tc>
        <w:tc>
          <w:tcPr>
            <w:tcW w:w="3120" w:type="dxa"/>
            <w:tcMar>
              <w:top w:w="100" w:type="dxa"/>
              <w:left w:w="150" w:type="dxa"/>
              <w:bottom w:w="100" w:type="dxa"/>
              <w:right w:w="150" w:type="dxa"/>
            </w:tcMar>
          </w:tcPr>
          <w:p w14:paraId="7021B500">
            <w:r>
              <w:rPr>
                <w:sz w:val="19"/>
              </w:rPr>
              <w:t>Interactive 2D Canvas rendering Dalton (solid sphere), Thomson (plum pudding), Rutherford (nucleus/orbits), Bohr (planetary shells), and Quantum (Gaussian electron cloud) models.</w:t>
            </w:r>
          </w:p>
        </w:tc>
        <w:tc>
          <w:tcPr>
            <w:tcW w:w="3120" w:type="dxa"/>
            <w:tcMar>
              <w:top w:w="100" w:type="dxa"/>
              <w:left w:w="150" w:type="dxa"/>
              <w:bottom w:w="100" w:type="dxa"/>
              <w:right w:w="150" w:type="dxa"/>
            </w:tcMar>
          </w:tcPr>
          <w:p w14:paraId="605C52E7">
            <w:r>
              <w:rPr>
                <w:sz w:val="19"/>
              </w:rPr>
              <w:t>Connects the history of physics and chemistry. Visualizes electron configurations (valence shells) and helps students understand the probabilistic nature of modern quantum theory.</w:t>
            </w:r>
          </w:p>
        </w:tc>
      </w:tr>
      <w:tr w14:paraId="6F4040E5">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4712FE71">
            <w:r>
              <w:rPr>
                <w:sz w:val="19"/>
              </w:rPr>
              <w:t>Virtual Chemistry Lab</w:t>
            </w:r>
          </w:p>
        </w:tc>
        <w:tc>
          <w:tcPr>
            <w:tcW w:w="3120" w:type="dxa"/>
            <w:tcMar>
              <w:top w:w="100" w:type="dxa"/>
              <w:left w:w="150" w:type="dxa"/>
              <w:bottom w:w="100" w:type="dxa"/>
              <w:right w:w="150" w:type="dxa"/>
            </w:tcMar>
          </w:tcPr>
          <w:p w14:paraId="1104832C">
            <w:r>
              <w:rPr>
                <w:sz w:val="19"/>
              </w:rPr>
              <w:t>Three-mode lab: Equation Builder (balancing reactions), Compound Crafting (combining elements), and Free Lab Sandbox (AI-integrated reactive mixing container).</w:t>
            </w:r>
          </w:p>
        </w:tc>
        <w:tc>
          <w:tcPr>
            <w:tcW w:w="3120" w:type="dxa"/>
            <w:tcMar>
              <w:top w:w="100" w:type="dxa"/>
              <w:left w:w="150" w:type="dxa"/>
              <w:bottom w:w="100" w:type="dxa"/>
              <w:right w:w="150" w:type="dxa"/>
            </w:tcMar>
          </w:tcPr>
          <w:p w14:paraId="02CC3E3D">
            <w:r>
              <w:rPr>
                <w:sz w:val="19"/>
              </w:rPr>
              <w:t>Enables safe, endless chemistry experimentation. Promotes understanding of stoichiometry (reaction coefficients), combination/decomposition reactions, and bonding.</w:t>
            </w:r>
          </w:p>
        </w:tc>
      </w:tr>
    </w:tbl>
    <w:p w14:paraId="0E90A8AB">
      <w:r>
        <w:br w:type="textWrapping"/>
      </w:r>
    </w:p>
    <w:p w14:paraId="13350D18">
      <w:pPr>
        <w:pStyle w:val="2"/>
      </w:pPr>
      <w:r>
        <w:rPr>
          <w:rFonts w:ascii="Segoe UI" w:hAnsi="Segoe UI"/>
          <w:color w:val="0E7490"/>
        </w:rPr>
        <w:t>1. Periodic Table Explorer</w:t>
      </w:r>
    </w:p>
    <w:p w14:paraId="046C9926">
      <w:r>
        <w:rPr>
          <w:b/>
        </w:rPr>
        <w:t xml:space="preserve">• What is Implemented: </w:t>
      </w:r>
      <w:r>
        <w:t>An interactive representation of the 118 elements. Features category filters (e.g., Halogens, Alkaline Earth) with customized neon colored highlights on click or hover. Selecting an element opens an inspector showing atomic number, symbol, category, block, electron configuration, physical states (solid/liquid/gas), boiling point, melting point, discoverer, and historic uses. Embeds the Bohr atomic simulator directly inside the detail view.</w:t>
      </w:r>
      <w:r>
        <w:br w:type="textWrapping"/>
      </w:r>
      <w:r>
        <w:rPr>
          <w:b/>
        </w:rPr>
        <w:t xml:space="preserve">• Pedagogical Value: </w:t>
      </w:r>
      <w:r>
        <w:t>Familiarizes students with the structural design of periodic columns and trends. Instead of reading dry text, students click categories and view relationships immediately, promoting long-term retention of chemical trends and atomic weights.</w:t>
      </w:r>
    </w:p>
    <w:p w14:paraId="30BA9973">
      <w:r>
        <w:br w:type="textWrapping"/>
      </w:r>
    </w:p>
    <w:p w14:paraId="287C58AC">
      <w:pPr>
        <w:pStyle w:val="2"/>
      </w:pPr>
      <w:r>
        <w:rPr>
          <w:rFonts w:ascii="Segoe UI" w:hAnsi="Segoe UI"/>
          <w:color w:val="0E7490"/>
        </w:rPr>
        <w:t>2. Historical Atomic Model Simulator</w:t>
      </w:r>
    </w:p>
    <w:p w14:paraId="55733C3A">
      <w:r>
        <w:rPr>
          <w:b/>
        </w:rPr>
        <w:t xml:space="preserve">• What is Implemented: </w:t>
      </w:r>
      <w:r>
        <w:t>A dynamic 2D canvas simulation mapping atomic configurations. Allows the student to switch between five historical models:</w:t>
      </w:r>
      <w:r>
        <w:br w:type="textWrapping"/>
      </w:r>
      <w:r>
        <w:t xml:space="preserve">  1. Dalton Model (1803): Solid reflective sphere highlighting Dalton's atomic theory of matter.</w:t>
      </w:r>
      <w:r>
        <w:br w:type="textWrapping"/>
      </w:r>
      <w:r>
        <w:t xml:space="preserve">  2. Thomson Model (1904): Large positive charge sphere with randomly embedded point-charge electrons.</w:t>
      </w:r>
      <w:r>
        <w:br w:type="textWrapping"/>
      </w:r>
      <w:r>
        <w:t xml:space="preserve">  3. Rutherford Model (1911): Packed proton and neutron nucleus cluster with revolving orbital electrons.</w:t>
      </w:r>
      <w:r>
        <w:br w:type="textWrapping"/>
      </w:r>
      <w:r>
        <w:t xml:space="preserve">  4. Bohr Model (1913): Concentric electron shells. Automatically maps valence configurations per row (2, 8, 18, 32).</w:t>
      </w:r>
      <w:r>
        <w:br w:type="textWrapping"/>
      </w:r>
      <w:r>
        <w:t xml:space="preserve">  5. Quantum Model (1926): Probabilistic electron cloud rendering 1500 points via Gaussian Box-Muller algorithms.</w:t>
      </w:r>
      <w:r>
        <w:br w:type="textWrapping"/>
      </w:r>
      <w:r>
        <w:rPr>
          <w:b/>
        </w:rPr>
        <w:t xml:space="preserve">• Pedagogical Value: </w:t>
      </w:r>
      <w:r>
        <w:t>Teaches students scientific methodology — how atomic models evolved over 120 years as discoveries unfolded. Visualizing Bohr shell configurations helps kids understand chemical reactivity (valence electrons), while the Quantum cloud removes the misconception of electrons as orbiting solar-system spheres, replacing it with the correct modern probability cloud concept.</w:t>
      </w:r>
    </w:p>
    <w:p w14:paraId="2679285C">
      <w:r>
        <w:br w:type="textWrapping"/>
      </w:r>
    </w:p>
    <w:p w14:paraId="3A17DBCA">
      <w:pPr>
        <w:pStyle w:val="2"/>
      </w:pPr>
      <w:r>
        <w:rPr>
          <w:rFonts w:ascii="Segoe UI" w:hAnsi="Segoe UI"/>
          <w:color w:val="0E7490"/>
        </w:rPr>
        <w:t>3. Virtual Chemistry Lab (Deep-Dive working details)</w:t>
      </w:r>
    </w:p>
    <w:p w14:paraId="28F54954">
      <w:r>
        <w:t>The Virtual Chemistry Lab is a fully realized simulation workspace. It is structured into three distinct interactive tabs, each representing a core area of laboratory experimentation, and is integrated with an AI-based backend server.</w:t>
      </w:r>
    </w:p>
    <w:p w14:paraId="5E70AF14">
      <w:pPr>
        <w:pStyle w:val="3"/>
      </w:pPr>
      <w:r>
        <w:rPr>
          <w:rFonts w:ascii="Segoe UI" w:hAnsi="Segoe UI"/>
          <w:color w:val="0E7490"/>
        </w:rPr>
        <w:t>A. User Interface &amp; Layout Panels</w:t>
      </w:r>
    </w:p>
    <w:p w14:paraId="2C360E27">
      <w:r>
        <w:rPr>
          <w:b/>
        </w:rPr>
        <w:t>• Left Panel - Inventory System (InventoryPanel.jsx, InventoryCard.jsx):</w:t>
      </w:r>
      <w:r>
        <w:rPr>
          <w:b/>
        </w:rPr>
        <w:br w:type="textWrapping"/>
      </w:r>
      <w:r>
        <w:t xml:space="preserve">  Serves as the shelf for all reactants. Lists basic elements (H, O, C, Mg, Na, Cl, etc.) and   compounds that the student has successfully crafted. Includes a text search filter, atomic symbol indicator,   and detailed description for each item. Reactants are added to the center beaker by clicking on them.</w:t>
      </w:r>
      <w:r>
        <w:br w:type="textWrapping"/>
      </w:r>
      <w:r>
        <w:rPr>
          <w:b/>
        </w:rPr>
        <w:t>• Center Area - Active Beaker (BeakerSection.jsx, BeakerPill.jsx):</w:t>
      </w:r>
      <w:r>
        <w:rPr>
          <w:b/>
        </w:rPr>
        <w:br w:type="textWrapping"/>
      </w:r>
      <w:r>
        <w:t xml:space="preserve">  The core mixing zone showing reactants and products inside the glass container. Reactants are displayed   as 'Beaker Pills' containing element names and adjustable subscript/coefficient values.</w:t>
      </w:r>
      <w:r>
        <w:br w:type="textWrapping"/>
      </w:r>
      <w:r>
        <w:rPr>
          <w:b/>
        </w:rPr>
        <w:t>• Right Panel - Guidance &amp; Reaction Info:</w:t>
      </w:r>
      <w:r>
        <w:rPr>
          <w:b/>
        </w:rPr>
        <w:br w:type="textWrapping"/>
      </w:r>
      <w:r>
        <w:t xml:space="preserve">  Shows the current assignment details, reaction types classification badges,   and balancing targets depending on the active tab.</w:t>
      </w:r>
    </w:p>
    <w:p w14:paraId="46165FC9">
      <w:pPr>
        <w:pStyle w:val="3"/>
      </w:pPr>
      <w:r>
        <w:rPr>
          <w:rFonts w:ascii="Segoe UI" w:hAnsi="Segoe UI"/>
          <w:color w:val="0E7490"/>
        </w:rPr>
        <w:t>B. Tab 1: Equation Builder (Stoichiometry &amp; Conservation of Mass)</w:t>
      </w:r>
    </w:p>
    <w:p w14:paraId="469E24AF">
      <w:r>
        <w:rPr>
          <w:b/>
        </w:rPr>
        <w:t>• Mechanics of Equation Balancing:</w:t>
      </w:r>
      <w:r>
        <w:rPr>
          <w:b/>
        </w:rPr>
        <w:br w:type="textWrapping"/>
      </w:r>
      <w:r>
        <w:t xml:space="preserve">  Students choose a reaction category (e.g. Combination, Decomposition, Single Replacement)   and are presented with a word problem (e.g. 'Magnesium ribbon burns in oxygen to form magnesium oxide. What do you need?').   1. The student selects Mg and O2 from the inventory into the beaker.</w:t>
      </w:r>
      <w:r>
        <w:br w:type="textWrapping"/>
      </w:r>
      <w:r>
        <w:t xml:space="preserve">  2. Once the correct reactants are inside, the student adjusts the stoichiometric coefficients (e.g., changing 'Mg + O2' to '2Mg + O2')      to balance the number of atoms on both sides of the equation.</w:t>
      </w:r>
      <w:r>
        <w:br w:type="textWrapping"/>
      </w:r>
      <w:r>
        <w:t xml:space="preserve">  3. Clicking 'Check Answer' runs code to verify if the formula and multipliers balance out.</w:t>
      </w:r>
      <w:r>
        <w:br w:type="textWrapping"/>
      </w:r>
      <w:r>
        <w:rPr>
          <w:b/>
        </w:rPr>
        <w:t>• Feedback &amp; Explanation Modal (ExplanationModal.jsx):</w:t>
      </w:r>
      <w:r>
        <w:rPr>
          <w:b/>
        </w:rPr>
        <w:br w:type="textWrapping"/>
      </w:r>
      <w:r>
        <w:t xml:space="preserve">  If incorrect, a retry indicator guides the student. If correct, the score is updated, and they can open the   Explanation Modal. This modal outlines the exact atomic mechanism (e.g. electron transfer, ionic bonds),   energy changes (exothermic heat output), and industrial uses of the balanced compound.</w:t>
      </w:r>
    </w:p>
    <w:p w14:paraId="72DB5D3F">
      <w:pPr>
        <w:pStyle w:val="3"/>
      </w:pPr>
      <w:r>
        <w:rPr>
          <w:rFonts w:ascii="Segoe UI" w:hAnsi="Segoe UI"/>
          <w:color w:val="0E7490"/>
        </w:rPr>
        <w:t>C. Tab 2: Compound Crafting (Molecular Formulas)</w:t>
      </w:r>
    </w:p>
    <w:p w14:paraId="2368E284">
      <w:r>
        <w:rPr>
          <w:b/>
        </w:rPr>
        <w:t>• Mechanics of Crafting Compounds:</w:t>
      </w:r>
      <w:r>
        <w:rPr>
          <w:b/>
        </w:rPr>
        <w:br w:type="textWrapping"/>
      </w:r>
      <w:r>
        <w:t xml:space="preserve">  Provides a clean slate for chemical bonding. Students select base elements from the periodic inventory   and adjust their subscripts (atom counts) to match real molecules. For example, adding H and O, and setting H's subscript   to 2 and O's to 1.</w:t>
      </w:r>
      <w:r>
        <w:br w:type="textWrapping"/>
      </w:r>
      <w:r>
        <w:rPr>
          <w:b/>
        </w:rPr>
        <w:t>• Validation and Modals (CompoundInfoModal.jsx, CraftFailureModal.jsx):</w:t>
      </w:r>
      <w:r>
        <w:rPr>
          <w:b/>
        </w:rPr>
        <w:br w:type="textWrapping"/>
      </w:r>
      <w:r>
        <w:t xml:space="preserve">  - Successful Crafting: Clicking 'Craft' queries the COMPOUND_RECIPES database. If correct (e.g., H2O), the CompoundInfoModal     opens, explaining the molecule's properties. The compound is permanently unlocked and added to their inventory.</w:t>
      </w:r>
      <w:r>
        <w:br w:type="textWrapping"/>
      </w:r>
      <w:r>
        <w:t xml:space="preserve">  - Failed Crafting: If the combination is incorrect (e.g., H3O3), the CraftFailureModal opens. Instead of saying 'Wrong',     it analyzes which elements failed, explains why the formula is chemically unstable, and lists correct reference recipes.</w:t>
      </w:r>
      <w:bookmarkStart w:id="0" w:name="_GoBack"/>
      <w:bookmarkEnd w:id="0"/>
    </w:p>
    <w:p w14:paraId="23A18D81">
      <w:pPr>
        <w:pStyle w:val="3"/>
      </w:pPr>
      <w:r>
        <w:rPr>
          <w:rFonts w:ascii="Segoe UI" w:hAnsi="Segoe UI"/>
          <w:color w:val="0E7490"/>
        </w:rPr>
        <w:t>D. Tab 3: Free Lab Sandbox (AI-Integrated Reactive Mixing)</w:t>
      </w:r>
    </w:p>
    <w:p w14:paraId="1B80A5DB">
      <w:r>
        <w:rPr>
          <w:b/>
        </w:rPr>
        <w:t>• Mechanics of Sandbox Experiments:</w:t>
      </w:r>
      <w:r>
        <w:rPr>
          <w:b/>
        </w:rPr>
        <w:br w:type="textWrapping"/>
      </w:r>
      <w:r>
        <w:t xml:space="preserve">  The ultimate discovery sandbox. Students can drop any combinations of elements (e.g., Na, Cl)   and crafted compounds (e.g., HCl, NaOH) from their inventory into the beaker at the same time.</w:t>
      </w:r>
      <w:r>
        <w:br w:type="textWrapping"/>
      </w:r>
      <w:r>
        <w:rPr>
          <w:b/>
        </w:rPr>
        <w:t>• AI-Driven Reaction Simulation (FreeReactionModal.jsx):</w:t>
      </w:r>
      <w:r>
        <w:rPr>
          <w:b/>
        </w:rPr>
        <w:br w:type="textWrapping"/>
      </w:r>
      <w:r>
        <w:t xml:space="preserve">  Clicking 'React' initiates a POST request to the local FastAPI dev server (running main.py on http://localhost:8000/react).   1. The API receives the array of reactants and counts.</w:t>
      </w:r>
      <w:r>
        <w:br w:type="textWrapping"/>
      </w:r>
      <w:r>
        <w:t xml:space="preserve">  2. An LLM agent processes the mixture, determines what chemical reaction occurs (e.g., acid-base neutralization forming salt + water),      computes the balanced reaction equation, and determines the thermodynamic state.</w:t>
      </w:r>
      <w:r>
        <w:br w:type="textWrapping"/>
      </w:r>
      <w:r>
        <w:t xml:space="preserve">  3. The FreeReactionModal is opened to render the balanced formula, the reaction mechanism explanation, the heat/energy output,      and safety/real-world context.</w:t>
      </w:r>
    </w:p>
    <w:p w14:paraId="344D90C3">
      <w:pPr>
        <w:pStyle w:val="3"/>
      </w:pPr>
      <w:r>
        <w:rPr>
          <w:rFonts w:ascii="Segoe UI" w:hAnsi="Segoe UI"/>
          <w:color w:val="0E7490"/>
        </w:rPr>
        <w:t>E. Pedagogical Value of the Virtual Chemistry Lab</w:t>
      </w:r>
    </w:p>
    <w:p w14:paraId="0076E99D">
      <w:r>
        <w:rPr>
          <w:b/>
        </w:rPr>
        <w:t xml:space="preserve">• Active Inquiry &amp; Safe Discovery: </w:t>
      </w:r>
      <w:r>
        <w:t>Students can perform dangerous reactions (combustions, neutralizations) digitally, encouraging scientific exploration without laboratory safety hazards.</w:t>
      </w:r>
      <w:r>
        <w:br w:type="textWrapping"/>
      </w:r>
      <w:r>
        <w:rPr>
          <w:b/>
        </w:rPr>
        <w:t xml:space="preserve">• Structural Stoichiometry Sense: </w:t>
      </w:r>
      <w:r>
        <w:t>Manually scaling coefficients and subscripts teaches students the Law of Conservation of Mass conceptually — they physically count atoms to verify nothing is lost in a reaction.</w:t>
      </w:r>
      <w:r>
        <w:br w:type="textWrapping"/>
      </w:r>
      <w:r>
        <w:rPr>
          <w:b/>
        </w:rPr>
        <w:t xml:space="preserve">• AI-Powered Scaffolded Remediation: </w:t>
      </w:r>
      <w:r>
        <w:t>By providing reasoning explanation modals and failure diagnostics, the lab acts as a personal tutor that corrects student logic on the fly, promoting self-directed learning.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A5E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color w:val="334155"/>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1111</Words>
  <Characters>7038</Characters>
  <Lines>0</Lines>
  <Paragraphs>0</Paragraphs>
  <TotalTime>1</TotalTime>
  <ScaleCrop>false</ScaleCrop>
  <LinksUpToDate>false</LinksUpToDate>
  <CharactersWithSpaces>8174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 Shelke</cp:lastModifiedBy>
  <dcterms:modified xsi:type="dcterms:W3CDTF">2026-07-20T05:25:55Z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eyJoZGlkIjoiOTBmNDY4YTJmZjFhZDdlZDI2N2ZmYmJiNjc5NjQ5YWMifQ==</vt:lpwstr>
  </property>
  <property fmtid="{D5CDD505-2E9C-101B-9397-08002B2CF9AE}" pid="3" name="KSOProductBuildVer">
    <vt:lpwstr>1033-12.1.0.26880</vt:lpwstr>
  </property>
  <property fmtid="{D5CDD505-2E9C-101B-9397-08002B2CF9AE}" pid="4" name="ICV">
    <vt:lpwstr>A31A1AC3C8564EDAA7135DC180A7B422_12</vt:lpwstr>
  </property>
</Properties>
</file>