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T</w:t>
      </w:r>
      <w:r>
        <w:rPr>
          <w:rFonts w:cs="Arial Black"/>
          <w:color w:val="3465A4"/>
        </w:rPr>
        <w:t>EST PLAN</w:t>
      </w:r>
    </w:p>
    <w:p>
      <w:p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20 April 2014</w:t>
      </w:r>
    </w:p>
    <w:p>
      <w:p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Team C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Jamie Lane, Bradley Norman, Daniel Ross</w:t>
      </w:r>
    </w:p>
    <w:p>
      <w:pPr>
        <w:pStyle w:val="Heading1"/>
        <w:pageBreakBefore/>
        <w:spacing w:lineRule="auto" w:line="240" w:before="0" w:after="0"/>
        <w:contextualSpacing/>
        <w:rPr/>
      </w:pPr>
      <w:r>
        <w:rPr/>
        <w:t>1. Introduction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  <w:t>The test plan is directly linked with the event-trace diagrams from the Team C Project Design document dated 18 April 2014.  Each event-trace diagram has a corresponding test plan listed in Table 1.  Table 2 includes the project requirements referenced in the test plan.</w:t>
      </w:r>
    </w:p>
    <w:p>
      <w:pPr>
        <w:pStyle w:val="Heading1"/>
        <w:spacing w:lineRule="auto" w:line="240" w:before="0" w:after="0"/>
        <w:contextualSpacing/>
        <w:rPr/>
      </w:pPr>
      <w:r>
        <w:rPr/>
      </w:r>
    </w:p>
    <w:p>
      <w:pPr>
        <w:pStyle w:val="Heading1"/>
        <w:spacing w:lineRule="auto" w:line="240" w:before="0" w:after="0"/>
        <w:contextualSpacing/>
        <w:rPr/>
      </w:pPr>
      <w:r>
        <w:rPr/>
        <w:t>2. Test Plan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>
          <w:b w:val="false"/>
          <w:bCs w:val="false"/>
          <w:i/>
          <w:iCs/>
        </w:rPr>
        <w:t>Table 1</w:t>
      </w:r>
      <w:r>
        <w:rPr/>
        <w:t>.  RdosTester Test Plan.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75"/>
        <w:gridCol w:w="1589"/>
        <w:gridCol w:w="1649"/>
        <w:gridCol w:w="1592"/>
        <w:gridCol w:w="1573"/>
        <w:gridCol w:w="1591"/>
      </w:tblGrid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Test Case Number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Requirement Number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Test Description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Expected Result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Actual Result</w:t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Pass/Fail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 xml:space="preserve">Start the application 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The application’s GUI is opened and displayed. The GUI displays text fields where the user can enter a source IP address, destination IP address, and a port number. A transmit button is also available. The network connection is open and ready for use.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3, 5, 6, 7, 8, 9, 10, 11, 12, 13, 14, 15, 16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Enter a valid source IP address, destination IP address, and port number in GUI text fields. Click the transmit button.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The status bar displays a message stating, “Received Packet/Original Packet Ratio is: “ followed by the ratio of the packet sizes.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Start the application with no network available on the host machine.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The status bar displays a message stating, “Network Unavailable“.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3, 5, 6, 7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Enter invalid IP addresses (outside of IPv4 specifications) and invalid port numbers (less than 0 and greater than 65535).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The status bar displays a message stating, “Invalid Address or Port“.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3, 8, 9, 10, 11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Transmit a packet to a valid address and port, with no Open Arena server available to respond.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The status bar displays a message stating, “Transmission Unsuccessful“.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3, 8, 9, 10, 11, 12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Transmit a packet to an active Open Arena server using a valid source address that is incorrect for the machine running RdosTester.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The status bar displays a message stating, “Transmission Unsuccessful“.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Shutdown the application by clicking the “X” at the top right hand corner of the GUI.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The application’s GUI is closed. The network connection is closed.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b/>
          <w:bCs/>
          <w:color w:val="3465A4"/>
          <w:sz w:val="28"/>
          <w:szCs w:val="28"/>
        </w:rPr>
      </w:pPr>
      <w:r>
        <w:rPr>
          <w:rFonts w:ascii="Cambria" w:hAnsi="Cambria"/>
          <w:b/>
          <w:bCs/>
          <w:color w:val="3465A4"/>
          <w:sz w:val="28"/>
          <w:szCs w:val="28"/>
        </w:rPr>
        <w:t>3. Project Requirements</w:t>
      </w:r>
    </w:p>
    <w:p>
      <w:pPr>
        <w:pStyle w:val="TextBody"/>
        <w:rPr/>
      </w:pPr>
      <w:r>
        <w:rPr>
          <w:i/>
          <w:iCs/>
        </w:rPr>
        <w:t>Table 2</w:t>
      </w:r>
      <w:r>
        <w:rPr/>
        <w:t>.  RdosTester requirements.</w:t>
      </w:r>
    </w:p>
    <w:tbl>
      <w:tblPr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704"/>
        <w:gridCol w:w="7679"/>
      </w:tblGrid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be written using the Java v7 SDK and jNetPcap API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run on the Oracle JVM (Java virtual machine), hosted on a currently supported version of the Microsoft Windows operating system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provide the user with a graphical user interface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run as a standalone application (neither as a client nor as a server)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allow a source IP (internet protocol) address to be selected by the user as a target address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allow a destination IP address (Open Arena server IP)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allow a destination port (Open Arena server port)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construct UDP (user datagram protocol) packets containing a message eliciting status from an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construct IP packet headers, containing user selected addresses and ports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combine IP packet headers and UDP packet payloads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calculate complete packet-size, prior to transmission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transmit packets to a selected Open Arena server, following user initiation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receive packets from the selected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calculate the size of received packets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calculate the ratio of transmitted packet-size to received packet-size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display the packet-size ratio (amplification ratio)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not be operated remotely via any direct form of network control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not be operated by an internal timer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</w:rPr>
            </w:pPr>
            <w:r>
              <w:rPr>
                <w:rFonts w:eastAsia="Consolas" w:cs="Consolas"/>
                <w:color w:val="333333"/>
              </w:rPr>
              <w:t>Shall not obfuscate its operation via hidden user interface elements or deliberately opaque code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3"/>
      <w:headerReference w:type="firs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95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5266d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15266d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uiPriority w:val="9"/>
    <w:qFormat/>
    <w:unhideWhenUsed/>
    <w:link w:val="Heading4Char"/>
    <w:rsid w:val="0024539a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5266d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15266d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15266d"/>
    <w:basedOn w:val="DefaultParagraphFont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uiPriority w:val="1"/>
    <w:link w:val="NoSpacing"/>
    <w:rsid w:val="00ba2cfa"/>
    <w:basedOn w:val="DefaultParagraphFont"/>
    <w:rPr>
      <w:lang w:eastAsia="ja-JP"/>
    </w:rPr>
  </w:style>
  <w:style w:type="character" w:styleId="HeaderChar" w:customStyle="1">
    <w:name w:val="Header Char"/>
    <w:uiPriority w:val="99"/>
    <w:link w:val="Header"/>
    <w:rsid w:val="00ba2cfa"/>
    <w:basedOn w:val="DefaultParagraphFont"/>
    <w:rPr/>
  </w:style>
  <w:style w:type="character" w:styleId="FooterChar" w:customStyle="1">
    <w:name w:val="Footer Char"/>
    <w:uiPriority w:val="99"/>
    <w:link w:val="Footer"/>
    <w:rsid w:val="00ba2cfa"/>
    <w:basedOn w:val="DefaultParagraphFont"/>
    <w:rPr/>
  </w:style>
  <w:style w:type="character" w:styleId="Heading4Char" w:customStyle="1">
    <w:name w:val="Heading 4 Char"/>
    <w:uiPriority w:val="9"/>
    <w:link w:val="Heading4"/>
    <w:rsid w:val="0024539a"/>
    <w:basedOn w:val="DefaultParagraphFont"/>
    <w:rPr>
      <w:rFonts w:ascii="Cambria" w:hAnsi="Cambria" w:cs=""/>
      <w:b/>
      <w:bCs/>
      <w:i/>
      <w:iCs/>
      <w:color w:val="4F81BD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1526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link w:val="NoSpacingChar"/>
    <w:rsid w:val="00ba2cfa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Calibri"/>
      <w:color w:val="00000A"/>
      <w:sz w:val="22"/>
      <w:szCs w:val="22"/>
      <w:lang w:val="en-US" w:eastAsia="ja-JP" w:bidi="ar-SA"/>
    </w:rPr>
  </w:style>
  <w:style w:type="paragraph" w:styleId="Header">
    <w:name w:val="Header"/>
    <w:uiPriority w:val="99"/>
    <w:unhideWhenUsed/>
    <w:link w:val="Head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Default" w:customStyle="1">
    <w:name w:val="Default"/>
    <w:pPr>
      <w:widowControl/>
      <w:suppressAutoHyphens w:val="true"/>
      <w:bidi w:val="0"/>
      <w:spacing w:lineRule="auto" w:line="276" w:before="0" w:after="200"/>
      <w:jc w:val="left"/>
    </w:pPr>
    <w:rPr>
      <w:rFonts w:ascii="Times New Roman;Times New Roman" w:hAnsi="Times New Roman;Times New Roman" w:eastAsia="SimSun;宋体" w:cs="Times New Roman;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2014-04-17T00:14:00Z</dcterms:created>
  <dc:creator>Jamie;Brad;Daniel</dc:creator>
  <dc:language>en-US</dc:language>
  <cp:lastModifiedBy>Brad Norman</cp:lastModifiedBy>
  <cp:lastPrinted>2014-04-13T20:05:00Z</cp:lastPrinted>
  <dcterms:modified xsi:type="dcterms:W3CDTF">2014-04-17T00:14:00Z</dcterms:modified>
  <cp:revision>2</cp:revision>
</cp:coreProperties>
</file>