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User accounts (everyone can post)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Users shall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Login with student email address to their schools site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Post events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Send invites for events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Join events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Comment on past events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Post products via PayPal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Post services via PayPal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Post to forums of varying subjects (looking for roomates, class help, advice for…., etc.)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Comment on products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Comment on services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Rate services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Rate events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Rate products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Message other users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Send mail to other users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School Admins shall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Have the same functionality as users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Ban users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posts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users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users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Schools shall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Register their school on the website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Appoint admins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(being a school requires validation via email to website admin)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Website Admins shall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Have the same functionality as School Admins on all sites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Approve or deny school requests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Whitelist safe domains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Blacklist malicious domains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Promote/demote user accounts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MySql server - Google Cloud Platform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Apache2 Webserver - Google Cloud Platform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Software Requirements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Domain name for Apache Webserver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PHPmyadmin for handling MySQL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Ubuntu for development environment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Google Cloud Platform for hosting environment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Integrated web security platform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Firmware to be Used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waB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Have secure HTTPS connection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DDoS protection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 3, 4, 7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Secure payment (paypal and website side https connection)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Protected by firewall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SSL certificate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Website analytics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