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color w:val="2B2622"/>
          <w:sz w:val="44"/>
          <w:szCs w:val="44"/>
        </w:rPr>
        <w:t xml:space="preserve">Community Impact Plan</w:t>
      </w:r>
    </w:p>
    <w:p>
      <w:pPr>
        <w:spacing w:after="280"/>
      </w:pPr>
      <w:r>
        <w:rPr>
          <w:rFonts w:ascii="Calibri" w:cs="Calibri" w:eastAsia="Calibri" w:hAnsi="Calibri"/>
          <w:color w:val="6B5F55"/>
          <w:sz w:val="22"/>
          <w:szCs w:val="22"/>
        </w:rPr>
        <w:t xml:space="preserve">[Licensee Name]  ·  in partnership with Greater Hudson Promise</w:t>
      </w:r>
    </w:p>
    <w:tbl>
      <w:tblPr>
        <w:tblW w:type="pct" w:w="5000"/>
        <w:tblBorders>
          <w:top w:val="none" w:color="FFFFFF" w:sz="0"/>
          <w:left w:val="none" w:color="FFFFFF" w:sz="0"/>
          <w:bottom w:val="none" w:color="FFFFFF" w:sz="0"/>
          <w:right w:val="none" w:color="FFFFFF" w:sz="0"/>
          <w:insideH w:val="single" w:color="E4DCD2" w:sz="2"/>
          <w:insideV w:val="none" w:color="FFFFFF" w:sz="0"/>
        </w:tblBorders>
      </w:tblPr>
      <w:tblGrid>
        <w:gridCol w:w="2995"/>
        <w:gridCol w:w="6365"/>
      </w:tblGrid>
      <w:tr>
        <w:tc>
          <w:tcPr>
            <w:tcW w:type="pct" w:w="1600"/>
            <w:tcMar>
              <w:top w:type="dxa" w:w="60"/>
              <w:bottom w:type="dxa" w:w="60"/>
            </w:tcMar>
          </w:tcPr>
          <w:p>
            <w:r>
              <w:rPr>
                <w:rFonts w:ascii="Calibri" w:cs="Calibri" w:eastAsia="Calibri" w:hAnsi="Calibri"/>
                <w:b/>
                <w:bCs/>
                <w:color w:val="6B5F55"/>
                <w:sz w:val="20"/>
                <w:szCs w:val="20"/>
              </w:rPr>
              <w:t xml:space="preserve">Licensee</w:t>
            </w:r>
          </w:p>
        </w:tc>
        <w:tc>
          <w:tcPr>
            <w:tcW w:type="pct" w:w="3400"/>
            <w:tcMar>
              <w:top w:type="dxa" w:w="60"/>
              <w:bottom w:type="dxa" w:w="60"/>
            </w:tcMar>
          </w:tcPr>
          <w:p>
            <w:r>
              <w:rPr>
                <w:rFonts w:ascii="Calibri" w:cs="Calibri" w:eastAsia="Calibri" w:hAnsi="Calibri"/>
                <w:color w:val="2B2622"/>
                <w:sz w:val="22"/>
                <w:szCs w:val="22"/>
              </w:rPr>
              <w:t xml:space="preserve">[Licensee Name]</w:t>
            </w:r>
          </w:p>
        </w:tc>
      </w:tr>
      <w:tr>
        <w:tc>
          <w:tcPr>
            <w:tcW w:type="pct" w:w="1600"/>
            <w:tcMar>
              <w:top w:type="dxa" w:w="60"/>
              <w:bottom w:type="dxa" w:w="60"/>
            </w:tcMar>
          </w:tcPr>
          <w:p>
            <w:r>
              <w:rPr>
                <w:rFonts w:ascii="Calibri" w:cs="Calibri" w:eastAsia="Calibri" w:hAnsi="Calibri"/>
                <w:b/>
                <w:bCs/>
                <w:color w:val="6B5F55"/>
                <w:sz w:val="20"/>
                <w:szCs w:val="20"/>
              </w:rPr>
              <w:t xml:space="preserve">License</w:t>
            </w:r>
          </w:p>
        </w:tc>
        <w:tc>
          <w:tcPr>
            <w:tcW w:type="pct" w:w="3400"/>
            <w:tcMar>
              <w:top w:type="dxa" w:w="60"/>
              <w:bottom w:type="dxa" w:w="60"/>
            </w:tcMar>
          </w:tcPr>
          <w:p>
            <w:r>
              <w:rPr>
                <w:rFonts w:ascii="Calibri" w:cs="Calibri" w:eastAsia="Calibri" w:hAnsi="Calibri"/>
                <w:color w:val="2B2622"/>
                <w:sz w:val="22"/>
                <w:szCs w:val="22"/>
              </w:rPr>
              <w:t xml:space="preserve">Adult-Use Retail Dispensary · [License #]</w:t>
            </w:r>
          </w:p>
        </w:tc>
      </w:tr>
      <w:tr>
        <w:tc>
          <w:tcPr>
            <w:tcW w:type="pct" w:w="1600"/>
            <w:tcMar>
              <w:top w:type="dxa" w:w="60"/>
              <w:bottom w:type="dxa" w:w="60"/>
            </w:tcMar>
          </w:tcPr>
          <w:p>
            <w:r>
              <w:rPr>
                <w:rFonts w:ascii="Calibri" w:cs="Calibri" w:eastAsia="Calibri" w:hAnsi="Calibri"/>
                <w:b/>
                <w:bCs/>
                <w:color w:val="6B5F55"/>
                <w:sz w:val="20"/>
                <w:szCs w:val="20"/>
              </w:rPr>
              <w:t xml:space="preserve">Location</w:t>
            </w:r>
          </w:p>
        </w:tc>
        <w:tc>
          <w:tcPr>
            <w:tcW w:type="pct" w:w="3400"/>
            <w:tcMar>
              <w:top w:type="dxa" w:w="60"/>
              <w:bottom w:type="dxa" w:w="60"/>
            </w:tcMar>
          </w:tcPr>
          <w:p>
            <w:r>
              <w:rPr>
                <w:rFonts w:ascii="Calibri" w:cs="Calibri" w:eastAsia="Calibri" w:hAnsi="Calibri"/>
                <w:color w:val="2B2622"/>
                <w:sz w:val="22"/>
                <w:szCs w:val="22"/>
              </w:rPr>
              <w:t xml:space="preserve">[Street], [City], [County] County, NY</w:t>
            </w:r>
          </w:p>
        </w:tc>
      </w:tr>
      <w:tr>
        <w:tc>
          <w:tcPr>
            <w:tcW w:type="pct" w:w="1600"/>
            <w:tcMar>
              <w:top w:type="dxa" w:w="60"/>
              <w:bottom w:type="dxa" w:w="60"/>
            </w:tcMar>
          </w:tcPr>
          <w:p>
            <w:r>
              <w:rPr>
                <w:rFonts w:ascii="Calibri" w:cs="Calibri" w:eastAsia="Calibri" w:hAnsi="Calibri"/>
                <w:b/>
                <w:bCs/>
                <w:color w:val="6B5F55"/>
                <w:sz w:val="20"/>
                <w:szCs w:val="20"/>
              </w:rPr>
              <w:t xml:space="preserve">Community partner</w:t>
            </w:r>
          </w:p>
        </w:tc>
        <w:tc>
          <w:tcPr>
            <w:tcW w:type="pct" w:w="3400"/>
            <w:tcMar>
              <w:top w:type="dxa" w:w="60"/>
              <w:bottom w:type="dxa" w:w="60"/>
            </w:tcMar>
          </w:tcPr>
          <w:p>
            <w:r>
              <w:rPr>
                <w:rFonts w:ascii="Calibri" w:cs="Calibri" w:eastAsia="Calibri" w:hAnsi="Calibri"/>
                <w:color w:val="2B2622"/>
                <w:sz w:val="22"/>
                <w:szCs w:val="22"/>
              </w:rPr>
              <w:t xml:space="preserve">Greater Hudson Promise (GHP) — Beyond GED</w:t>
            </w:r>
          </w:p>
        </w:tc>
      </w:tr>
      <w:tr>
        <w:tc>
          <w:tcPr>
            <w:tcW w:type="pct" w:w="1600"/>
            <w:tcMar>
              <w:top w:type="dxa" w:w="60"/>
              <w:bottom w:type="dxa" w:w="60"/>
            </w:tcMar>
          </w:tcPr>
          <w:p>
            <w:r>
              <w:rPr>
                <w:rFonts w:ascii="Calibri" w:cs="Calibri" w:eastAsia="Calibri" w:hAnsi="Calibri"/>
                <w:b/>
                <w:bCs/>
                <w:color w:val="6B5F55"/>
                <w:sz w:val="20"/>
                <w:szCs w:val="20"/>
              </w:rPr>
              <w:t xml:space="preserve">Contact</w:t>
            </w:r>
          </w:p>
        </w:tc>
        <w:tc>
          <w:tcPr>
            <w:tcW w:type="pct" w:w="3400"/>
            <w:tcMar>
              <w:top w:type="dxa" w:w="60"/>
              <w:bottom w:type="dxa" w:w="60"/>
            </w:tcMar>
          </w:tcPr>
          <w:p>
            <w:r>
              <w:rPr>
                <w:rFonts w:ascii="Calibri" w:cs="Calibri" w:eastAsia="Calibri" w:hAnsi="Calibri"/>
                <w:color w:val="2B2622"/>
                <w:sz w:val="22"/>
                <w:szCs w:val="22"/>
              </w:rPr>
              <w:t xml:space="preserve">[Contact Name], [Title] · [email]</w:t>
            </w:r>
          </w:p>
        </w:tc>
      </w:tr>
    </w:tbl>
    <w:p>
      <w:pPr>
        <w:spacing w:after="160" w:before="320"/>
      </w:pPr>
      <w:r>
        <w:rPr>
          <w:rFonts w:ascii="Georgia" w:cs="Georgia" w:eastAsia="Georgia" w:hAnsi="Georgia"/>
          <w:b/>
          <w:bCs/>
          <w:color w:val="9A3B1F"/>
          <w:sz w:val="24"/>
          <w:szCs w:val="24"/>
        </w:rPr>
        <w:t xml:space="preserve">What problem or need does your community impact plan seek to address? Please include any relevant data.</w:t>
      </w:r>
    </w:p>
    <w:p>
      <w:pPr>
        <w:spacing w:after="160" w:line="288"/>
      </w:pPr>
      <w:r>
        <w:rPr>
          <w:rFonts w:ascii="Calibri" w:cs="Calibri" w:eastAsia="Calibri" w:hAnsi="Calibri"/>
          <w:color w:val="2B2622"/>
          <w:sz w:val="22"/>
          <w:szCs w:val="22"/>
        </w:rPr>
        <w:t xml:space="preserve">The [Licensee Name]/Greater Hudson Promise (GHP) partnership addresses the urgent challenge facing Opportunity Youth in the city of Hudson, NY and Columbia County. Many of the families served have been disproportionately affected by the War on Drugs and its long-term economic and social consequences, contributing to school disengagement, economic instability, and higher rates of justice system involvement among young people of color.</w:t>
      </w:r>
    </w:p>
    <w:p>
      <w:pPr>
        <w:spacing w:after="160" w:line="288"/>
      </w:pPr>
      <w:r>
        <w:rPr>
          <w:rFonts w:ascii="Calibri" w:cs="Calibri" w:eastAsia="Calibri" w:hAnsi="Calibri"/>
          <w:color w:val="2B2622"/>
          <w:sz w:val="22"/>
          <w:szCs w:val="22"/>
        </w:rPr>
        <w:t xml:space="preserve">The partnership centers on GHP's Education and Professional Development work, specifically the Beyond GED program. Beyond GED was created in 2022 in direct response to young adults in Hudson who were increasingly interacting with the justice system and facing incarceration after dropping out of school. Through interviews with the program's first cohort, young people identified poverty as the primary driver of school withdrawal, often leaving school to work and support themselves or their families. Their feedback shaped the program to address real barriers with wraparound support.</w:t>
      </w:r>
    </w:p>
    <w:p>
      <w:pPr>
        <w:spacing w:after="160" w:line="288"/>
      </w:pPr>
      <w:r>
        <w:rPr>
          <w:rFonts w:ascii="Calibri" w:cs="Calibri" w:eastAsia="Calibri" w:hAnsi="Calibri"/>
          <w:color w:val="2B2622"/>
          <w:sz w:val="22"/>
          <w:szCs w:val="22"/>
        </w:rPr>
        <w:t xml:space="preserve">The need is clear. Young people without a high school credential face reduced lifetime earnings, higher unemployment rates, and greater risk of justice system involvement. Beyond GED fills a critical gap for youth who have already left the traditional school system and require an alternative, supportive route to completion.</w:t>
      </w:r>
    </w:p>
    <w:p>
      <w:pPr>
        <w:spacing w:after="160" w:line="288"/>
      </w:pPr>
      <w:r>
        <w:rPr>
          <w:rFonts w:ascii="Calibri" w:cs="Calibri" w:eastAsia="Calibri" w:hAnsi="Calibri"/>
          <w:color w:val="2B2622"/>
          <w:sz w:val="22"/>
          <w:szCs w:val="22"/>
        </w:rPr>
        <w:t xml:space="preserve">Many participants facing serious felony charges were able to avoid prison and instead transition into higher education or employment. Since participation, none have re-entered the justice system. These outcomes demonstrate the power of combining academic instruction with financial assistance, professional development, vocational exploration, college support, and practical resources.</w:t>
      </w:r>
    </w:p>
    <w:p>
      <w:pPr>
        <w:spacing w:after="160" w:line="288"/>
      </w:pPr>
      <w:r>
        <w:rPr>
          <w:rFonts w:ascii="Calibri" w:cs="Calibri" w:eastAsia="Calibri" w:hAnsi="Calibri"/>
          <w:color w:val="2B2622"/>
          <w:sz w:val="22"/>
          <w:szCs w:val="22"/>
        </w:rPr>
        <w:t xml:space="preserve">Since launching in 2022, Beyond GED has served over 23 young people. Within six weeks of the first cohort enrolling, 100 percent completed their GEDs. The [Licensee Name]–GHP partnership is uniquely positioned to deepen and expand this impact by increasing enrollment of Opportunity Youth across Columbia County, providing a safe learning and workforce development environment, expanding career-connected training opportunities, reducing justice system involvement, and strengthening long-term economic mobility for young adults living in poverty. At its core, this partnership addresses educational and economic disconnection among Opportunity Youth who have been failed by traditional systems. By providing a structured pathway to high school equivalency, career development, and ongoing support, [Licensee Name] and GHP can interrupt cycles of poverty and justice involvement while building a stronger, more equitable workforce pipeline for Columbia County.</w:t>
      </w:r>
    </w:p>
    <w:p>
      <w:pPr>
        <w:spacing w:after="160" w:before="320"/>
      </w:pPr>
      <w:r>
        <w:rPr>
          <w:rFonts w:ascii="Georgia" w:cs="Georgia" w:eastAsia="Georgia" w:hAnsi="Georgia"/>
          <w:b/>
          <w:bCs/>
          <w:color w:val="9A3B1F"/>
          <w:sz w:val="24"/>
          <w:szCs w:val="24"/>
        </w:rPr>
        <w:t xml:space="preserve">Who are the communities and individuals disproportionately impacted you intend to target?</w:t>
      </w:r>
    </w:p>
    <w:p>
      <w:pPr>
        <w:spacing w:after="160" w:line="288"/>
      </w:pPr>
      <w:r>
        <w:rPr>
          <w:rFonts w:ascii="Calibri" w:cs="Calibri" w:eastAsia="Calibri" w:hAnsi="Calibri"/>
          <w:color w:val="2B2622"/>
          <w:sz w:val="22"/>
          <w:szCs w:val="22"/>
        </w:rPr>
        <w:t xml:space="preserve">The targeted population are young people ages 16 to 24 who are not enrolled in school and not working, many of whom have been disproportionately impacted by poverty, systemic oppression, and justice system involvement. GHP is a cradle-to-career organization serving young people ages 0 to 24 and beyond, with a mission to build an equitable community by providing opportunities and support to individuals and families impacted by systemic failures. Beyond GED serves Opportunity Youth within the Hudson City School District and, with expanded support, throughout Columbia County. Across all GHP programs, 79 percent of participants are BIPOC. In Beyond GED, 100 percent of enrolled students are students of color and all are living below the poverty line, reflecting the disproportionate impact of educational and economic inequities locally.</w:t>
      </w:r>
    </w:p>
    <w:p>
      <w:pPr>
        <w:spacing w:after="160" w:before="320"/>
      </w:pPr>
      <w:r>
        <w:rPr>
          <w:rFonts w:ascii="Georgia" w:cs="Georgia" w:eastAsia="Georgia" w:hAnsi="Georgia"/>
          <w:b/>
          <w:bCs/>
          <w:color w:val="9A3B1F"/>
          <w:sz w:val="24"/>
          <w:szCs w:val="24"/>
        </w:rPr>
        <w:t xml:space="preserve">Goals</w:t>
      </w:r>
    </w:p>
    <w:p>
      <w:pPr>
        <w:pStyle w:val="ListParagraph"/>
        <w:numPr>
          <w:ilvl w:val="0"/>
          <w:numId w:val="2"/>
        </w:numPr>
        <w:spacing w:after="120" w:line="288"/>
      </w:pPr>
      <w:r>
        <w:rPr>
          <w:rFonts w:ascii="Calibri" w:cs="Calibri" w:eastAsia="Calibri" w:hAnsi="Calibri"/>
          <w:b/>
          <w:bCs/>
          <w:color w:val="2B2622"/>
          <w:sz w:val="22"/>
          <w:szCs w:val="22"/>
        </w:rPr>
        <w:t xml:space="preserve">Increase Educational Attainment. </w:t>
      </w:r>
      <w:r>
        <w:rPr>
          <w:rFonts w:ascii="Calibri" w:cs="Calibri" w:eastAsia="Calibri" w:hAnsi="Calibri"/>
          <w:color w:val="2B2622"/>
          <w:sz w:val="22"/>
          <w:szCs w:val="22"/>
        </w:rPr>
        <w:t xml:space="preserve">Support Opportunity Youth in earning their high school equivalency credential (GED), providing a critical foundation for long-term success. The program aims to improve graduation outcomes for youth who have disengaged from traditional school systems. Measured by GED tests taken and GED credentials earned annually and cumulatively (2025: 34 GED tests taken, 6 GEDs earned; 11 GEDs earned since program inception).</w:t>
      </w:r>
    </w:p>
    <w:p>
      <w:pPr>
        <w:pStyle w:val="ListParagraph"/>
        <w:numPr>
          <w:ilvl w:val="0"/>
          <w:numId w:val="2"/>
        </w:numPr>
        <w:spacing w:after="120" w:line="288"/>
      </w:pPr>
      <w:r>
        <w:rPr>
          <w:rFonts w:ascii="Calibri" w:cs="Calibri" w:eastAsia="Calibri" w:hAnsi="Calibri"/>
          <w:b/>
          <w:bCs/>
          <w:color w:val="2B2622"/>
          <w:sz w:val="22"/>
          <w:szCs w:val="22"/>
        </w:rPr>
        <w:t xml:space="preserve">Strengthen Workforce and Career Pathways. </w:t>
      </w:r>
      <w:r>
        <w:rPr>
          <w:rFonts w:ascii="Calibri" w:cs="Calibri" w:eastAsia="Calibri" w:hAnsi="Calibri"/>
          <w:color w:val="2B2622"/>
          <w:sz w:val="22"/>
          <w:szCs w:val="22"/>
        </w:rPr>
        <w:t xml:space="preserve">Provide professional development, vocational training opportunities, and career-connected support so participants can access stable employment, job training programs, or post-secondary education. This goal ensures youth are prepared for sustainable careers and economic mobility. Measured by the number of participants obtaining part-time or full-time employment, job retention, and enrollment in vocational training or postsecondary education (2025: 16 participants gained employment).</w:t>
      </w:r>
    </w:p>
    <w:p>
      <w:pPr>
        <w:pStyle w:val="ListParagraph"/>
        <w:numPr>
          <w:ilvl w:val="0"/>
          <w:numId w:val="2"/>
        </w:numPr>
        <w:spacing w:after="120" w:line="288"/>
      </w:pPr>
      <w:r>
        <w:rPr>
          <w:rFonts w:ascii="Calibri" w:cs="Calibri" w:eastAsia="Calibri" w:hAnsi="Calibri"/>
          <w:b/>
          <w:bCs/>
          <w:color w:val="2B2622"/>
          <w:sz w:val="22"/>
          <w:szCs w:val="22"/>
        </w:rPr>
        <w:t xml:space="preserve">Reduce Justice System Involvement and Promote Stability. </w:t>
      </w:r>
      <w:r>
        <w:rPr>
          <w:rFonts w:ascii="Calibri" w:cs="Calibri" w:eastAsia="Calibri" w:hAnsi="Calibri"/>
          <w:color w:val="2B2622"/>
          <w:sz w:val="22"/>
          <w:szCs w:val="22"/>
        </w:rPr>
        <w:t xml:space="preserve">Through wraparound services, mentorship, and academic and financial support, Beyond GED helps youth avoid further involvement with the justice system and build personal stability. Early program outcomes show participants have successfully avoided incarceration and re-entry into the justice system. Measured by justice system re-entry among program completers (zero since launch) and stability supports provided (2025: 20 DMV identification cards, 6 court supports, 4 eviction prevention supports, 3 mental health connections).</w:t>
      </w:r>
    </w:p>
    <w:p>
      <w:pPr>
        <w:spacing w:after="160" w:before="320"/>
      </w:pPr>
      <w:r>
        <w:rPr>
          <w:rFonts w:ascii="Georgia" w:cs="Georgia" w:eastAsia="Georgia" w:hAnsi="Georgia"/>
          <w:b/>
          <w:bCs/>
          <w:color w:val="9A3B1F"/>
          <w:sz w:val="24"/>
          <w:szCs w:val="24"/>
        </w:rPr>
        <w:t xml:space="preserve">Partnership Commitment</w:t>
      </w:r>
    </w:p>
    <w:p>
      <w:pPr>
        <w:spacing w:after="160" w:line="288"/>
      </w:pPr>
      <w:r>
        <w:rPr>
          <w:rFonts w:ascii="Calibri" w:cs="Calibri" w:eastAsia="Calibri" w:hAnsi="Calibri"/>
          <w:color w:val="2B2622"/>
          <w:sz w:val="22"/>
          <w:szCs w:val="22"/>
        </w:rPr>
        <w:t xml:space="preserve">[Licensee Name] commits $5,000 per year to Greater Hudson Promise to fund the Beyond GED program, which serves Opportunity Youth ages 16 to 24 in Hudson and Columbia County, for a term of 2 years, beginning Upon plan approval. Total commitment over the term: $10,000.</w:t>
      </w:r>
    </w:p>
    <w:p>
      <w:pPr>
        <w:spacing w:after="160" w:line="288"/>
      </w:pPr>
      <w:r>
        <w:rPr>
          <w:rFonts w:ascii="Calibri" w:cs="Calibri" w:eastAsia="Calibri" w:hAnsi="Calibri"/>
          <w:color w:val="2B2622"/>
          <w:sz w:val="22"/>
          <w:szCs w:val="22"/>
        </w:rPr>
        <w:t xml:space="preserve">The Year 1 contribution is made upon signing this pledge; the Year 2 contribution is due on the one-year anniversary.</w:t>
      </w:r>
    </w:p>
    <w:p>
      <w:pPr>
        <w:spacing w:after="160" w:line="288"/>
      </w:pPr>
      <w:r>
        <w:rPr>
          <w:rFonts w:ascii="Calibri" w:cs="Calibri" w:eastAsia="Calibri" w:hAnsi="Calibri"/>
          <w:color w:val="2B2622"/>
          <w:sz w:val="22"/>
          <w:szCs w:val="22"/>
        </w:rPr>
        <w:t xml:space="preserve">Funds support participant stipends, hot meals on study days, GED instruction and testing, internship and job placement, and wraparound services including identification, transportation, court support, and housing stability.</w:t>
      </w:r>
    </w:p>
    <w:p>
      <w:pPr>
        <w:spacing w:after="100" w:before="200"/>
      </w:pPr>
      <w:r>
        <w:rPr>
          <w:rFonts w:ascii="Calibri" w:cs="Calibri" w:eastAsia="Calibri" w:hAnsi="Calibri"/>
          <w:b/>
          <w:bCs/>
          <w:color w:val="2B2622"/>
          <w:sz w:val="22"/>
          <w:szCs w:val="22"/>
        </w:rPr>
        <w:t xml:space="preserve">Additional engagement</w:t>
      </w:r>
    </w:p>
    <w:p>
      <w:pPr>
        <w:pStyle w:val="ListParagraph"/>
        <w:numPr>
          <w:ilvl w:val="0"/>
          <w:numId w:val="3"/>
        </w:numPr>
        <w:spacing w:after="60" w:line="276"/>
      </w:pPr>
      <w:r>
        <w:rPr>
          <w:rFonts w:ascii="Calibri" w:cs="Calibri" w:eastAsia="Calibri" w:hAnsi="Calibri"/>
          <w:color w:val="2B2622"/>
          <w:sz w:val="22"/>
          <w:szCs w:val="22"/>
        </w:rPr>
        <w:t xml:space="preserve">[Licensee Name] will display information about GHP's programs and refer eligible young adults and families to GHP.</w:t>
      </w:r>
    </w:p>
    <w:p>
      <w:pPr>
        <w:pStyle w:val="ListParagraph"/>
        <w:numPr>
          <w:ilvl w:val="0"/>
          <w:numId w:val="3"/>
        </w:numPr>
        <w:spacing w:after="60" w:line="276"/>
      </w:pPr>
      <w:r>
        <w:rPr>
          <w:rFonts w:ascii="Calibri" w:cs="Calibri" w:eastAsia="Calibri" w:hAnsi="Calibri"/>
          <w:color w:val="2B2622"/>
          <w:sz w:val="22"/>
          <w:szCs w:val="22"/>
        </w:rPr>
        <w:t xml:space="preserve">[Licensee Name] will offer customers an optional round-up or donation prompt at checkout, with all proceeds directed to GHP.</w:t>
      </w:r>
    </w:p>
    <w:p>
      <w:pPr>
        <w:pStyle w:val="ListParagraph"/>
        <w:numPr>
          <w:ilvl w:val="0"/>
          <w:numId w:val="3"/>
        </w:numPr>
        <w:spacing w:after="60" w:line="276"/>
      </w:pPr>
      <w:r>
        <w:rPr>
          <w:rFonts w:ascii="Calibri" w:cs="Calibri" w:eastAsia="Calibri" w:hAnsi="Calibri"/>
          <w:color w:val="2B2622"/>
          <w:sz w:val="22"/>
          <w:szCs w:val="22"/>
        </w:rPr>
        <w:t xml:space="preserve">[Licensee Name] staff will contribute volunteer hours to GHP, including mock interviews, résumé support, and event assistance.</w:t>
      </w:r>
    </w:p>
    <w:p>
      <w:pPr>
        <w:pStyle w:val="ListParagraph"/>
        <w:numPr>
          <w:ilvl w:val="0"/>
          <w:numId w:val="3"/>
        </w:numPr>
        <w:spacing w:after="60" w:line="276"/>
      </w:pPr>
      <w:r>
        <w:rPr>
          <w:rFonts w:ascii="Calibri" w:cs="Calibri" w:eastAsia="Calibri" w:hAnsi="Calibri"/>
          <w:color w:val="2B2622"/>
          <w:sz w:val="22"/>
          <w:szCs w:val="22"/>
        </w:rPr>
        <w:t xml:space="preserve">[Licensee Name] will host or deliver career-readiness and small-business workshops for Beyond GED participants, with any on-premises activity limited to participants aged 21 and over in compliance with OCM rules.</w:t>
      </w:r>
    </w:p>
    <w:p>
      <w:pPr>
        <w:pStyle w:val="ListParagraph"/>
        <w:numPr>
          <w:ilvl w:val="0"/>
          <w:numId w:val="3"/>
        </w:numPr>
        <w:spacing w:after="60" w:line="276"/>
      </w:pPr>
      <w:r>
        <w:rPr>
          <w:rFonts w:ascii="Calibri" w:cs="Calibri" w:eastAsia="Calibri" w:hAnsi="Calibri"/>
          <w:color w:val="2B2622"/>
          <w:sz w:val="22"/>
          <w:szCs w:val="22"/>
        </w:rPr>
        <w:t xml:space="preserve">[Licensee Name] will designate a portion of its contribution to driving lessons and identification costs, removing transportation and documentation barriers to employment.</w:t>
      </w:r>
    </w:p>
    <w:p>
      <w:pPr>
        <w:pStyle w:val="ListParagraph"/>
        <w:numPr>
          <w:ilvl w:val="0"/>
          <w:numId w:val="3"/>
        </w:numPr>
        <w:spacing w:after="60" w:line="276"/>
      </w:pPr>
      <w:r>
        <w:rPr>
          <w:rFonts w:ascii="Calibri" w:cs="Calibri" w:eastAsia="Calibri" w:hAnsi="Calibri"/>
          <w:color w:val="2B2622"/>
          <w:sz w:val="22"/>
          <w:szCs w:val="22"/>
        </w:rPr>
        <w:t xml:space="preserve">[Licensee Name] will designate a portion of its contribution to participant stipends and hot meals on study days.</w:t>
      </w:r>
    </w:p>
    <w:p>
      <w:pPr>
        <w:spacing w:after="160" w:before="320"/>
      </w:pPr>
      <w:r>
        <w:rPr>
          <w:rFonts w:ascii="Georgia" w:cs="Georgia" w:eastAsia="Georgia" w:hAnsi="Georgia"/>
          <w:b/>
          <w:bCs/>
          <w:color w:val="9A3B1F"/>
          <w:sz w:val="24"/>
          <w:szCs w:val="24"/>
        </w:rPr>
        <w:t xml:space="preserve">How will you measure your program's success? Please describe both the qualitative and quantitative metrics you plan to use and how you'll gather this information.</w:t>
      </w:r>
    </w:p>
    <w:p>
      <w:pPr>
        <w:spacing w:after="100" w:before="200"/>
      </w:pPr>
      <w:r>
        <w:rPr>
          <w:rFonts w:ascii="Calibri" w:cs="Calibri" w:eastAsia="Calibri" w:hAnsi="Calibri"/>
          <w:b/>
          <w:bCs/>
          <w:color w:val="2B2622"/>
          <w:sz w:val="22"/>
          <w:szCs w:val="22"/>
        </w:rPr>
        <w:t xml:space="preserve">Qualitative</w:t>
      </w:r>
    </w:p>
    <w:p>
      <w:pPr>
        <w:spacing w:after="160" w:line="288"/>
      </w:pPr>
      <w:r>
        <w:rPr>
          <w:rFonts w:ascii="Calibri" w:cs="Calibri" w:eastAsia="Calibri" w:hAnsi="Calibri"/>
          <w:color w:val="2B2622"/>
          <w:sz w:val="22"/>
          <w:szCs w:val="22"/>
        </w:rPr>
        <w:t xml:space="preserve">Qualitative success will be measured through participant stories, feedback, and demonstrated growth in confidence, stability, and future orientation. Beyond GED creates a supportive, calm environment where young people feel safe re-engaging in education after negative experiences in traditional school settings. Participants consistently describe the program as a community where staff provide encouragement, mentorship, and individualized guidance.</w:t>
      </w:r>
    </w:p>
    <w:p>
      <w:pPr>
        <w:spacing w:after="160" w:line="288"/>
      </w:pPr>
      <w:r>
        <w:rPr>
          <w:rFonts w:ascii="Calibri" w:cs="Calibri" w:eastAsia="Calibri" w:hAnsi="Calibri"/>
          <w:color w:val="2B2622"/>
          <w:sz w:val="22"/>
          <w:szCs w:val="22"/>
        </w:rPr>
        <w:t xml:space="preserve">Students report gaining not only academic skills, but also practical life skills and motivation. One participant shared that Beyond GED provided “a comfortable space where I can focus, study, and grab some snacks,” while also helping them secure an ID, open a bank account, and find employment. Another student described the program as “one of the best decisions I've made for my future,” emphasizing the unwavering support that kept them from giving up.</w:t>
      </w:r>
    </w:p>
    <w:p>
      <w:pPr>
        <w:spacing w:after="160" w:line="288"/>
      </w:pPr>
      <w:r>
        <w:rPr>
          <w:rFonts w:ascii="Calibri" w:cs="Calibri" w:eastAsia="Calibri" w:hAnsi="Calibri"/>
          <w:color w:val="2B2622"/>
          <w:sz w:val="22"/>
          <w:szCs w:val="22"/>
        </w:rPr>
        <w:t xml:space="preserve">Parents also highlight the program's impact, noting that youth who previously struggled to attend school are now consistently showing up, completing work, and passing exams. Families value the wraparound support Beyond GED provides, including court accompaniment, job assistance, and emotional encouragement. As one parent shared, “It's been heaven sent for my child, and without this program I am not sure where my son would be.”</w:t>
      </w:r>
    </w:p>
    <w:p>
      <w:pPr>
        <w:spacing w:after="160" w:line="288"/>
      </w:pPr>
      <w:r>
        <w:rPr>
          <w:rFonts w:ascii="Calibri" w:cs="Calibri" w:eastAsia="Calibri" w:hAnsi="Calibri"/>
          <w:color w:val="2B2622"/>
          <w:sz w:val="22"/>
          <w:szCs w:val="22"/>
        </w:rPr>
        <w:t xml:space="preserve">These qualitative measures, combined with participant interviews, retention patterns, and ongoing feedback, ensure the program is not only achieving outcomes, but also transforming how young people see themselves, their education, and their future.</w:t>
      </w:r>
    </w:p>
    <w:p>
      <w:pPr>
        <w:spacing w:after="100" w:before="200"/>
      </w:pPr>
      <w:r>
        <w:rPr>
          <w:rFonts w:ascii="Calibri" w:cs="Calibri" w:eastAsia="Calibri" w:hAnsi="Calibri"/>
          <w:b/>
          <w:bCs/>
          <w:color w:val="2B2622"/>
          <w:sz w:val="22"/>
          <w:szCs w:val="22"/>
        </w:rPr>
        <w:t xml:space="preserve">Quantitative</w:t>
      </w:r>
    </w:p>
    <w:p>
      <w:pPr>
        <w:spacing w:after="160" w:line="288"/>
      </w:pPr>
      <w:r>
        <w:rPr>
          <w:rFonts w:ascii="Calibri" w:cs="Calibri" w:eastAsia="Calibri" w:hAnsi="Calibri"/>
          <w:color w:val="2B2622"/>
          <w:sz w:val="22"/>
          <w:szCs w:val="22"/>
        </w:rPr>
        <w:t xml:space="preserve">The success of the Beyond GED program will be measured through clear, quantitative outcomes across education, employment, stability, and barrier reduction for Opportunity Youth ages 16 to 24.</w:t>
      </w:r>
    </w:p>
    <w:p>
      <w:pPr>
        <w:spacing w:after="100" w:before="200"/>
      </w:pPr>
      <w:r>
        <w:rPr>
          <w:rFonts w:ascii="Calibri" w:cs="Calibri" w:eastAsia="Calibri" w:hAnsi="Calibri"/>
          <w:b/>
          <w:bCs/>
          <w:color w:val="2B2622"/>
          <w:sz w:val="22"/>
          <w:szCs w:val="22"/>
        </w:rPr>
        <w:t xml:space="preserve">Participant Demographics and Reach</w:t>
      </w:r>
    </w:p>
    <w:p>
      <w:pPr>
        <w:spacing w:after="160" w:line="288"/>
      </w:pPr>
      <w:r>
        <w:rPr>
          <w:rFonts w:ascii="Calibri" w:cs="Calibri" w:eastAsia="Calibri" w:hAnsi="Calibri"/>
          <w:color w:val="2B2622"/>
          <w:sz w:val="22"/>
          <w:szCs w:val="22"/>
        </w:rPr>
        <w:t xml:space="preserve">In 2025, 90 percent of participants identified as BIPOC, and 70 percent identified as male and 30 percent as female. These figures reflect the program's focus on serving youth who are disproportionately impacted by poverty, school disengagement, and justice system involvement.</w:t>
      </w:r>
    </w:p>
    <w:p>
      <w:pPr>
        <w:spacing w:after="100" w:before="200"/>
      </w:pPr>
      <w:r>
        <w:rPr>
          <w:rFonts w:ascii="Calibri" w:cs="Calibri" w:eastAsia="Calibri" w:hAnsi="Calibri"/>
          <w:b/>
          <w:bCs/>
          <w:color w:val="2B2622"/>
          <w:sz w:val="22"/>
          <w:szCs w:val="22"/>
        </w:rPr>
        <w:t xml:space="preserve">Educational Outcomes</w:t>
      </w:r>
    </w:p>
    <w:p>
      <w:pPr>
        <w:spacing w:after="160" w:line="288"/>
      </w:pPr>
      <w:r>
        <w:rPr>
          <w:rFonts w:ascii="Calibri" w:cs="Calibri" w:eastAsia="Calibri" w:hAnsi="Calibri"/>
          <w:color w:val="2B2622"/>
          <w:sz w:val="22"/>
          <w:szCs w:val="22"/>
        </w:rPr>
        <w:t xml:space="preserve">Educational attainment is a primary success metric. In 2025:</w:t>
      </w:r>
    </w:p>
    <w:p>
      <w:pPr>
        <w:pStyle w:val="ListParagraph"/>
        <w:numPr>
          <w:ilvl w:val="0"/>
          <w:numId w:val="3"/>
        </w:numPr>
        <w:spacing w:after="60" w:line="276"/>
      </w:pPr>
      <w:r>
        <w:rPr>
          <w:rFonts w:ascii="Calibri" w:cs="Calibri" w:eastAsia="Calibri" w:hAnsi="Calibri"/>
          <w:color w:val="2B2622"/>
          <w:sz w:val="22"/>
          <w:szCs w:val="22"/>
        </w:rPr>
        <w:t xml:space="preserve">20 Opportunity Youth were enrolled</w:t>
      </w:r>
    </w:p>
    <w:p>
      <w:pPr>
        <w:pStyle w:val="ListParagraph"/>
        <w:numPr>
          <w:ilvl w:val="0"/>
          <w:numId w:val="3"/>
        </w:numPr>
        <w:spacing w:after="60" w:line="276"/>
      </w:pPr>
      <w:r>
        <w:rPr>
          <w:rFonts w:ascii="Calibri" w:cs="Calibri" w:eastAsia="Calibri" w:hAnsi="Calibri"/>
          <w:color w:val="2B2622"/>
          <w:sz w:val="22"/>
          <w:szCs w:val="22"/>
        </w:rPr>
        <w:t xml:space="preserve">34 GED tests were taken</w:t>
      </w:r>
    </w:p>
    <w:p>
      <w:pPr>
        <w:pStyle w:val="ListParagraph"/>
        <w:numPr>
          <w:ilvl w:val="0"/>
          <w:numId w:val="3"/>
        </w:numPr>
        <w:spacing w:after="60" w:line="276"/>
      </w:pPr>
      <w:r>
        <w:rPr>
          <w:rFonts w:ascii="Calibri" w:cs="Calibri" w:eastAsia="Calibri" w:hAnsi="Calibri"/>
          <w:color w:val="2B2622"/>
          <w:sz w:val="22"/>
          <w:szCs w:val="22"/>
        </w:rPr>
        <w:t xml:space="preserve">6 participants earned their GED in 2025</w:t>
      </w:r>
    </w:p>
    <w:p>
      <w:pPr>
        <w:pStyle w:val="ListParagraph"/>
        <w:numPr>
          <w:ilvl w:val="0"/>
          <w:numId w:val="3"/>
        </w:numPr>
        <w:spacing w:after="60" w:line="276"/>
      </w:pPr>
      <w:r>
        <w:rPr>
          <w:rFonts w:ascii="Calibri" w:cs="Calibri" w:eastAsia="Calibri" w:hAnsi="Calibri"/>
          <w:color w:val="2B2622"/>
          <w:sz w:val="22"/>
          <w:szCs w:val="22"/>
        </w:rPr>
        <w:t xml:space="preserve">11 participants have earned their GED since program inception</w:t>
      </w:r>
    </w:p>
    <w:p>
      <w:pPr>
        <w:spacing w:after="160" w:line="288"/>
      </w:pPr>
      <w:r>
        <w:rPr>
          <w:rFonts w:ascii="Calibri" w:cs="Calibri" w:eastAsia="Calibri" w:hAnsi="Calibri"/>
          <w:color w:val="2B2622"/>
          <w:sz w:val="22"/>
          <w:szCs w:val="22"/>
        </w:rPr>
        <w:t xml:space="preserve">Tracking includes number of participants enrolled, number of GED tests scheduled and completed, subject test pass rates, and total GED credentials earned annually and cumulatively. Progress toward completion is monitored weekly through attendance, testing benchmarks, and individualized academic plans.</w:t>
      </w:r>
    </w:p>
    <w:p>
      <w:pPr>
        <w:spacing w:after="100" w:before="200"/>
      </w:pPr>
      <w:r>
        <w:rPr>
          <w:rFonts w:ascii="Calibri" w:cs="Calibri" w:eastAsia="Calibri" w:hAnsi="Calibri"/>
          <w:b/>
          <w:bCs/>
          <w:color w:val="2B2622"/>
          <w:sz w:val="22"/>
          <w:szCs w:val="22"/>
        </w:rPr>
        <w:t xml:space="preserve">Employment Outcomes</w:t>
      </w:r>
    </w:p>
    <w:p>
      <w:pPr>
        <w:spacing w:after="160" w:line="288"/>
      </w:pPr>
      <w:r>
        <w:rPr>
          <w:rFonts w:ascii="Calibri" w:cs="Calibri" w:eastAsia="Calibri" w:hAnsi="Calibri"/>
          <w:color w:val="2B2622"/>
          <w:sz w:val="22"/>
          <w:szCs w:val="22"/>
        </w:rPr>
        <w:t xml:space="preserve">Workforce engagement is another core indicator of success. In 2025:</w:t>
      </w:r>
    </w:p>
    <w:p>
      <w:pPr>
        <w:pStyle w:val="ListParagraph"/>
        <w:numPr>
          <w:ilvl w:val="0"/>
          <w:numId w:val="3"/>
        </w:numPr>
        <w:spacing w:after="60" w:line="276"/>
      </w:pPr>
      <w:r>
        <w:rPr>
          <w:rFonts w:ascii="Calibri" w:cs="Calibri" w:eastAsia="Calibri" w:hAnsi="Calibri"/>
          <w:color w:val="2B2622"/>
          <w:sz w:val="22"/>
          <w:szCs w:val="22"/>
        </w:rPr>
        <w:t xml:space="preserve">16 participants gained employment</w:t>
      </w:r>
    </w:p>
    <w:p>
      <w:pPr>
        <w:spacing w:after="160" w:line="288"/>
      </w:pPr>
      <w:r>
        <w:rPr>
          <w:rFonts w:ascii="Calibri" w:cs="Calibri" w:eastAsia="Calibri" w:hAnsi="Calibri"/>
          <w:color w:val="2B2622"/>
          <w:sz w:val="22"/>
          <w:szCs w:val="22"/>
        </w:rPr>
        <w:t xml:space="preserve">We measure job placement rates, job retention, and transitions into vocational training or postsecondary education. Employment is defined as obtaining part time or full time work after enrollment in the program.</w:t>
      </w:r>
    </w:p>
    <w:p>
      <w:pPr>
        <w:spacing w:after="100" w:before="200"/>
      </w:pPr>
      <w:r>
        <w:rPr>
          <w:rFonts w:ascii="Calibri" w:cs="Calibri" w:eastAsia="Calibri" w:hAnsi="Calibri"/>
          <w:b/>
          <w:bCs/>
          <w:color w:val="2B2622"/>
          <w:sz w:val="22"/>
          <w:szCs w:val="22"/>
        </w:rPr>
        <w:t xml:space="preserve">Barrier Reduction and Stability Metrics</w:t>
      </w:r>
    </w:p>
    <w:p>
      <w:pPr>
        <w:spacing w:after="160" w:line="288"/>
      </w:pPr>
      <w:r>
        <w:rPr>
          <w:rFonts w:ascii="Calibri" w:cs="Calibri" w:eastAsia="Calibri" w:hAnsi="Calibri"/>
          <w:color w:val="2B2622"/>
          <w:sz w:val="22"/>
          <w:szCs w:val="22"/>
        </w:rPr>
        <w:t xml:space="preserve">Because Opportunity Youth often face structural barriers that prevent persistence, we measure tangible stability supports that remove obstacles to education and employment. In 2025:</w:t>
      </w:r>
    </w:p>
    <w:p>
      <w:pPr>
        <w:pStyle w:val="ListParagraph"/>
        <w:numPr>
          <w:ilvl w:val="0"/>
          <w:numId w:val="3"/>
        </w:numPr>
        <w:spacing w:after="60" w:line="276"/>
      </w:pPr>
      <w:r>
        <w:rPr>
          <w:rFonts w:ascii="Calibri" w:cs="Calibri" w:eastAsia="Calibri" w:hAnsi="Calibri"/>
          <w:color w:val="2B2622"/>
          <w:sz w:val="22"/>
          <w:szCs w:val="22"/>
        </w:rPr>
        <w:t xml:space="preserve">20 participants received DMV identification cards</w:t>
      </w:r>
    </w:p>
    <w:p>
      <w:pPr>
        <w:pStyle w:val="ListParagraph"/>
        <w:numPr>
          <w:ilvl w:val="0"/>
          <w:numId w:val="3"/>
        </w:numPr>
        <w:spacing w:after="60" w:line="276"/>
      </w:pPr>
      <w:r>
        <w:rPr>
          <w:rFonts w:ascii="Calibri" w:cs="Calibri" w:eastAsia="Calibri" w:hAnsi="Calibri"/>
          <w:color w:val="2B2622"/>
          <w:sz w:val="22"/>
          <w:szCs w:val="22"/>
        </w:rPr>
        <w:t xml:space="preserve">4 participants opened bank accounts</w:t>
      </w:r>
    </w:p>
    <w:p>
      <w:pPr>
        <w:pStyle w:val="ListParagraph"/>
        <w:numPr>
          <w:ilvl w:val="0"/>
          <w:numId w:val="3"/>
        </w:numPr>
        <w:spacing w:after="60" w:line="276"/>
      </w:pPr>
      <w:r>
        <w:rPr>
          <w:rFonts w:ascii="Calibri" w:cs="Calibri" w:eastAsia="Calibri" w:hAnsi="Calibri"/>
          <w:color w:val="2B2622"/>
          <w:sz w:val="22"/>
          <w:szCs w:val="22"/>
        </w:rPr>
        <w:t xml:space="preserve">30+ professional driving lessons were scheduled and attended, in partnership with RIMS Driving School and the Spark of Hudson; 2 participants passed the permit exam and 2 passed the road test</w:t>
      </w:r>
    </w:p>
    <w:p>
      <w:pPr>
        <w:pStyle w:val="ListParagraph"/>
        <w:numPr>
          <w:ilvl w:val="0"/>
          <w:numId w:val="3"/>
        </w:numPr>
        <w:spacing w:after="60" w:line="276"/>
      </w:pPr>
      <w:r>
        <w:rPr>
          <w:rFonts w:ascii="Calibri" w:cs="Calibri" w:eastAsia="Calibri" w:hAnsi="Calibri"/>
          <w:color w:val="2B2622"/>
          <w:sz w:val="22"/>
          <w:szCs w:val="22"/>
        </w:rPr>
        <w:t xml:space="preserve">6 court supports were provided</w:t>
      </w:r>
    </w:p>
    <w:p>
      <w:pPr>
        <w:pStyle w:val="ListParagraph"/>
        <w:numPr>
          <w:ilvl w:val="0"/>
          <w:numId w:val="3"/>
        </w:numPr>
        <w:spacing w:after="60" w:line="276"/>
      </w:pPr>
      <w:r>
        <w:rPr>
          <w:rFonts w:ascii="Calibri" w:cs="Calibri" w:eastAsia="Calibri" w:hAnsi="Calibri"/>
          <w:color w:val="2B2622"/>
          <w:sz w:val="22"/>
          <w:szCs w:val="22"/>
        </w:rPr>
        <w:t xml:space="preserve">4 eviction prevention supports were provided</w:t>
      </w:r>
    </w:p>
    <w:p>
      <w:pPr>
        <w:pStyle w:val="ListParagraph"/>
        <w:numPr>
          <w:ilvl w:val="0"/>
          <w:numId w:val="3"/>
        </w:numPr>
        <w:spacing w:after="60" w:line="276"/>
      </w:pPr>
      <w:r>
        <w:rPr>
          <w:rFonts w:ascii="Calibri" w:cs="Calibri" w:eastAsia="Calibri" w:hAnsi="Calibri"/>
          <w:color w:val="2B2622"/>
          <w:sz w:val="22"/>
          <w:szCs w:val="22"/>
        </w:rPr>
        <w:t xml:space="preserve">3 participants were connected to mental health services</w:t>
      </w:r>
    </w:p>
    <w:p>
      <w:pPr>
        <w:spacing w:after="160" w:line="288"/>
      </w:pPr>
      <w:r>
        <w:rPr>
          <w:rFonts w:ascii="Calibri" w:cs="Calibri" w:eastAsia="Calibri" w:hAnsi="Calibri"/>
          <w:color w:val="2B2622"/>
          <w:sz w:val="22"/>
          <w:szCs w:val="22"/>
        </w:rPr>
        <w:t xml:space="preserve">These indicators are critical benchmarks of progress. Obtaining identification, securing housing stability, resolving legal issues, accessing transportation, and receiving mental health support directly correlate with improved attendance, persistence, and employment readiness.</w:t>
      </w:r>
    </w:p>
    <w:p>
      <w:pPr>
        <w:spacing w:after="100" w:before="200"/>
      </w:pPr>
      <w:r>
        <w:rPr>
          <w:rFonts w:ascii="Calibri" w:cs="Calibri" w:eastAsia="Calibri" w:hAnsi="Calibri"/>
          <w:b/>
          <w:bCs/>
          <w:color w:val="2B2622"/>
          <w:sz w:val="22"/>
          <w:szCs w:val="22"/>
        </w:rPr>
        <w:t xml:space="preserve">Justice System Diversion and Recidivism</w:t>
      </w:r>
    </w:p>
    <w:p>
      <w:pPr>
        <w:spacing w:after="160" w:line="288"/>
      </w:pPr>
      <w:r>
        <w:rPr>
          <w:rFonts w:ascii="Calibri" w:cs="Calibri" w:eastAsia="Calibri" w:hAnsi="Calibri"/>
          <w:color w:val="2B2622"/>
          <w:sz w:val="22"/>
          <w:szCs w:val="22"/>
        </w:rPr>
        <w:t xml:space="preserve">A key long term metric is reduced justice system involvement. Since launching in 2022, none of the participants who completed the program have re-entered the justice system. We track court involvement, compliance with legal requirements, and post program outcomes.</w:t>
      </w:r>
    </w:p>
    <w:p>
      <w:pPr>
        <w:spacing w:after="100" w:before="200"/>
      </w:pPr>
      <w:r>
        <w:rPr>
          <w:rFonts w:ascii="Calibri" w:cs="Calibri" w:eastAsia="Calibri" w:hAnsi="Calibri"/>
          <w:b/>
          <w:bCs/>
          <w:color w:val="2B2622"/>
          <w:sz w:val="22"/>
          <w:szCs w:val="22"/>
        </w:rPr>
        <w:t xml:space="preserve">Overall Program Performance Indicators</w:t>
      </w:r>
    </w:p>
    <w:p>
      <w:pPr>
        <w:spacing w:after="160" w:line="288"/>
      </w:pPr>
      <w:r>
        <w:rPr>
          <w:rFonts w:ascii="Calibri" w:cs="Calibri" w:eastAsia="Calibri" w:hAnsi="Calibri"/>
          <w:color w:val="2B2622"/>
          <w:sz w:val="22"/>
          <w:szCs w:val="22"/>
        </w:rPr>
        <w:t xml:space="preserve">Program success will continue to be measured through:</w:t>
      </w:r>
    </w:p>
    <w:p>
      <w:pPr>
        <w:pStyle w:val="ListParagraph"/>
        <w:numPr>
          <w:ilvl w:val="0"/>
          <w:numId w:val="3"/>
        </w:numPr>
        <w:spacing w:after="60" w:line="276"/>
      </w:pPr>
      <w:r>
        <w:rPr>
          <w:rFonts w:ascii="Calibri" w:cs="Calibri" w:eastAsia="Calibri" w:hAnsi="Calibri"/>
          <w:color w:val="2B2622"/>
          <w:sz w:val="22"/>
          <w:szCs w:val="22"/>
        </w:rPr>
        <w:t xml:space="preserve">GED completion rate</w:t>
      </w:r>
    </w:p>
    <w:p>
      <w:pPr>
        <w:pStyle w:val="ListParagraph"/>
        <w:numPr>
          <w:ilvl w:val="0"/>
          <w:numId w:val="3"/>
        </w:numPr>
        <w:spacing w:after="60" w:line="276"/>
      </w:pPr>
      <w:r>
        <w:rPr>
          <w:rFonts w:ascii="Calibri" w:cs="Calibri" w:eastAsia="Calibri" w:hAnsi="Calibri"/>
          <w:color w:val="2B2622"/>
          <w:sz w:val="22"/>
          <w:szCs w:val="22"/>
        </w:rPr>
        <w:t xml:space="preserve">Employment placement rate</w:t>
      </w:r>
    </w:p>
    <w:p>
      <w:pPr>
        <w:pStyle w:val="ListParagraph"/>
        <w:numPr>
          <w:ilvl w:val="0"/>
          <w:numId w:val="3"/>
        </w:numPr>
        <w:spacing w:after="60" w:line="276"/>
      </w:pPr>
      <w:r>
        <w:rPr>
          <w:rFonts w:ascii="Calibri" w:cs="Calibri" w:eastAsia="Calibri" w:hAnsi="Calibri"/>
          <w:color w:val="2B2622"/>
          <w:sz w:val="22"/>
          <w:szCs w:val="22"/>
        </w:rPr>
        <w:t xml:space="preserve">Post secondary enrollment rate</w:t>
      </w:r>
    </w:p>
    <w:p>
      <w:pPr>
        <w:pStyle w:val="ListParagraph"/>
        <w:numPr>
          <w:ilvl w:val="0"/>
          <w:numId w:val="3"/>
        </w:numPr>
        <w:spacing w:after="60" w:line="276"/>
      </w:pPr>
      <w:r>
        <w:rPr>
          <w:rFonts w:ascii="Calibri" w:cs="Calibri" w:eastAsia="Calibri" w:hAnsi="Calibri"/>
          <w:color w:val="2B2622"/>
          <w:sz w:val="22"/>
          <w:szCs w:val="22"/>
        </w:rPr>
        <w:t xml:space="preserve">Percentage of participants receiving critical support services</w:t>
      </w:r>
    </w:p>
    <w:p>
      <w:pPr>
        <w:pStyle w:val="ListParagraph"/>
        <w:numPr>
          <w:ilvl w:val="0"/>
          <w:numId w:val="3"/>
        </w:numPr>
        <w:spacing w:after="60" w:line="276"/>
      </w:pPr>
      <w:r>
        <w:rPr>
          <w:rFonts w:ascii="Calibri" w:cs="Calibri" w:eastAsia="Calibri" w:hAnsi="Calibri"/>
          <w:color w:val="2B2622"/>
          <w:sz w:val="22"/>
          <w:szCs w:val="22"/>
        </w:rPr>
        <w:t xml:space="preserve">Reduction in justice system involvement</w:t>
      </w:r>
    </w:p>
    <w:p>
      <w:pPr>
        <w:pStyle w:val="ListParagraph"/>
        <w:numPr>
          <w:ilvl w:val="0"/>
          <w:numId w:val="3"/>
        </w:numPr>
        <w:spacing w:after="60" w:line="276"/>
      </w:pPr>
      <w:r>
        <w:rPr>
          <w:rFonts w:ascii="Calibri" w:cs="Calibri" w:eastAsia="Calibri" w:hAnsi="Calibri"/>
          <w:color w:val="2B2622"/>
          <w:sz w:val="22"/>
          <w:szCs w:val="22"/>
        </w:rPr>
        <w:t xml:space="preserve">Participant retention and persistence rates</w:t>
      </w:r>
    </w:p>
    <w:p>
      <w:pPr>
        <w:spacing w:after="160" w:line="288"/>
      </w:pPr>
      <w:r>
        <w:rPr>
          <w:rFonts w:ascii="Calibri" w:cs="Calibri" w:eastAsia="Calibri" w:hAnsi="Calibri"/>
          <w:color w:val="2B2622"/>
          <w:sz w:val="22"/>
          <w:szCs w:val="22"/>
        </w:rPr>
        <w:t xml:space="preserve">By combining academic metrics with employment outcomes and stability indicators, Beyond GED evaluates success holistically. The data demonstrates measurable progress in reconnecting Opportunity Youth to education, employment, and long term economic mobility.</w:t>
      </w:r>
    </w:p>
    <w:p>
      <w:pPr>
        <w:spacing w:after="160" w:before="320"/>
      </w:pPr>
      <w:r>
        <w:rPr>
          <w:rFonts w:ascii="Georgia" w:cs="Georgia" w:eastAsia="Georgia" w:hAnsi="Georgia"/>
          <w:b/>
          <w:bCs/>
          <w:color w:val="9A3B1F"/>
          <w:sz w:val="24"/>
          <w:szCs w:val="24"/>
        </w:rPr>
        <w:t xml:space="preserve">Reporting and Accountability</w:t>
      </w:r>
    </w:p>
    <w:p>
      <w:pPr>
        <w:spacing w:after="160" w:line="288"/>
      </w:pPr>
      <w:r>
        <w:rPr>
          <w:rFonts w:ascii="Calibri" w:cs="Calibri" w:eastAsia="Calibri" w:hAnsi="Calibri"/>
          <w:color w:val="2B2622"/>
          <w:sz w:val="22"/>
          <w:szCs w:val="22"/>
        </w:rPr>
        <w:t xml:space="preserve">GHP will provide [Licensee Name] with an annual impact summary covering the metrics above, along with acknowledgment of contributions received. [Licensee Name] will retain these records, together with proof of each contribution, to document plan implementation at license renewal.</w:t>
      </w:r>
    </w:p>
    <w:p>
      <w:pPr>
        <w:spacing w:before="480"/>
      </w:pPr>
    </w:p>
    <w:tbl>
      <w:tblPr>
        <w:tblW w:type="pct" w:w="5000"/>
        <w:tblBorders>
          <w:top w:val="none" w:color="FFFFFF" w:sz="0"/>
          <w:left w:val="none" w:color="FFFFFF" w:sz="0"/>
          <w:bottom w:val="none" w:color="FFFFFF" w:sz="0"/>
          <w:right w:val="none" w:color="FFFFFF" w:sz="0"/>
          <w:insideH w:val="single" w:color="E4DCD2" w:sz="2"/>
          <w:insideV w:val="none" w:color="FFFFFF" w:sz="0"/>
        </w:tblBorders>
      </w:tblPr>
      <w:tblGrid>
        <w:gridCol w:w="2995"/>
        <w:gridCol w:w="6365"/>
      </w:tblGrid>
      <w:tr>
        <w:tc>
          <w:tcPr>
            <w:tcW w:type="pct" w:w="1600"/>
            <w:tcMar>
              <w:top w:type="dxa" w:w="60"/>
              <w:bottom w:type="dxa" w:w="60"/>
            </w:tcMar>
          </w:tcPr>
          <w:p>
            <w:r>
              <w:rPr>
                <w:rFonts w:ascii="Calibri" w:cs="Calibri" w:eastAsia="Calibri" w:hAnsi="Calibri"/>
                <w:b/>
                <w:bCs/>
                <w:color w:val="6B5F55"/>
                <w:sz w:val="20"/>
                <w:szCs w:val="20"/>
              </w:rPr>
              <w:t xml:space="preserve">Submitted by</w:t>
            </w:r>
          </w:p>
        </w:tc>
        <w:tc>
          <w:tcPr>
            <w:tcW w:type="pct" w:w="3400"/>
            <w:tcMar>
              <w:top w:type="dxa" w:w="60"/>
              <w:bottom w:type="dxa" w:w="60"/>
            </w:tcMar>
          </w:tcPr>
          <w:p>
            <w:r>
              <w:rPr>
                <w:rFonts w:ascii="Calibri" w:cs="Calibri" w:eastAsia="Calibri" w:hAnsi="Calibri"/>
                <w:color w:val="2B2622"/>
                <w:sz w:val="22"/>
                <w:szCs w:val="22"/>
              </w:rPr>
              <w:t xml:space="preserve">[Signer Name], [Signer Title]</w:t>
            </w:r>
          </w:p>
        </w:tc>
      </w:tr>
      <w:tr>
        <w:tc>
          <w:tcPr>
            <w:tcW w:type="pct" w:w="1600"/>
            <w:tcMar>
              <w:top w:type="dxa" w:w="60"/>
              <w:bottom w:type="dxa" w:w="60"/>
            </w:tcMar>
          </w:tcPr>
          <w:p>
            <w:r>
              <w:rPr>
                <w:rFonts w:ascii="Calibri" w:cs="Calibri" w:eastAsia="Calibri" w:hAnsi="Calibri"/>
                <w:b/>
                <w:bCs/>
                <w:color w:val="6B5F55"/>
                <w:sz w:val="20"/>
                <w:szCs w:val="20"/>
              </w:rPr>
              <w:t xml:space="preserve">For</w:t>
            </w:r>
          </w:p>
        </w:tc>
        <w:tc>
          <w:tcPr>
            <w:tcW w:type="pct" w:w="3400"/>
            <w:tcMar>
              <w:top w:type="dxa" w:w="60"/>
              <w:bottom w:type="dxa" w:w="60"/>
            </w:tcMar>
          </w:tcPr>
          <w:p>
            <w:r>
              <w:rPr>
                <w:rFonts w:ascii="Calibri" w:cs="Calibri" w:eastAsia="Calibri" w:hAnsi="Calibri"/>
                <w:color w:val="2B2622"/>
                <w:sz w:val="22"/>
                <w:szCs w:val="22"/>
              </w:rPr>
              <w:t xml:space="preserve">[Licensee Name]</w:t>
            </w:r>
          </w:p>
        </w:tc>
      </w:tr>
      <w:tr>
        <w:tc>
          <w:tcPr>
            <w:tcW w:type="pct" w:w="1600"/>
            <w:tcMar>
              <w:top w:type="dxa" w:w="60"/>
              <w:bottom w:type="dxa" w:w="60"/>
            </w:tcMar>
          </w:tcPr>
          <w:p>
            <w:r>
              <w:rPr>
                <w:rFonts w:ascii="Calibri" w:cs="Calibri" w:eastAsia="Calibri" w:hAnsi="Calibri"/>
                <w:b/>
                <w:bCs/>
                <w:color w:val="6B5F55"/>
                <w:sz w:val="20"/>
                <w:szCs w:val="20"/>
              </w:rPr>
              <w:t xml:space="preserve">Date</w:t>
            </w:r>
          </w:p>
        </w:tc>
        <w:tc>
          <w:tcPr>
            <w:tcW w:type="pct" w:w="3400"/>
            <w:tcMar>
              <w:top w:type="dxa" w:w="60"/>
              <w:bottom w:type="dxa" w:w="60"/>
            </w:tcMar>
          </w:tcPr>
          <w:p>
            <w:r>
              <w:rPr>
                <w:rFonts w:ascii="Calibri" w:cs="Calibri" w:eastAsia="Calibri" w:hAnsi="Calibri"/>
                <w:color w:val="2B2622"/>
                <w:sz w:val="22"/>
                <w:szCs w:val="22"/>
              </w:rPr>
              <w:t xml:space="preserve">October 19, 2026</w:t>
            </w:r>
          </w:p>
        </w:tc>
      </w:tr>
    </w:tbl>
    <w:p>
      <w:pPr>
        <w:pageBreakBefore/>
        <w:spacing w:after="80"/>
      </w:pPr>
      <w:r>
        <w:rPr>
          <w:rFonts w:ascii="Georgia" w:cs="Georgia" w:eastAsia="Georgia" w:hAnsi="Georgia"/>
          <w:color w:val="2B2622"/>
          <w:sz w:val="40"/>
          <w:szCs w:val="40"/>
        </w:rPr>
        <w:t xml:space="preserve">Renewal Application Guide</w:t>
      </w:r>
    </w:p>
    <w:p>
      <w:pPr>
        <w:spacing w:after="240"/>
      </w:pPr>
      <w:r>
        <w:rPr>
          <w:rFonts w:ascii="Calibri" w:cs="Calibri" w:eastAsia="Calibri" w:hAnsi="Calibri"/>
          <w:color w:val="6B5F55"/>
          <w:sz w:val="22"/>
          <w:szCs w:val="22"/>
        </w:rPr>
        <w:t xml:space="preserve">Community Impact Plan section  ·  [Licensee Name]</w:t>
      </w:r>
    </w:p>
    <w:p>
      <w:pPr>
        <w:spacing w:after="160" w:line="288"/>
      </w:pPr>
      <w:r>
        <w:rPr>
          <w:rFonts w:ascii="Calibri" w:cs="Calibri" w:eastAsia="Calibri" w:hAnsi="Calibri"/>
          <w:i/>
          <w:iCs/>
          <w:color w:val="2B2622"/>
          <w:sz w:val="22"/>
          <w:szCs w:val="22"/>
        </w:rPr>
        <w:t xml:space="preserve">Your OCM renewal application includes a Community Impact Plan section with the questions below. We’ve drafted suggested responses based on your partnership with Greater Hudson Promise. Review each one, adjust anything that doesn’t reflect your business, and paste it into the portal yourself.</w:t>
      </w:r>
    </w:p>
    <w:p>
      <w:pPr>
        <w:spacing w:after="160" w:line="288"/>
      </w:pPr>
      <w:r>
        <w:rPr>
          <w:rFonts w:ascii="Calibri" w:cs="Calibri" w:eastAsia="Calibri" w:hAnsi="Calibri"/>
          <w:i/>
          <w:iCs/>
          <w:color w:val="2B2622"/>
          <w:sz w:val="22"/>
          <w:szCs w:val="22"/>
        </w:rPr>
        <w:t xml:space="preserve">OCM Community Impact Plan guidance (PDF): https://cannabis.ny.gov/system/files/documents/2026/03/3.27.26-community-impact-plan-guidance.pdf</w:t>
      </w:r>
    </w:p>
    <w:p>
      <w:pPr>
        <w:spacing w:after="160" w:line="288"/>
      </w:pPr>
      <w:r>
        <w:rPr>
          <w:rFonts w:ascii="Calibri" w:cs="Calibri" w:eastAsia="Calibri" w:hAnsi="Calibri"/>
          <w:b/>
          <w:bCs/>
          <w:color w:val="2B2622"/>
          <w:sz w:val="22"/>
          <w:szCs w:val="22"/>
        </w:rPr>
        <w:t xml:space="preserve">Please review before submitting. The Community Impact Plan and renewal application responses provided here are a suggested draft for your review. Each licensee is solely responsible for reviewing, editing, and approving its own submission to the Office of Cannabis Management, and for the accuracy and completeness of everything it submits. Greater Hudson Promise and its volunteers do not provide legal or tax advice.</w:t>
      </w:r>
    </w:p>
    <w:p>
      <w:pPr>
        <w:keepNext/>
        <w:spacing w:after="120" w:before="320"/>
      </w:pPr>
      <w:r>
        <w:rPr>
          <w:rFonts w:ascii="Georgia" w:cs="Georgia" w:eastAsia="Georgia" w:hAnsi="Georgia"/>
          <w:b/>
          <w:bCs/>
          <w:color w:val="9A3B1F"/>
          <w:sz w:val="22"/>
          <w:szCs w:val="22"/>
        </w:rPr>
        <w:t xml:space="preserve">1.  </w:t>
      </w:r>
      <w:r>
        <w:rPr>
          <w:rFonts w:ascii="Calibri" w:cs="Calibri" w:eastAsia="Calibri" w:hAnsi="Calibri"/>
          <w:b/>
          <w:bCs/>
          <w:color w:val="2B2622"/>
          <w:sz w:val="22"/>
          <w:szCs w:val="22"/>
        </w:rPr>
        <w:t xml:space="preserve">Please provide high level summary of your plan. What problem or need does your community impact plan seek to address? Please include any relevant data.</w:t>
      </w:r>
    </w:p>
    <w:p>
      <w:pPr>
        <w:spacing w:after="100" w:line="288"/>
      </w:pPr>
      <w:r>
        <w:rPr>
          <w:rFonts w:ascii="Calibri" w:cs="Calibri" w:eastAsia="Calibri" w:hAnsi="Calibri"/>
          <w:color w:val="2B2622"/>
          <w:sz w:val="22"/>
          <w:szCs w:val="22"/>
        </w:rPr>
        <w:t xml:space="preserve">The [Licensee Name]/Greater Hudson Promise (GHP) partnership addresses the urgent challenge facing Opportunity Youth in the city of Hudson, NY and Columbia County. Many of the families served have been disproportionately affected by the War on Drugs and its long-term economic and social consequences, contributing to school disengagement, economic instability, and higher rates of justice system involvement among young people of color.</w:t>
      </w:r>
    </w:p>
    <w:p>
      <w:pPr>
        <w:spacing w:after="100" w:line="288"/>
      </w:pPr>
      <w:r>
        <w:rPr>
          <w:rFonts w:ascii="Calibri" w:cs="Calibri" w:eastAsia="Calibri" w:hAnsi="Calibri"/>
          <w:color w:val="2B2622"/>
          <w:sz w:val="22"/>
          <w:szCs w:val="22"/>
        </w:rPr>
        <w:t xml:space="preserve">The partnership centers on GHP's Education and Professional Development work, specifically the Beyond GED program. Beyond GED was created in 2022 in direct response to young adults in Hudson who were increasingly interacting with the justice system and facing incarceration after dropping out of school. Through interviews with the program's first cohort, young people identified poverty as the primary driver of school withdrawal, often leaving school to work and support themselves or their families. Their feedback shaped the program to address real barriers with wraparound support.</w:t>
      </w:r>
    </w:p>
    <w:p>
      <w:pPr>
        <w:spacing w:after="100" w:line="288"/>
      </w:pPr>
      <w:r>
        <w:rPr>
          <w:rFonts w:ascii="Calibri" w:cs="Calibri" w:eastAsia="Calibri" w:hAnsi="Calibri"/>
          <w:color w:val="2B2622"/>
          <w:sz w:val="22"/>
          <w:szCs w:val="22"/>
        </w:rPr>
        <w:t xml:space="preserve">The need is clear. Young people without a high school credential face reduced lifetime earnings, higher unemployment rates, and greater risk of justice system involvement. Beyond GED fills a critical gap for youth who have already left the traditional school system and require an alternative, supportive route to completion.</w:t>
      </w:r>
    </w:p>
    <w:p>
      <w:pPr>
        <w:spacing w:after="100" w:line="288"/>
      </w:pPr>
      <w:r>
        <w:rPr>
          <w:rFonts w:ascii="Calibri" w:cs="Calibri" w:eastAsia="Calibri" w:hAnsi="Calibri"/>
          <w:color w:val="2B2622"/>
          <w:sz w:val="22"/>
          <w:szCs w:val="22"/>
        </w:rPr>
        <w:t xml:space="preserve">Many participants facing serious felony charges were able to avoid prison and instead transition into higher education or employment. Since participation, none have re-entered the justice system. These outcomes demonstrate the power of combining academic instruction with financial assistance, professional development, vocational exploration, college support, and practical resources.</w:t>
      </w:r>
    </w:p>
    <w:p>
      <w:pPr>
        <w:spacing w:after="100" w:line="288"/>
      </w:pPr>
      <w:r>
        <w:rPr>
          <w:rFonts w:ascii="Calibri" w:cs="Calibri" w:eastAsia="Calibri" w:hAnsi="Calibri"/>
          <w:color w:val="2B2622"/>
          <w:sz w:val="22"/>
          <w:szCs w:val="22"/>
        </w:rPr>
        <w:t xml:space="preserve">Since launching in 2022, Beyond GED has served over 23 young people. Within six weeks of the first cohort enrolling, 100 percent completed their GEDs. The [Licensee Name]–GHP partnership is uniquely positioned to deepen and expand this impact by increasing enrollment of Opportunity Youth across Columbia County, providing a safe learning and workforce development environment, expanding career-connected training opportunities, reducing justice system involvement, and strengthening long-term economic mobility for young adults living in poverty. At its core, this partnership addresses educational and economic disconnection among Opportunity Youth who have been failed by traditional systems. By providing a structured pathway to high school equivalency, career development, and ongoing support, [Licensee Name] and GHP can interrupt cycles of poverty and justice involvement while building a stronger, more equitable workforce pipeline for Columbia County.</w:t>
      </w:r>
    </w:p>
    <w:p>
      <w:pPr>
        <w:keepNext/>
        <w:spacing w:after="120" w:before="320"/>
      </w:pPr>
      <w:r>
        <w:rPr>
          <w:rFonts w:ascii="Georgia" w:cs="Georgia" w:eastAsia="Georgia" w:hAnsi="Georgia"/>
          <w:b/>
          <w:bCs/>
          <w:color w:val="9A3B1F"/>
          <w:sz w:val="22"/>
          <w:szCs w:val="22"/>
        </w:rPr>
        <w:t xml:space="preserve">2.  </w:t>
      </w:r>
      <w:r>
        <w:rPr>
          <w:rFonts w:ascii="Calibri" w:cs="Calibri" w:eastAsia="Calibri" w:hAnsi="Calibri"/>
          <w:b/>
          <w:bCs/>
          <w:color w:val="2B2622"/>
          <w:sz w:val="22"/>
          <w:szCs w:val="22"/>
        </w:rPr>
        <w:t xml:space="preserve">Who are the communities and individuals disproportionately impacted you intend to target?</w:t>
      </w:r>
    </w:p>
    <w:p>
      <w:pPr>
        <w:spacing w:after="100" w:line="288"/>
      </w:pPr>
      <w:r>
        <w:rPr>
          <w:rFonts w:ascii="Calibri" w:cs="Calibri" w:eastAsia="Calibri" w:hAnsi="Calibri"/>
          <w:color w:val="2B2622"/>
          <w:sz w:val="22"/>
          <w:szCs w:val="22"/>
        </w:rPr>
        <w:t xml:space="preserve">The targeted population are young people ages 16 to 24 who are not enrolled in school and not working, many of whom have been disproportionately impacted by poverty, systemic oppression, and justice system involvement. GHP is a cradle-to-career organization serving young people ages 0 to 24 and beyond, with a mission to build an equitable community by providing opportunities and support to individuals and families impacted by systemic failures. Beyond GED serves Opportunity Youth within the Hudson City School District and, with expanded support, throughout Columbia County. Across all GHP programs, 79 percent of participants are BIPOC. In Beyond GED, 100 percent of enrolled students are students of color and all are living below the poverty line, reflecting the disproportionate impact of educational and economic inequities locally.</w:t>
      </w:r>
    </w:p>
    <w:p>
      <w:pPr>
        <w:keepNext/>
        <w:spacing w:after="120" w:before="320"/>
      </w:pPr>
      <w:r>
        <w:rPr>
          <w:rFonts w:ascii="Georgia" w:cs="Georgia" w:eastAsia="Georgia" w:hAnsi="Georgia"/>
          <w:b/>
          <w:bCs/>
          <w:color w:val="9A3B1F"/>
          <w:sz w:val="22"/>
          <w:szCs w:val="22"/>
        </w:rPr>
        <w:t xml:space="preserve">3.  </w:t>
      </w:r>
      <w:r>
        <w:rPr>
          <w:rFonts w:ascii="Calibri" w:cs="Calibri" w:eastAsia="Calibri" w:hAnsi="Calibri"/>
          <w:b/>
          <w:bCs/>
          <w:color w:val="2B2622"/>
          <w:sz w:val="22"/>
          <w:szCs w:val="22"/>
        </w:rPr>
        <w:t xml:space="preserve">In what region is the target population based?</w:t>
      </w:r>
    </w:p>
    <w:p>
      <w:pPr>
        <w:spacing w:after="100" w:line="288"/>
      </w:pPr>
      <w:r>
        <w:rPr>
          <w:rFonts w:ascii="Calibri" w:cs="Calibri" w:eastAsia="Calibri" w:hAnsi="Calibri"/>
          <w:color w:val="2B2622"/>
          <w:sz w:val="22"/>
          <w:szCs w:val="22"/>
        </w:rPr>
        <w:t xml:space="preserve">Capital</w:t>
      </w:r>
    </w:p>
    <w:p>
      <w:pPr>
        <w:keepNext/>
        <w:spacing w:after="120" w:before="320"/>
      </w:pPr>
      <w:r>
        <w:rPr>
          <w:rFonts w:ascii="Georgia" w:cs="Georgia" w:eastAsia="Georgia" w:hAnsi="Georgia"/>
          <w:b/>
          <w:bCs/>
          <w:color w:val="9A3B1F"/>
          <w:sz w:val="22"/>
          <w:szCs w:val="22"/>
        </w:rPr>
        <w:t xml:space="preserve">4.  </w:t>
      </w:r>
      <w:r>
        <w:rPr>
          <w:rFonts w:ascii="Calibri" w:cs="Calibri" w:eastAsia="Calibri" w:hAnsi="Calibri"/>
          <w:b/>
          <w:bCs/>
          <w:color w:val="2B2622"/>
          <w:sz w:val="22"/>
          <w:szCs w:val="22"/>
        </w:rPr>
        <w:t xml:space="preserve">What zip codes do you intend to target?</w:t>
      </w:r>
    </w:p>
    <w:p>
      <w:pPr>
        <w:spacing w:after="100" w:line="288"/>
      </w:pPr>
      <w:r>
        <w:rPr>
          <w:rFonts w:ascii="Calibri" w:cs="Calibri" w:eastAsia="Calibri" w:hAnsi="Calibri"/>
          <w:color w:val="2B2622"/>
          <w:sz w:val="22"/>
          <w:szCs w:val="22"/>
        </w:rPr>
        <w:t xml:space="preserve">Primarily 12534 (City of Hudson), expanding throughout Columbia County.</w:t>
      </w:r>
    </w:p>
    <w:p>
      <w:pPr>
        <w:keepNext/>
        <w:spacing w:after="120" w:before="320"/>
      </w:pPr>
      <w:r>
        <w:rPr>
          <w:rFonts w:ascii="Georgia" w:cs="Georgia" w:eastAsia="Georgia" w:hAnsi="Georgia"/>
          <w:b/>
          <w:bCs/>
          <w:color w:val="9A3B1F"/>
          <w:sz w:val="22"/>
          <w:szCs w:val="22"/>
        </w:rPr>
        <w:t xml:space="preserve">5.  </w:t>
      </w:r>
      <w:r>
        <w:rPr>
          <w:rFonts w:ascii="Calibri" w:cs="Calibri" w:eastAsia="Calibri" w:hAnsi="Calibri"/>
          <w:b/>
          <w:bCs/>
          <w:color w:val="2B2622"/>
          <w:sz w:val="22"/>
          <w:szCs w:val="22"/>
        </w:rPr>
        <w:t xml:space="preserve">Estimated number of individuals within target population you intend to impact.</w:t>
      </w:r>
    </w:p>
    <w:p>
      <w:pPr>
        <w:spacing w:after="100" w:line="288"/>
      </w:pPr>
      <w:r>
        <w:rPr>
          <w:rFonts w:ascii="Calibri" w:cs="Calibri" w:eastAsia="Calibri" w:hAnsi="Calibri"/>
          <w:color w:val="2B2622"/>
          <w:sz w:val="22"/>
          <w:szCs w:val="22"/>
        </w:rPr>
        <w:t xml:space="preserve">25-50</w:t>
      </w:r>
    </w:p>
    <w:p>
      <w:pPr>
        <w:keepNext/>
        <w:spacing w:after="120" w:before="320"/>
      </w:pPr>
      <w:r>
        <w:rPr>
          <w:rFonts w:ascii="Georgia" w:cs="Georgia" w:eastAsia="Georgia" w:hAnsi="Georgia"/>
          <w:b/>
          <w:bCs/>
          <w:color w:val="9A3B1F"/>
          <w:sz w:val="22"/>
          <w:szCs w:val="22"/>
        </w:rPr>
        <w:t xml:space="preserve">6.  </w:t>
      </w:r>
      <w:r>
        <w:rPr>
          <w:rFonts w:ascii="Calibri" w:cs="Calibri" w:eastAsia="Calibri" w:hAnsi="Calibri"/>
          <w:b/>
          <w:bCs/>
          <w:color w:val="2B2622"/>
          <w:sz w:val="22"/>
          <w:szCs w:val="22"/>
        </w:rPr>
        <w:t xml:space="preserve">What research have you done to understand the needs of your target population? Select all that apply.</w:t>
      </w:r>
    </w:p>
    <w:p>
      <w:pPr>
        <w:spacing w:after="100" w:line="288"/>
      </w:pPr>
      <w:r>
        <w:rPr>
          <w:rFonts w:ascii="Calibri" w:cs="Calibri" w:eastAsia="Calibri" w:hAnsi="Calibri"/>
          <w:color w:val="2B2622"/>
          <w:sz w:val="22"/>
          <w:szCs w:val="22"/>
        </w:rPr>
        <w:t xml:space="preserve">Community conversations</w:t>
      </w:r>
    </w:p>
    <w:p>
      <w:pPr>
        <w:spacing w:after="160" w:line="288"/>
      </w:pPr>
      <w:r>
        <w:rPr>
          <w:rFonts w:ascii="Calibri" w:cs="Calibri" w:eastAsia="Calibri" w:hAnsi="Calibri"/>
          <w:i/>
          <w:iCs/>
          <w:color w:val="2B2622"/>
          <w:sz w:val="22"/>
          <w:szCs w:val="22"/>
        </w:rPr>
        <w:t xml:space="preserve">Note: Select the options that are true for your business. Beyond GED was designed from interviews with its first cohort of participants, and GHP can walk you through that research.</w:t>
      </w:r>
    </w:p>
    <w:p>
      <w:pPr>
        <w:keepNext/>
        <w:spacing w:after="120" w:before="320"/>
      </w:pPr>
      <w:r>
        <w:rPr>
          <w:rFonts w:ascii="Georgia" w:cs="Georgia" w:eastAsia="Georgia" w:hAnsi="Georgia"/>
          <w:b/>
          <w:bCs/>
          <w:color w:val="9A3B1F"/>
          <w:sz w:val="22"/>
          <w:szCs w:val="22"/>
        </w:rPr>
        <w:t xml:space="preserve">7.  </w:t>
      </w:r>
      <w:r>
        <w:rPr>
          <w:rFonts w:ascii="Calibri" w:cs="Calibri" w:eastAsia="Calibri" w:hAnsi="Calibri"/>
          <w:b/>
          <w:bCs/>
          <w:color w:val="2B2622"/>
          <w:sz w:val="22"/>
          <w:szCs w:val="22"/>
        </w:rPr>
        <w:t xml:space="preserve">Are you partnering or collaborating with any community-based organizations, local institutions, and/or subject matter experts?</w:t>
      </w:r>
    </w:p>
    <w:p>
      <w:pPr>
        <w:spacing w:after="100" w:line="288"/>
      </w:pPr>
      <w:r>
        <w:rPr>
          <w:rFonts w:ascii="Calibri" w:cs="Calibri" w:eastAsia="Calibri" w:hAnsi="Calibri"/>
          <w:color w:val="2B2622"/>
          <w:sz w:val="22"/>
          <w:szCs w:val="22"/>
        </w:rPr>
        <w:t xml:space="preserve">Yes</w:t>
      </w:r>
    </w:p>
    <w:p>
      <w:pPr>
        <w:keepNext/>
        <w:spacing w:after="120" w:before="320"/>
      </w:pPr>
      <w:r>
        <w:rPr>
          <w:rFonts w:ascii="Georgia" w:cs="Georgia" w:eastAsia="Georgia" w:hAnsi="Georgia"/>
          <w:b/>
          <w:bCs/>
          <w:color w:val="9A3B1F"/>
          <w:sz w:val="22"/>
          <w:szCs w:val="22"/>
        </w:rPr>
        <w:t xml:space="preserve">8.  </w:t>
      </w:r>
      <w:r>
        <w:rPr>
          <w:rFonts w:ascii="Calibri" w:cs="Calibri" w:eastAsia="Calibri" w:hAnsi="Calibri"/>
          <w:b/>
          <w:bCs/>
          <w:color w:val="2B2622"/>
          <w:sz w:val="22"/>
          <w:szCs w:val="22"/>
        </w:rPr>
        <w:t xml:space="preserve">Please provide the name of the organization(s) and/or institution(s) and describe the nature of your partnership(s).</w:t>
      </w:r>
    </w:p>
    <w:p>
      <w:pPr>
        <w:spacing w:after="100" w:line="288"/>
      </w:pPr>
      <w:r>
        <w:rPr>
          <w:rFonts w:ascii="Calibri" w:cs="Calibri" w:eastAsia="Calibri" w:hAnsi="Calibri"/>
          <w:color w:val="2B2622"/>
          <w:sz w:val="22"/>
          <w:szCs w:val="22"/>
        </w:rPr>
        <w:t xml:space="preserve">Greater Hudson Promise. [Licensee Name] will provide financial support of $5,000 per year ($10,000 over 2 years) to fund the Beyond GED program, which serves Opportunity Youth ages 16 to 24 in Hudson and Columbia County. [Licensee Name] will display information about GHP's programs and refer eligible young adults and families to GHP. [Licensee Name] will offer customers an optional round-up or donation prompt at checkout, with all proceeds directed to GHP. [Licensee Name] staff will contribute volunteer hours to GHP, including mock interviews, résumé support, and event assistance. [Licensee Name] will host or deliver career-readiness and small-business workshops for Beyond GED participants, with any on-premises activity limited to participants aged 21 and over in compliance with OCM rules. [Licensee Name] will designate a portion of its contribution to driving lessons and identification costs, removing transportation and documentation barriers to employment. [Licensee Name] will designate a portion of its contribution to participant stipends and hot meals on study days. https://greaterhudsonpromise.org/</w:t>
      </w:r>
    </w:p>
    <w:p>
      <w:pPr>
        <w:keepNext/>
        <w:spacing w:after="120" w:before="320"/>
      </w:pPr>
      <w:r>
        <w:rPr>
          <w:rFonts w:ascii="Georgia" w:cs="Georgia" w:eastAsia="Georgia" w:hAnsi="Georgia"/>
          <w:b/>
          <w:bCs/>
          <w:color w:val="9A3B1F"/>
          <w:sz w:val="22"/>
          <w:szCs w:val="22"/>
        </w:rPr>
        <w:t xml:space="preserve">9.  </w:t>
      </w:r>
      <w:r>
        <w:rPr>
          <w:rFonts w:ascii="Calibri" w:cs="Calibri" w:eastAsia="Calibri" w:hAnsi="Calibri"/>
          <w:b/>
          <w:bCs/>
          <w:color w:val="2B2622"/>
          <w:sz w:val="22"/>
          <w:szCs w:val="22"/>
        </w:rPr>
        <w:t xml:space="preserve">Do you have any written agreements with your partners related to your community impact plan?</w:t>
      </w:r>
    </w:p>
    <w:p>
      <w:pPr>
        <w:spacing w:after="100" w:line="288"/>
      </w:pPr>
      <w:r>
        <w:rPr>
          <w:rFonts w:ascii="Calibri" w:cs="Calibri" w:eastAsia="Calibri" w:hAnsi="Calibri"/>
          <w:color w:val="2B2622"/>
          <w:sz w:val="22"/>
          <w:szCs w:val="22"/>
        </w:rPr>
        <w:t xml:space="preserve">No</w:t>
      </w:r>
    </w:p>
    <w:p>
      <w:pPr>
        <w:spacing w:after="160" w:line="288"/>
      </w:pPr>
      <w:r>
        <w:rPr>
          <w:rFonts w:ascii="Calibri" w:cs="Calibri" w:eastAsia="Calibri" w:hAnsi="Calibri"/>
          <w:i/>
          <w:iCs/>
          <w:color w:val="2B2622"/>
          <w:sz w:val="22"/>
          <w:szCs w:val="22"/>
        </w:rPr>
        <w:t xml:space="preserve">Note: Change to Yes if you have a signed partnership letter or agreement with GHP.</w:t>
      </w:r>
    </w:p>
    <w:p>
      <w:pPr>
        <w:keepNext/>
        <w:spacing w:after="120" w:before="320"/>
      </w:pPr>
      <w:r>
        <w:rPr>
          <w:rFonts w:ascii="Georgia" w:cs="Georgia" w:eastAsia="Georgia" w:hAnsi="Georgia"/>
          <w:b/>
          <w:bCs/>
          <w:color w:val="9A3B1F"/>
          <w:sz w:val="22"/>
          <w:szCs w:val="22"/>
        </w:rPr>
        <w:t xml:space="preserve">10.  </w:t>
      </w:r>
      <w:r>
        <w:rPr>
          <w:rFonts w:ascii="Calibri" w:cs="Calibri" w:eastAsia="Calibri" w:hAnsi="Calibri"/>
          <w:b/>
          <w:bCs/>
          <w:color w:val="2B2622"/>
          <w:sz w:val="22"/>
          <w:szCs w:val="22"/>
        </w:rPr>
        <w:t xml:space="preserve">What types of activities do you plan to implement in order to address the needs of the target population?</w:t>
      </w:r>
    </w:p>
    <w:p>
      <w:pPr>
        <w:spacing w:after="100" w:line="288"/>
      </w:pPr>
      <w:r>
        <w:rPr>
          <w:rFonts w:ascii="Calibri" w:cs="Calibri" w:eastAsia="Calibri" w:hAnsi="Calibri"/>
          <w:color w:val="2B2622"/>
          <w:sz w:val="22"/>
          <w:szCs w:val="22"/>
        </w:rPr>
        <w:t xml:space="preserve">job placement</w:t>
      </w:r>
    </w:p>
    <w:p>
      <w:pPr>
        <w:spacing w:after="100" w:line="288"/>
      </w:pPr>
      <w:r>
        <w:rPr>
          <w:rFonts w:ascii="Calibri" w:cs="Calibri" w:eastAsia="Calibri" w:hAnsi="Calibri"/>
          <w:color w:val="2B2622"/>
          <w:sz w:val="22"/>
          <w:szCs w:val="22"/>
        </w:rPr>
        <w:t xml:space="preserve">job skills services</w:t>
      </w:r>
    </w:p>
    <w:p>
      <w:pPr>
        <w:spacing w:after="100" w:line="288"/>
      </w:pPr>
      <w:r>
        <w:rPr>
          <w:rFonts w:ascii="Calibri" w:cs="Calibri" w:eastAsia="Calibri" w:hAnsi="Calibri"/>
          <w:color w:val="2B2622"/>
          <w:sz w:val="22"/>
          <w:szCs w:val="22"/>
        </w:rPr>
        <w:t xml:space="preserve">adult education</w:t>
      </w:r>
    </w:p>
    <w:p>
      <w:pPr>
        <w:spacing w:after="100" w:line="288"/>
      </w:pPr>
      <w:r>
        <w:rPr>
          <w:rFonts w:ascii="Calibri" w:cs="Calibri" w:eastAsia="Calibri" w:hAnsi="Calibri"/>
          <w:color w:val="2B2622"/>
          <w:sz w:val="22"/>
          <w:szCs w:val="22"/>
        </w:rPr>
        <w:t xml:space="preserve">system navigation services</w:t>
      </w:r>
    </w:p>
    <w:p>
      <w:pPr>
        <w:spacing w:after="100" w:line="288"/>
      </w:pPr>
      <w:r>
        <w:rPr>
          <w:rFonts w:ascii="Calibri" w:cs="Calibri" w:eastAsia="Calibri" w:hAnsi="Calibri"/>
          <w:color w:val="2B2622"/>
          <w:sz w:val="22"/>
          <w:szCs w:val="22"/>
        </w:rPr>
        <w:t xml:space="preserve">legal services to address barriers to reentry</w:t>
      </w:r>
    </w:p>
    <w:p>
      <w:pPr>
        <w:spacing w:after="160" w:line="288"/>
      </w:pPr>
      <w:r>
        <w:rPr>
          <w:rFonts w:ascii="Calibri" w:cs="Calibri" w:eastAsia="Calibri" w:hAnsi="Calibri"/>
          <w:i/>
          <w:iCs/>
          <w:color w:val="2B2622"/>
          <w:sz w:val="22"/>
          <w:szCs w:val="22"/>
        </w:rPr>
        <w:t xml:space="preserve">Note: Select each of these in the portal.</w:t>
      </w:r>
    </w:p>
    <w:p>
      <w:pPr>
        <w:keepNext/>
        <w:spacing w:after="120" w:before="320"/>
      </w:pPr>
      <w:r>
        <w:rPr>
          <w:rFonts w:ascii="Georgia" w:cs="Georgia" w:eastAsia="Georgia" w:hAnsi="Georgia"/>
          <w:b/>
          <w:bCs/>
          <w:color w:val="9A3B1F"/>
          <w:sz w:val="22"/>
          <w:szCs w:val="22"/>
        </w:rPr>
        <w:t xml:space="preserve">11.  </w:t>
      </w:r>
      <w:r>
        <w:rPr>
          <w:rFonts w:ascii="Calibri" w:cs="Calibri" w:eastAsia="Calibri" w:hAnsi="Calibri"/>
          <w:b/>
          <w:bCs/>
          <w:color w:val="2B2622"/>
          <w:sz w:val="22"/>
          <w:szCs w:val="22"/>
        </w:rPr>
        <w:t xml:space="preserve">What is the anticipated benefit you will provide to the target population? Please provide at least 3 goals. Goals must be measurable.</w:t>
      </w:r>
    </w:p>
    <w:p>
      <w:pPr>
        <w:spacing w:after="100" w:line="288"/>
      </w:pPr>
      <w:r>
        <w:rPr>
          <w:rFonts w:ascii="Calibri" w:cs="Calibri" w:eastAsia="Calibri" w:hAnsi="Calibri"/>
          <w:b/>
          <w:bCs/>
          <w:color w:val="2B2622"/>
          <w:sz w:val="22"/>
          <w:szCs w:val="22"/>
        </w:rPr>
        <w:t xml:space="preserve">Goal 1:  </w:t>
      </w:r>
      <w:r>
        <w:rPr>
          <w:rFonts w:ascii="Calibri" w:cs="Calibri" w:eastAsia="Calibri" w:hAnsi="Calibri"/>
          <w:color w:val="2B2622"/>
          <w:sz w:val="22"/>
          <w:szCs w:val="22"/>
        </w:rPr>
        <w:t xml:space="preserve">Increase Educational Attainment. Support Opportunity Youth in earning their high school equivalency credential (GED), providing a critical foundation for long-term success. The program aims to improve graduation outcomes for youth who have disengaged from traditional school systems. Measured by GED tests taken and GED credentials earned annually and cumulatively (2025: 34 GED tests taken, 6 GEDs earned; 11 GEDs earned since program inception).</w:t>
      </w:r>
    </w:p>
    <w:p>
      <w:pPr>
        <w:spacing w:after="100" w:line="288"/>
      </w:pPr>
      <w:r>
        <w:rPr>
          <w:rFonts w:ascii="Calibri" w:cs="Calibri" w:eastAsia="Calibri" w:hAnsi="Calibri"/>
          <w:b/>
          <w:bCs/>
          <w:color w:val="2B2622"/>
          <w:sz w:val="22"/>
          <w:szCs w:val="22"/>
        </w:rPr>
        <w:t xml:space="preserve">Goal 2:  </w:t>
      </w:r>
      <w:r>
        <w:rPr>
          <w:rFonts w:ascii="Calibri" w:cs="Calibri" w:eastAsia="Calibri" w:hAnsi="Calibri"/>
          <w:color w:val="2B2622"/>
          <w:sz w:val="22"/>
          <w:szCs w:val="22"/>
        </w:rPr>
        <w:t xml:space="preserve">Strengthen Workforce and Career Pathways. Provide professional development, vocational training opportunities, and career-connected support so participants can access stable employment, job training programs, or post-secondary education. This goal ensures youth are prepared for sustainable careers and economic mobility. Measured by the number of participants obtaining part-time or full-time employment, job retention, and enrollment in vocational training or postsecondary education (2025: 16 participants gained employment).</w:t>
      </w:r>
    </w:p>
    <w:p>
      <w:pPr>
        <w:spacing w:after="100" w:line="288"/>
      </w:pPr>
      <w:r>
        <w:rPr>
          <w:rFonts w:ascii="Calibri" w:cs="Calibri" w:eastAsia="Calibri" w:hAnsi="Calibri"/>
          <w:b/>
          <w:bCs/>
          <w:color w:val="2B2622"/>
          <w:sz w:val="22"/>
          <w:szCs w:val="22"/>
        </w:rPr>
        <w:t xml:space="preserve">Goal 3:  </w:t>
      </w:r>
      <w:r>
        <w:rPr>
          <w:rFonts w:ascii="Calibri" w:cs="Calibri" w:eastAsia="Calibri" w:hAnsi="Calibri"/>
          <w:color w:val="2B2622"/>
          <w:sz w:val="22"/>
          <w:szCs w:val="22"/>
        </w:rPr>
        <w:t xml:space="preserve">Reduce Justice System Involvement and Promote Stability. Through wraparound services, mentorship, and academic and financial support, Beyond GED helps youth avoid further involvement with the justice system and build personal stability. Early program outcomes show participants have successfully avoided incarceration and re-entry into the justice system. Measured by justice system re-entry among program completers (zero since launch) and stability supports provided (2025: 20 DMV identification cards, 6 court supports, 4 eviction prevention supports, 3 mental health connections).</w:t>
      </w:r>
    </w:p>
    <w:p>
      <w:pPr>
        <w:keepNext/>
        <w:spacing w:after="120" w:before="320"/>
      </w:pPr>
      <w:r>
        <w:rPr>
          <w:rFonts w:ascii="Georgia" w:cs="Georgia" w:eastAsia="Georgia" w:hAnsi="Georgia"/>
          <w:b/>
          <w:bCs/>
          <w:color w:val="9A3B1F"/>
          <w:sz w:val="22"/>
          <w:szCs w:val="22"/>
        </w:rPr>
        <w:t xml:space="preserve">12.  </w:t>
      </w:r>
      <w:r>
        <w:rPr>
          <w:rFonts w:ascii="Calibri" w:cs="Calibri" w:eastAsia="Calibri" w:hAnsi="Calibri"/>
          <w:b/>
          <w:bCs/>
          <w:color w:val="2B2622"/>
          <w:sz w:val="22"/>
          <w:szCs w:val="22"/>
        </w:rPr>
        <w:t xml:space="preserve">How often do you plan to host activities and engage with the target population?</w:t>
      </w:r>
    </w:p>
    <w:p>
      <w:pPr>
        <w:spacing w:after="100" w:line="288"/>
      </w:pPr>
      <w:r>
        <w:rPr>
          <w:rFonts w:ascii="Calibri" w:cs="Calibri" w:eastAsia="Calibri" w:hAnsi="Calibri"/>
          <w:color w:val="2B2622"/>
          <w:sz w:val="22"/>
          <w:szCs w:val="22"/>
        </w:rPr>
        <w:t xml:space="preserve">annually</w:t>
      </w:r>
    </w:p>
    <w:p>
      <w:pPr>
        <w:spacing w:after="160" w:line="288"/>
      </w:pPr>
      <w:r>
        <w:rPr>
          <w:rFonts w:ascii="Calibri" w:cs="Calibri" w:eastAsia="Calibri" w:hAnsi="Calibri"/>
          <w:i/>
          <w:iCs/>
          <w:color w:val="2B2622"/>
          <w:sz w:val="22"/>
          <w:szCs w:val="22"/>
        </w:rPr>
        <w:t xml:space="preserve">Note: This matches your annual contribution. Choose a more frequent option if you’ve committed to volunteer hours or in-store activities.</w:t>
      </w:r>
    </w:p>
    <w:p>
      <w:pPr>
        <w:keepNext/>
        <w:spacing w:after="120" w:before="320"/>
      </w:pPr>
      <w:r>
        <w:rPr>
          <w:rFonts w:ascii="Georgia" w:cs="Georgia" w:eastAsia="Georgia" w:hAnsi="Georgia"/>
          <w:b/>
          <w:bCs/>
          <w:color w:val="9A3B1F"/>
          <w:sz w:val="22"/>
          <w:szCs w:val="22"/>
        </w:rPr>
        <w:t xml:space="preserve">13.  </w:t>
      </w:r>
      <w:r>
        <w:rPr>
          <w:rFonts w:ascii="Calibri" w:cs="Calibri" w:eastAsia="Calibri" w:hAnsi="Calibri"/>
          <w:b/>
          <w:bCs/>
          <w:color w:val="2B2622"/>
          <w:sz w:val="22"/>
          <w:szCs w:val="22"/>
        </w:rPr>
        <w:t xml:space="preserve">When do you intend on implementing community impact plan activities during this renewal period?</w:t>
      </w:r>
    </w:p>
    <w:p>
      <w:pPr>
        <w:spacing w:after="100" w:line="288"/>
      </w:pPr>
      <w:r>
        <w:rPr>
          <w:rFonts w:ascii="Calibri" w:cs="Calibri" w:eastAsia="Calibri" w:hAnsi="Calibri"/>
          <w:color w:val="2B2622"/>
          <w:sz w:val="22"/>
          <w:szCs w:val="22"/>
        </w:rPr>
        <w:t xml:space="preserve">Beginning upon renewal approval and continuing throughout the renewal period.</w:t>
      </w:r>
    </w:p>
    <w:p>
      <w:pPr>
        <w:keepNext/>
        <w:spacing w:after="120" w:before="320"/>
      </w:pPr>
      <w:r>
        <w:rPr>
          <w:rFonts w:ascii="Georgia" w:cs="Georgia" w:eastAsia="Georgia" w:hAnsi="Georgia"/>
          <w:b/>
          <w:bCs/>
          <w:color w:val="9A3B1F"/>
          <w:sz w:val="22"/>
          <w:szCs w:val="22"/>
        </w:rPr>
        <w:t xml:space="preserve">14.  </w:t>
      </w:r>
      <w:r>
        <w:rPr>
          <w:rFonts w:ascii="Calibri" w:cs="Calibri" w:eastAsia="Calibri" w:hAnsi="Calibri"/>
          <w:b/>
          <w:bCs/>
          <w:color w:val="2B2622"/>
          <w:sz w:val="22"/>
          <w:szCs w:val="22"/>
        </w:rPr>
        <w:t xml:space="preserve">What is your estimated 2-year budget for the community impact plan?</w:t>
      </w:r>
    </w:p>
    <w:p>
      <w:pPr>
        <w:spacing w:after="100" w:line="288"/>
      </w:pPr>
      <w:r>
        <w:rPr>
          <w:rFonts w:ascii="Calibri" w:cs="Calibri" w:eastAsia="Calibri" w:hAnsi="Calibri"/>
          <w:b/>
          <w:bCs/>
          <w:color w:val="2B2622"/>
          <w:sz w:val="22"/>
          <w:szCs w:val="22"/>
        </w:rPr>
        <w:t xml:space="preserve">Personnel: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Contractual Services: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Donations and sponsorships:  </w:t>
      </w:r>
      <w:r>
        <w:rPr>
          <w:rFonts w:ascii="Calibri" w:cs="Calibri" w:eastAsia="Calibri" w:hAnsi="Calibri"/>
          <w:color w:val="2B2622"/>
          <w:sz w:val="22"/>
          <w:szCs w:val="22"/>
        </w:rPr>
        <w:t xml:space="preserve">$10,000</w:t>
      </w:r>
    </w:p>
    <w:p>
      <w:pPr>
        <w:spacing w:after="100" w:line="288"/>
      </w:pPr>
      <w:r>
        <w:rPr>
          <w:rFonts w:ascii="Calibri" w:cs="Calibri" w:eastAsia="Calibri" w:hAnsi="Calibri"/>
          <w:b/>
          <w:bCs/>
          <w:color w:val="2B2622"/>
          <w:sz w:val="22"/>
          <w:szCs w:val="22"/>
        </w:rPr>
        <w:t xml:space="preserve">Travel: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Equipment: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Space/Property &amp; Utilities: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Operating Expenses:  </w:t>
      </w:r>
      <w:r>
        <w:rPr>
          <w:rFonts w:ascii="Calibri" w:cs="Calibri" w:eastAsia="Calibri" w:hAnsi="Calibri"/>
          <w:color w:val="2B2622"/>
          <w:sz w:val="22"/>
          <w:szCs w:val="22"/>
        </w:rPr>
        <w:t xml:space="preserve">$0</w:t>
      </w:r>
    </w:p>
    <w:p>
      <w:pPr>
        <w:spacing w:after="100" w:line="288"/>
      </w:pPr>
      <w:r>
        <w:rPr>
          <w:rFonts w:ascii="Calibri" w:cs="Calibri" w:eastAsia="Calibri" w:hAnsi="Calibri"/>
          <w:b/>
          <w:bCs/>
          <w:color w:val="2B2622"/>
          <w:sz w:val="22"/>
          <w:szCs w:val="22"/>
        </w:rPr>
        <w:t xml:space="preserve">Other Costs:  </w:t>
      </w:r>
      <w:r>
        <w:rPr>
          <w:rFonts w:ascii="Calibri" w:cs="Calibri" w:eastAsia="Calibri" w:hAnsi="Calibri"/>
          <w:color w:val="2B2622"/>
          <w:sz w:val="22"/>
          <w:szCs w:val="22"/>
        </w:rPr>
        <w:t xml:space="preserve">$0</w:t>
      </w:r>
    </w:p>
    <w:p>
      <w:pPr>
        <w:spacing w:after="160" w:line="288"/>
      </w:pPr>
      <w:r>
        <w:rPr>
          <w:rFonts w:ascii="Calibri" w:cs="Calibri" w:eastAsia="Calibri" w:hAnsi="Calibri"/>
          <w:i/>
          <w:iCs/>
          <w:color w:val="2B2622"/>
          <w:sz w:val="22"/>
          <w:szCs w:val="22"/>
        </w:rPr>
        <w:t xml:space="preserve">Note: Your contribution to GHP belongs under Donations and sponsorships.</w:t>
      </w:r>
    </w:p>
    <w:p>
      <w:pPr>
        <w:keepNext/>
        <w:spacing w:after="120" w:before="320"/>
      </w:pPr>
      <w:r>
        <w:rPr>
          <w:rFonts w:ascii="Georgia" w:cs="Georgia" w:eastAsia="Georgia" w:hAnsi="Georgia"/>
          <w:b/>
          <w:bCs/>
          <w:color w:val="9A3B1F"/>
          <w:sz w:val="22"/>
          <w:szCs w:val="22"/>
        </w:rPr>
        <w:t xml:space="preserve">15.  </w:t>
      </w:r>
      <w:r>
        <w:rPr>
          <w:rFonts w:ascii="Calibri" w:cs="Calibri" w:eastAsia="Calibri" w:hAnsi="Calibri"/>
          <w:b/>
          <w:bCs/>
          <w:color w:val="2B2622"/>
          <w:sz w:val="22"/>
          <w:szCs w:val="22"/>
        </w:rPr>
        <w:t xml:space="preserve">How will you measure your program’s success? Qualitative (i.e. participant satisfaction via survey)</w:t>
      </w:r>
    </w:p>
    <w:p>
      <w:pPr>
        <w:spacing w:after="100" w:line="288"/>
      </w:pPr>
      <w:r>
        <w:rPr>
          <w:rFonts w:ascii="Calibri" w:cs="Calibri" w:eastAsia="Calibri" w:hAnsi="Calibri"/>
          <w:color w:val="2B2622"/>
          <w:sz w:val="22"/>
          <w:szCs w:val="22"/>
        </w:rPr>
        <w:t xml:space="preserve">Qualitative success will be measured through participant stories, feedback, and demonstrated growth in confidence, stability, and future orientation. Beyond GED creates a supportive, calm environment where young people feel safe re-engaging in education after negative experiences in traditional school settings. Participants consistently describe the program as a community where staff provide encouragement, mentorship, and individualized guidance.</w:t>
      </w:r>
    </w:p>
    <w:p>
      <w:pPr>
        <w:spacing w:after="100" w:line="288"/>
      </w:pPr>
      <w:r>
        <w:rPr>
          <w:rFonts w:ascii="Calibri" w:cs="Calibri" w:eastAsia="Calibri" w:hAnsi="Calibri"/>
          <w:color w:val="2B2622"/>
          <w:sz w:val="22"/>
          <w:szCs w:val="22"/>
        </w:rPr>
        <w:t xml:space="preserve">Students report gaining not only academic skills, but also practical life skills and motivation. One participant shared that Beyond GED provided “a comfortable space where I can focus, study, and grab some snacks,” while also helping them secure an ID, open a bank account, and find employment. Another student described the program as “one of the best decisions I've made for my future,” emphasizing the unwavering support that kept them from giving up.</w:t>
      </w:r>
    </w:p>
    <w:p>
      <w:pPr>
        <w:spacing w:after="100" w:line="288"/>
      </w:pPr>
      <w:r>
        <w:rPr>
          <w:rFonts w:ascii="Calibri" w:cs="Calibri" w:eastAsia="Calibri" w:hAnsi="Calibri"/>
          <w:color w:val="2B2622"/>
          <w:sz w:val="22"/>
          <w:szCs w:val="22"/>
        </w:rPr>
        <w:t xml:space="preserve">Parents also highlight the program's impact, noting that youth who previously struggled to attend school are now consistently showing up, completing work, and passing exams. Families value the wraparound support Beyond GED provides, including court accompaniment, job assistance, and emotional encouragement. As one parent shared, “It's been heaven sent for my child, and without this program I am not sure where my son would be.”</w:t>
      </w:r>
    </w:p>
    <w:p>
      <w:pPr>
        <w:spacing w:after="100" w:line="288"/>
      </w:pPr>
      <w:r>
        <w:rPr>
          <w:rFonts w:ascii="Calibri" w:cs="Calibri" w:eastAsia="Calibri" w:hAnsi="Calibri"/>
          <w:color w:val="2B2622"/>
          <w:sz w:val="22"/>
          <w:szCs w:val="22"/>
        </w:rPr>
        <w:t xml:space="preserve">These qualitative measures, combined with participant interviews, retention patterns, and ongoing feedback, ensure the program is not only achieving outcomes, but also transforming how young people see themselves, their education, and their future.</w:t>
      </w:r>
    </w:p>
    <w:p>
      <w:pPr>
        <w:keepNext/>
        <w:spacing w:after="120" w:before="320"/>
      </w:pPr>
      <w:r>
        <w:rPr>
          <w:rFonts w:ascii="Georgia" w:cs="Georgia" w:eastAsia="Georgia" w:hAnsi="Georgia"/>
          <w:b/>
          <w:bCs/>
          <w:color w:val="9A3B1F"/>
          <w:sz w:val="22"/>
          <w:szCs w:val="22"/>
        </w:rPr>
        <w:t xml:space="preserve">16.  </w:t>
      </w:r>
      <w:r>
        <w:rPr>
          <w:rFonts w:ascii="Calibri" w:cs="Calibri" w:eastAsia="Calibri" w:hAnsi="Calibri"/>
          <w:b/>
          <w:bCs/>
          <w:color w:val="2B2622"/>
          <w:sz w:val="22"/>
          <w:szCs w:val="22"/>
        </w:rPr>
        <w:t xml:space="preserve">Quantitative (i.e. participant attendance records)</w:t>
      </w:r>
    </w:p>
    <w:p>
      <w:pPr>
        <w:spacing w:after="100" w:line="288"/>
      </w:pPr>
      <w:r>
        <w:rPr>
          <w:rFonts w:ascii="Calibri" w:cs="Calibri" w:eastAsia="Calibri" w:hAnsi="Calibri"/>
          <w:color w:val="2B2622"/>
          <w:sz w:val="22"/>
          <w:szCs w:val="22"/>
        </w:rPr>
        <w:t xml:space="preserve">The success of the Beyond GED program will be measured through clear, quantitative outcomes across education, employment, stability, and barrier reduction for Opportunity Youth ages 16 to 24.</w:t>
      </w:r>
    </w:p>
    <w:p>
      <w:pPr>
        <w:spacing w:after="100" w:line="288"/>
      </w:pPr>
      <w:r>
        <w:rPr>
          <w:rFonts w:ascii="Calibri" w:cs="Calibri" w:eastAsia="Calibri" w:hAnsi="Calibri"/>
          <w:color w:val="2B2622"/>
          <w:sz w:val="22"/>
          <w:szCs w:val="22"/>
        </w:rPr>
        <w:t xml:space="preserve">Participant Demographics and Reach</w:t>
      </w:r>
    </w:p>
    <w:p>
      <w:pPr>
        <w:spacing w:after="100" w:line="288"/>
      </w:pPr>
      <w:r>
        <w:rPr>
          <w:rFonts w:ascii="Calibri" w:cs="Calibri" w:eastAsia="Calibri" w:hAnsi="Calibri"/>
          <w:color w:val="2B2622"/>
          <w:sz w:val="22"/>
          <w:szCs w:val="22"/>
        </w:rPr>
        <w:t xml:space="preserve">In 2025, 90 percent of participants identified as BIPOC, and 70 percent identified as male and 30 percent as female. These figures reflect the program's focus on serving youth who are disproportionately impacted by poverty, school disengagement, and justice system involvement.</w:t>
      </w:r>
    </w:p>
    <w:p>
      <w:pPr>
        <w:spacing w:after="100" w:line="288"/>
      </w:pPr>
      <w:r>
        <w:rPr>
          <w:rFonts w:ascii="Calibri" w:cs="Calibri" w:eastAsia="Calibri" w:hAnsi="Calibri"/>
          <w:color w:val="2B2622"/>
          <w:sz w:val="22"/>
          <w:szCs w:val="22"/>
        </w:rPr>
        <w:t xml:space="preserve">Educational Outcomes</w:t>
      </w:r>
    </w:p>
    <w:p>
      <w:pPr>
        <w:spacing w:after="100" w:line="288"/>
      </w:pPr>
      <w:r>
        <w:rPr>
          <w:rFonts w:ascii="Calibri" w:cs="Calibri" w:eastAsia="Calibri" w:hAnsi="Calibri"/>
          <w:color w:val="2B2622"/>
          <w:sz w:val="22"/>
          <w:szCs w:val="22"/>
        </w:rPr>
        <w:t xml:space="preserve">Educational attainment is a primary success metric. In 2025:</w:t>
      </w:r>
    </w:p>
    <w:p>
      <w:pPr>
        <w:spacing w:after="100" w:line="288"/>
      </w:pPr>
      <w:r>
        <w:rPr>
          <w:rFonts w:ascii="Calibri" w:cs="Calibri" w:eastAsia="Calibri" w:hAnsi="Calibri"/>
          <w:color w:val="2B2622"/>
          <w:sz w:val="22"/>
          <w:szCs w:val="22"/>
        </w:rPr>
        <w:t xml:space="preserve">• 20 Opportunity Youth were enrolled</w:t>
      </w:r>
    </w:p>
    <w:p>
      <w:pPr>
        <w:spacing w:after="100" w:line="288"/>
      </w:pPr>
      <w:r>
        <w:rPr>
          <w:rFonts w:ascii="Calibri" w:cs="Calibri" w:eastAsia="Calibri" w:hAnsi="Calibri"/>
          <w:color w:val="2B2622"/>
          <w:sz w:val="22"/>
          <w:szCs w:val="22"/>
        </w:rPr>
        <w:t xml:space="preserve">• 34 GED tests were taken</w:t>
      </w:r>
    </w:p>
    <w:p>
      <w:pPr>
        <w:spacing w:after="100" w:line="288"/>
      </w:pPr>
      <w:r>
        <w:rPr>
          <w:rFonts w:ascii="Calibri" w:cs="Calibri" w:eastAsia="Calibri" w:hAnsi="Calibri"/>
          <w:color w:val="2B2622"/>
          <w:sz w:val="22"/>
          <w:szCs w:val="22"/>
        </w:rPr>
        <w:t xml:space="preserve">• 6 participants earned their GED in 2025</w:t>
      </w:r>
    </w:p>
    <w:p>
      <w:pPr>
        <w:spacing w:after="100" w:line="288"/>
      </w:pPr>
      <w:r>
        <w:rPr>
          <w:rFonts w:ascii="Calibri" w:cs="Calibri" w:eastAsia="Calibri" w:hAnsi="Calibri"/>
          <w:color w:val="2B2622"/>
          <w:sz w:val="22"/>
          <w:szCs w:val="22"/>
        </w:rPr>
        <w:t xml:space="preserve">• 11 participants have earned their GED since program inception</w:t>
      </w:r>
    </w:p>
    <w:p>
      <w:pPr>
        <w:spacing w:after="100" w:line="288"/>
      </w:pPr>
      <w:r>
        <w:rPr>
          <w:rFonts w:ascii="Calibri" w:cs="Calibri" w:eastAsia="Calibri" w:hAnsi="Calibri"/>
          <w:color w:val="2B2622"/>
          <w:sz w:val="22"/>
          <w:szCs w:val="22"/>
        </w:rPr>
        <w:t xml:space="preserve">Tracking includes number of participants enrolled, number of GED tests scheduled and completed, subject test pass rates, and total GED credentials earned annually and cumulatively. Progress toward completion is monitored weekly through attendance, testing benchmarks, and individualized academic plans.</w:t>
      </w:r>
    </w:p>
    <w:p>
      <w:pPr>
        <w:spacing w:after="100" w:line="288"/>
      </w:pPr>
      <w:r>
        <w:rPr>
          <w:rFonts w:ascii="Calibri" w:cs="Calibri" w:eastAsia="Calibri" w:hAnsi="Calibri"/>
          <w:color w:val="2B2622"/>
          <w:sz w:val="22"/>
          <w:szCs w:val="22"/>
        </w:rPr>
        <w:t xml:space="preserve">Employment Outcomes</w:t>
      </w:r>
    </w:p>
    <w:p>
      <w:pPr>
        <w:spacing w:after="100" w:line="288"/>
      </w:pPr>
      <w:r>
        <w:rPr>
          <w:rFonts w:ascii="Calibri" w:cs="Calibri" w:eastAsia="Calibri" w:hAnsi="Calibri"/>
          <w:color w:val="2B2622"/>
          <w:sz w:val="22"/>
          <w:szCs w:val="22"/>
        </w:rPr>
        <w:t xml:space="preserve">Workforce engagement is another core indicator of success. In 2025:</w:t>
      </w:r>
    </w:p>
    <w:p>
      <w:pPr>
        <w:spacing w:after="100" w:line="288"/>
      </w:pPr>
      <w:r>
        <w:rPr>
          <w:rFonts w:ascii="Calibri" w:cs="Calibri" w:eastAsia="Calibri" w:hAnsi="Calibri"/>
          <w:color w:val="2B2622"/>
          <w:sz w:val="22"/>
          <w:szCs w:val="22"/>
        </w:rPr>
        <w:t xml:space="preserve">• 16 participants gained employment</w:t>
      </w:r>
    </w:p>
    <w:p>
      <w:pPr>
        <w:spacing w:after="100" w:line="288"/>
      </w:pPr>
      <w:r>
        <w:rPr>
          <w:rFonts w:ascii="Calibri" w:cs="Calibri" w:eastAsia="Calibri" w:hAnsi="Calibri"/>
          <w:color w:val="2B2622"/>
          <w:sz w:val="22"/>
          <w:szCs w:val="22"/>
        </w:rPr>
        <w:t xml:space="preserve">We measure job placement rates, job retention, and transitions into vocational training or postsecondary education. Employment is defined as obtaining part time or full time work after enrollment in the program.</w:t>
      </w:r>
    </w:p>
    <w:p>
      <w:pPr>
        <w:spacing w:after="100" w:line="288"/>
      </w:pPr>
      <w:r>
        <w:rPr>
          <w:rFonts w:ascii="Calibri" w:cs="Calibri" w:eastAsia="Calibri" w:hAnsi="Calibri"/>
          <w:color w:val="2B2622"/>
          <w:sz w:val="22"/>
          <w:szCs w:val="22"/>
        </w:rPr>
        <w:t xml:space="preserve">Barrier Reduction and Stability Metrics</w:t>
      </w:r>
    </w:p>
    <w:p>
      <w:pPr>
        <w:spacing w:after="100" w:line="288"/>
      </w:pPr>
      <w:r>
        <w:rPr>
          <w:rFonts w:ascii="Calibri" w:cs="Calibri" w:eastAsia="Calibri" w:hAnsi="Calibri"/>
          <w:color w:val="2B2622"/>
          <w:sz w:val="22"/>
          <w:szCs w:val="22"/>
        </w:rPr>
        <w:t xml:space="preserve">Because Opportunity Youth often face structural barriers that prevent persistence, we measure tangible stability supports that remove obstacles to education and employment. In 2025:</w:t>
      </w:r>
    </w:p>
    <w:p>
      <w:pPr>
        <w:spacing w:after="100" w:line="288"/>
      </w:pPr>
      <w:r>
        <w:rPr>
          <w:rFonts w:ascii="Calibri" w:cs="Calibri" w:eastAsia="Calibri" w:hAnsi="Calibri"/>
          <w:color w:val="2B2622"/>
          <w:sz w:val="22"/>
          <w:szCs w:val="22"/>
        </w:rPr>
        <w:t xml:space="preserve">• 20 participants received DMV identification cards</w:t>
      </w:r>
    </w:p>
    <w:p>
      <w:pPr>
        <w:spacing w:after="100" w:line="288"/>
      </w:pPr>
      <w:r>
        <w:rPr>
          <w:rFonts w:ascii="Calibri" w:cs="Calibri" w:eastAsia="Calibri" w:hAnsi="Calibri"/>
          <w:color w:val="2B2622"/>
          <w:sz w:val="22"/>
          <w:szCs w:val="22"/>
        </w:rPr>
        <w:t xml:space="preserve">• 4 participants opened bank accounts</w:t>
      </w:r>
    </w:p>
    <w:p>
      <w:pPr>
        <w:spacing w:after="100" w:line="288"/>
      </w:pPr>
      <w:r>
        <w:rPr>
          <w:rFonts w:ascii="Calibri" w:cs="Calibri" w:eastAsia="Calibri" w:hAnsi="Calibri"/>
          <w:color w:val="2B2622"/>
          <w:sz w:val="22"/>
          <w:szCs w:val="22"/>
        </w:rPr>
        <w:t xml:space="preserve">• 30+ professional driving lessons were scheduled and attended, in partnership with RIMS Driving School and the Spark of Hudson; 2 participants passed the permit exam and 2 passed the road test</w:t>
      </w:r>
    </w:p>
    <w:p>
      <w:pPr>
        <w:spacing w:after="100" w:line="288"/>
      </w:pPr>
      <w:r>
        <w:rPr>
          <w:rFonts w:ascii="Calibri" w:cs="Calibri" w:eastAsia="Calibri" w:hAnsi="Calibri"/>
          <w:color w:val="2B2622"/>
          <w:sz w:val="22"/>
          <w:szCs w:val="22"/>
        </w:rPr>
        <w:t xml:space="preserve">• 6 court supports were provided</w:t>
      </w:r>
    </w:p>
    <w:p>
      <w:pPr>
        <w:spacing w:after="100" w:line="288"/>
      </w:pPr>
      <w:r>
        <w:rPr>
          <w:rFonts w:ascii="Calibri" w:cs="Calibri" w:eastAsia="Calibri" w:hAnsi="Calibri"/>
          <w:color w:val="2B2622"/>
          <w:sz w:val="22"/>
          <w:szCs w:val="22"/>
        </w:rPr>
        <w:t xml:space="preserve">• 4 eviction prevention supports were provided</w:t>
      </w:r>
    </w:p>
    <w:p>
      <w:pPr>
        <w:spacing w:after="100" w:line="288"/>
      </w:pPr>
      <w:r>
        <w:rPr>
          <w:rFonts w:ascii="Calibri" w:cs="Calibri" w:eastAsia="Calibri" w:hAnsi="Calibri"/>
          <w:color w:val="2B2622"/>
          <w:sz w:val="22"/>
          <w:szCs w:val="22"/>
        </w:rPr>
        <w:t xml:space="preserve">• 3 participants were connected to mental health services</w:t>
      </w:r>
    </w:p>
    <w:p>
      <w:pPr>
        <w:spacing w:after="100" w:line="288"/>
      </w:pPr>
      <w:r>
        <w:rPr>
          <w:rFonts w:ascii="Calibri" w:cs="Calibri" w:eastAsia="Calibri" w:hAnsi="Calibri"/>
          <w:color w:val="2B2622"/>
          <w:sz w:val="22"/>
          <w:szCs w:val="22"/>
        </w:rPr>
        <w:t xml:space="preserve">These indicators are critical benchmarks of progress. Obtaining identification, securing housing stability, resolving legal issues, accessing transportation, and receiving mental health support directly correlate with improved attendance, persistence, and employment readiness.</w:t>
      </w:r>
    </w:p>
    <w:p>
      <w:pPr>
        <w:spacing w:after="100" w:line="288"/>
      </w:pPr>
      <w:r>
        <w:rPr>
          <w:rFonts w:ascii="Calibri" w:cs="Calibri" w:eastAsia="Calibri" w:hAnsi="Calibri"/>
          <w:color w:val="2B2622"/>
          <w:sz w:val="22"/>
          <w:szCs w:val="22"/>
        </w:rPr>
        <w:t xml:space="preserve">Justice System Diversion and Recidivism</w:t>
      </w:r>
    </w:p>
    <w:p>
      <w:pPr>
        <w:spacing w:after="100" w:line="288"/>
      </w:pPr>
      <w:r>
        <w:rPr>
          <w:rFonts w:ascii="Calibri" w:cs="Calibri" w:eastAsia="Calibri" w:hAnsi="Calibri"/>
          <w:color w:val="2B2622"/>
          <w:sz w:val="22"/>
          <w:szCs w:val="22"/>
        </w:rPr>
        <w:t xml:space="preserve">A key long term metric is reduced justice system involvement. Since launching in 2022, none of the participants who completed the program have re-entered the justice system. We track court involvement, compliance with legal requirements, and post program outcomes.</w:t>
      </w:r>
    </w:p>
    <w:p>
      <w:pPr>
        <w:spacing w:after="100" w:line="288"/>
      </w:pPr>
      <w:r>
        <w:rPr>
          <w:rFonts w:ascii="Calibri" w:cs="Calibri" w:eastAsia="Calibri" w:hAnsi="Calibri"/>
          <w:color w:val="2B2622"/>
          <w:sz w:val="22"/>
          <w:szCs w:val="22"/>
        </w:rPr>
        <w:t xml:space="preserve">Overall Program Performance Indicators</w:t>
      </w:r>
    </w:p>
    <w:p>
      <w:pPr>
        <w:spacing w:after="100" w:line="288"/>
      </w:pPr>
      <w:r>
        <w:rPr>
          <w:rFonts w:ascii="Calibri" w:cs="Calibri" w:eastAsia="Calibri" w:hAnsi="Calibri"/>
          <w:color w:val="2B2622"/>
          <w:sz w:val="22"/>
          <w:szCs w:val="22"/>
        </w:rPr>
        <w:t xml:space="preserve">Program success will continue to be measured through:</w:t>
      </w:r>
    </w:p>
    <w:p>
      <w:pPr>
        <w:spacing w:after="100" w:line="288"/>
      </w:pPr>
      <w:r>
        <w:rPr>
          <w:rFonts w:ascii="Calibri" w:cs="Calibri" w:eastAsia="Calibri" w:hAnsi="Calibri"/>
          <w:color w:val="2B2622"/>
          <w:sz w:val="22"/>
          <w:szCs w:val="22"/>
        </w:rPr>
        <w:t xml:space="preserve">• GED completion rate</w:t>
      </w:r>
    </w:p>
    <w:p>
      <w:pPr>
        <w:spacing w:after="100" w:line="288"/>
      </w:pPr>
      <w:r>
        <w:rPr>
          <w:rFonts w:ascii="Calibri" w:cs="Calibri" w:eastAsia="Calibri" w:hAnsi="Calibri"/>
          <w:color w:val="2B2622"/>
          <w:sz w:val="22"/>
          <w:szCs w:val="22"/>
        </w:rPr>
        <w:t xml:space="preserve">• Employment placement rate</w:t>
      </w:r>
    </w:p>
    <w:p>
      <w:pPr>
        <w:spacing w:after="100" w:line="288"/>
      </w:pPr>
      <w:r>
        <w:rPr>
          <w:rFonts w:ascii="Calibri" w:cs="Calibri" w:eastAsia="Calibri" w:hAnsi="Calibri"/>
          <w:color w:val="2B2622"/>
          <w:sz w:val="22"/>
          <w:szCs w:val="22"/>
        </w:rPr>
        <w:t xml:space="preserve">• Post secondary enrollment rate</w:t>
      </w:r>
    </w:p>
    <w:p>
      <w:pPr>
        <w:spacing w:after="100" w:line="288"/>
      </w:pPr>
      <w:r>
        <w:rPr>
          <w:rFonts w:ascii="Calibri" w:cs="Calibri" w:eastAsia="Calibri" w:hAnsi="Calibri"/>
          <w:color w:val="2B2622"/>
          <w:sz w:val="22"/>
          <w:szCs w:val="22"/>
        </w:rPr>
        <w:t xml:space="preserve">• Percentage of participants receiving critical support services</w:t>
      </w:r>
    </w:p>
    <w:p>
      <w:pPr>
        <w:spacing w:after="100" w:line="288"/>
      </w:pPr>
      <w:r>
        <w:rPr>
          <w:rFonts w:ascii="Calibri" w:cs="Calibri" w:eastAsia="Calibri" w:hAnsi="Calibri"/>
          <w:color w:val="2B2622"/>
          <w:sz w:val="22"/>
          <w:szCs w:val="22"/>
        </w:rPr>
        <w:t xml:space="preserve">• Reduction in justice system involvement</w:t>
      </w:r>
    </w:p>
    <w:p>
      <w:pPr>
        <w:spacing w:after="100" w:line="288"/>
      </w:pPr>
      <w:r>
        <w:rPr>
          <w:rFonts w:ascii="Calibri" w:cs="Calibri" w:eastAsia="Calibri" w:hAnsi="Calibri"/>
          <w:color w:val="2B2622"/>
          <w:sz w:val="22"/>
          <w:szCs w:val="22"/>
        </w:rPr>
        <w:t xml:space="preserve">• Participant retention and persistence rates</w:t>
      </w:r>
    </w:p>
    <w:p>
      <w:pPr>
        <w:spacing w:after="100" w:line="288"/>
      </w:pPr>
      <w:r>
        <w:rPr>
          <w:rFonts w:ascii="Calibri" w:cs="Calibri" w:eastAsia="Calibri" w:hAnsi="Calibri"/>
          <w:color w:val="2B2622"/>
          <w:sz w:val="22"/>
          <w:szCs w:val="22"/>
        </w:rPr>
        <w:t xml:space="preserve">By combining academic metrics with employment outcomes and stability indicators, Beyond GED evaluates success holistically. The data demonstrates measurable progress in reconnecting Opportunity Youth to education, employment, and long term economic mobility.</w:t>
      </w:r>
    </w:p>
    <w:p>
      <w:pPr>
        <w:keepNext/>
        <w:spacing w:after="120" w:before="320"/>
      </w:pPr>
      <w:r>
        <w:rPr>
          <w:rFonts w:ascii="Georgia" w:cs="Georgia" w:eastAsia="Georgia" w:hAnsi="Georgia"/>
          <w:b/>
          <w:bCs/>
          <w:color w:val="9A3B1F"/>
          <w:sz w:val="22"/>
          <w:szCs w:val="22"/>
        </w:rPr>
        <w:t xml:space="preserve">17.  </w:t>
      </w:r>
      <w:r>
        <w:rPr>
          <w:rFonts w:ascii="Calibri" w:cs="Calibri" w:eastAsia="Calibri" w:hAnsi="Calibri"/>
          <w:b/>
          <w:bCs/>
          <w:color w:val="2B2622"/>
          <w:sz w:val="22"/>
          <w:szCs w:val="22"/>
        </w:rPr>
        <w:t xml:space="preserve">How often do you plan to collect these metrics?</w:t>
      </w:r>
    </w:p>
    <w:p>
      <w:pPr>
        <w:spacing w:after="100" w:line="288"/>
      </w:pPr>
      <w:r>
        <w:rPr>
          <w:rFonts w:ascii="Calibri" w:cs="Calibri" w:eastAsia="Calibri" w:hAnsi="Calibri"/>
          <w:color w:val="2B2622"/>
          <w:sz w:val="22"/>
          <w:szCs w:val="22"/>
        </w:rPr>
        <w:t xml:space="preserve">monthly</w:t>
      </w:r>
    </w:p>
    <w:p>
      <w:pPr>
        <w:spacing w:after="160" w:line="288"/>
      </w:pPr>
      <w:r>
        <w:rPr>
          <w:rFonts w:ascii="Calibri" w:cs="Calibri" w:eastAsia="Calibri" w:hAnsi="Calibri"/>
          <w:i/>
          <w:iCs/>
          <w:color w:val="2B2622"/>
          <w:sz w:val="22"/>
          <w:szCs w:val="22"/>
        </w:rPr>
        <w:t xml:space="preserve">Note: GHP tracks participant progress weekly and will share an impact summary with you.</w:t>
      </w:r>
    </w:p>
    <w:p>
      <w:pPr>
        <w:keepNext/>
        <w:spacing w:after="120" w:before="320"/>
      </w:pPr>
      <w:r>
        <w:rPr>
          <w:rFonts w:ascii="Georgia" w:cs="Georgia" w:eastAsia="Georgia" w:hAnsi="Georgia"/>
          <w:b/>
          <w:bCs/>
          <w:color w:val="9A3B1F"/>
          <w:sz w:val="22"/>
          <w:szCs w:val="22"/>
        </w:rPr>
        <w:t xml:space="preserve">18.  </w:t>
      </w:r>
      <w:r>
        <w:rPr>
          <w:rFonts w:ascii="Calibri" w:cs="Calibri" w:eastAsia="Calibri" w:hAnsi="Calibri"/>
          <w:b/>
          <w:bCs/>
          <w:color w:val="2B2622"/>
          <w:sz w:val="22"/>
          <w:szCs w:val="22"/>
        </w:rPr>
        <w:t xml:space="preserve">Please upload any additional relevant information.</w:t>
      </w:r>
    </w:p>
    <w:p>
      <w:pPr>
        <w:spacing w:after="100" w:line="288"/>
      </w:pPr>
      <w:r>
        <w:rPr>
          <w:rFonts w:ascii="Calibri" w:cs="Calibri" w:eastAsia="Calibri" w:hAnsi="Calibri"/>
          <w:color w:val="2B2622"/>
          <w:sz w:val="22"/>
          <w:szCs w:val="22"/>
        </w:rPr>
        <w:t xml:space="preserve">GHP Overview (PDF)</w:t>
      </w:r>
    </w:p>
    <w:p>
      <w:pPr>
        <w:spacing w:after="160" w:line="288"/>
      </w:pPr>
      <w:r>
        <w:rPr>
          <w:rFonts w:ascii="Calibri" w:cs="Calibri" w:eastAsia="Calibri" w:hAnsi="Calibri"/>
          <w:i/>
          <w:iCs/>
          <w:color w:val="2B2622"/>
          <w:sz w:val="22"/>
          <w:szCs w:val="22"/>
        </w:rPr>
        <w:t xml:space="preserve">Note: Download the GHP overview and upload it here.</w:t>
      </w:r>
    </w:p>
    <w:sectPr>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Plan — [Licensee Name]</dc:title>
  <dc:creator>GHP Community Impact Partners</dc:creator>
  <cp:lastModifiedBy>Un-named</cp:lastModifiedBy>
  <cp:revision>1</cp:revision>
  <dcterms:created xsi:type="dcterms:W3CDTF">2026-10-19T17:39:45.850Z</dcterms:created>
  <dcterms:modified xsi:type="dcterms:W3CDTF">2026-10-19T17:39:45.850Z</dcterms:modified>
</cp:coreProperties>
</file>

<file path=docProps/custom.xml><?xml version="1.0" encoding="utf-8"?>
<Properties xmlns="http://schemas.openxmlformats.org/officeDocument/2006/custom-properties" xmlns:vt="http://schemas.openxmlformats.org/officeDocument/2006/docPropsVTypes"/>
</file>