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color w:val="2B2622"/>
          <w:sz w:val="44"/>
          <w:szCs w:val="44"/>
        </w:rPr>
        <w:t xml:space="preserve">Community Impact Plan</w:t>
      </w:r>
    </w:p>
    <w:p>
      <w:pPr>
        <w:spacing w:after="280"/>
      </w:pPr>
      <w:r>
        <w:rPr>
          <w:rFonts w:ascii="Calibri" w:cs="Calibri" w:eastAsia="Calibri" w:hAnsi="Calibri"/>
          <w:color w:val="6B5F55"/>
          <w:sz w:val="22"/>
          <w:szCs w:val="22"/>
        </w:rPr>
        <w:t xml:space="preserve">[Licensee Name]  ·  in partnership with Greater Hudson Promise</w:t>
      </w:r>
    </w:p>
    <w:tbl>
      <w:tblPr>
        <w:tblW w:type="pct" w:w="5000"/>
        <w:tblBorders>
          <w:top w:val="none" w:color="FFFFFF" w:sz="0"/>
          <w:left w:val="none" w:color="FFFFFF" w:sz="0"/>
          <w:bottom w:val="none" w:color="FFFFFF" w:sz="0"/>
          <w:right w:val="none" w:color="FFFFFF" w:sz="0"/>
          <w:insideH w:val="single" w:color="E4DCD2" w:sz="2"/>
          <w:insideV w:val="none" w:color="FFFFFF" w:sz="0"/>
        </w:tblBorders>
      </w:tblPr>
      <w:tblGrid>
        <w:gridCol w:w="2995"/>
        <w:gridCol w:w="6365"/>
      </w:tblGrid>
      <w:tr>
        <w:tc>
          <w:tcPr>
            <w:tcW w:type="pct" w:w="1600"/>
            <w:tcMar>
              <w:top w:type="dxa" w:w="60"/>
              <w:bottom w:type="dxa" w:w="60"/>
            </w:tcMar>
          </w:tcPr>
          <w:p>
            <w:r>
              <w:rPr>
                <w:rFonts w:ascii="Calibri" w:cs="Calibri" w:eastAsia="Calibri" w:hAnsi="Calibri"/>
                <w:b/>
                <w:bCs/>
                <w:color w:val="6B5F55"/>
                <w:sz w:val="20"/>
                <w:szCs w:val="20"/>
              </w:rPr>
              <w:t xml:space="preserve">Licensee</w:t>
            </w:r>
          </w:p>
        </w:tc>
        <w:tc>
          <w:tcPr>
            <w:tcW w:type="pct" w:w="3400"/>
            <w:tcMar>
              <w:top w:type="dxa" w:w="60"/>
              <w:bottom w:type="dxa" w:w="60"/>
            </w:tcMar>
          </w:tcPr>
          <w:p>
            <w:r>
              <w:rPr>
                <w:rFonts w:ascii="Calibri" w:cs="Calibri" w:eastAsia="Calibri" w:hAnsi="Calibri"/>
                <w:color w:val="2B2622"/>
                <w:sz w:val="22"/>
                <w:szCs w:val="22"/>
              </w:rPr>
              <w:t xml:space="preserve">[Licensee Name]</w:t>
            </w:r>
          </w:p>
        </w:tc>
      </w:tr>
      <w:tr>
        <w:tc>
          <w:tcPr>
            <w:tcW w:type="pct" w:w="1600"/>
            <w:tcMar>
              <w:top w:type="dxa" w:w="60"/>
              <w:bottom w:type="dxa" w:w="60"/>
            </w:tcMar>
          </w:tcPr>
          <w:p>
            <w:r>
              <w:rPr>
                <w:rFonts w:ascii="Calibri" w:cs="Calibri" w:eastAsia="Calibri" w:hAnsi="Calibri"/>
                <w:b/>
                <w:bCs/>
                <w:color w:val="6B5F55"/>
                <w:sz w:val="20"/>
                <w:szCs w:val="20"/>
              </w:rPr>
              <w:t xml:space="preserve">License</w:t>
            </w:r>
          </w:p>
        </w:tc>
        <w:tc>
          <w:tcPr>
            <w:tcW w:type="pct" w:w="3400"/>
            <w:tcMar>
              <w:top w:type="dxa" w:w="60"/>
              <w:bottom w:type="dxa" w:w="60"/>
            </w:tcMar>
          </w:tcPr>
          <w:p>
            <w:r>
              <w:rPr>
                <w:rFonts w:ascii="Calibri" w:cs="Calibri" w:eastAsia="Calibri" w:hAnsi="Calibri"/>
                <w:color w:val="2B2622"/>
                <w:sz w:val="22"/>
                <w:szCs w:val="22"/>
              </w:rPr>
              <w:t xml:space="preserve">Adult-Use Retail Dispensary · [License #]</w:t>
            </w:r>
          </w:p>
        </w:tc>
      </w:tr>
      <w:tr>
        <w:tc>
          <w:tcPr>
            <w:tcW w:type="pct" w:w="1600"/>
            <w:tcMar>
              <w:top w:type="dxa" w:w="60"/>
              <w:bottom w:type="dxa" w:w="60"/>
            </w:tcMar>
          </w:tcPr>
          <w:p>
            <w:r>
              <w:rPr>
                <w:rFonts w:ascii="Calibri" w:cs="Calibri" w:eastAsia="Calibri" w:hAnsi="Calibri"/>
                <w:b/>
                <w:bCs/>
                <w:color w:val="6B5F55"/>
                <w:sz w:val="20"/>
                <w:szCs w:val="20"/>
              </w:rPr>
              <w:t xml:space="preserve">Location</w:t>
            </w:r>
          </w:p>
        </w:tc>
        <w:tc>
          <w:tcPr>
            <w:tcW w:type="pct" w:w="3400"/>
            <w:tcMar>
              <w:top w:type="dxa" w:w="60"/>
              <w:bottom w:type="dxa" w:w="60"/>
            </w:tcMar>
          </w:tcPr>
          <w:p>
            <w:r>
              <w:rPr>
                <w:rFonts w:ascii="Calibri" w:cs="Calibri" w:eastAsia="Calibri" w:hAnsi="Calibri"/>
                <w:color w:val="2B2622"/>
                <w:sz w:val="22"/>
                <w:szCs w:val="22"/>
              </w:rPr>
              <w:t xml:space="preserve">[Street], [City], [County] County, NY</w:t>
            </w:r>
          </w:p>
        </w:tc>
      </w:tr>
      <w:tr>
        <w:tc>
          <w:tcPr>
            <w:tcW w:type="pct" w:w="1600"/>
            <w:tcMar>
              <w:top w:type="dxa" w:w="60"/>
              <w:bottom w:type="dxa" w:w="60"/>
            </w:tcMar>
          </w:tcPr>
          <w:p>
            <w:r>
              <w:rPr>
                <w:rFonts w:ascii="Calibri" w:cs="Calibri" w:eastAsia="Calibri" w:hAnsi="Calibri"/>
                <w:b/>
                <w:bCs/>
                <w:color w:val="6B5F55"/>
                <w:sz w:val="20"/>
                <w:szCs w:val="20"/>
              </w:rPr>
              <w:t xml:space="preserve">Community partner</w:t>
            </w:r>
          </w:p>
        </w:tc>
        <w:tc>
          <w:tcPr>
            <w:tcW w:type="pct" w:w="3400"/>
            <w:tcMar>
              <w:top w:type="dxa" w:w="60"/>
              <w:bottom w:type="dxa" w:w="60"/>
            </w:tcMar>
          </w:tcPr>
          <w:p>
            <w:r>
              <w:rPr>
                <w:rFonts w:ascii="Calibri" w:cs="Calibri" w:eastAsia="Calibri" w:hAnsi="Calibri"/>
                <w:color w:val="2B2622"/>
                <w:sz w:val="22"/>
                <w:szCs w:val="22"/>
              </w:rPr>
              <w:t xml:space="preserve">Greater Hudson Promise (GHP) — Families Impacted by Incarceration</w:t>
            </w:r>
          </w:p>
        </w:tc>
      </w:tr>
      <w:tr>
        <w:tc>
          <w:tcPr>
            <w:tcW w:type="pct" w:w="1600"/>
            <w:tcMar>
              <w:top w:type="dxa" w:w="60"/>
              <w:bottom w:type="dxa" w:w="60"/>
            </w:tcMar>
          </w:tcPr>
          <w:p>
            <w:r>
              <w:rPr>
                <w:rFonts w:ascii="Calibri" w:cs="Calibri" w:eastAsia="Calibri" w:hAnsi="Calibri"/>
                <w:b/>
                <w:bCs/>
                <w:color w:val="6B5F55"/>
                <w:sz w:val="20"/>
                <w:szCs w:val="20"/>
              </w:rPr>
              <w:t xml:space="preserve">Contact</w:t>
            </w:r>
          </w:p>
        </w:tc>
        <w:tc>
          <w:tcPr>
            <w:tcW w:type="pct" w:w="3400"/>
            <w:tcMar>
              <w:top w:type="dxa" w:w="60"/>
              <w:bottom w:type="dxa" w:w="60"/>
            </w:tcMar>
          </w:tcPr>
          <w:p>
            <w:r>
              <w:rPr>
                <w:rFonts w:ascii="Calibri" w:cs="Calibri" w:eastAsia="Calibri" w:hAnsi="Calibri"/>
                <w:color w:val="2B2622"/>
                <w:sz w:val="22"/>
                <w:szCs w:val="22"/>
              </w:rPr>
              <w:t xml:space="preserve">[Contact Name], [Title] · [email]</w:t>
            </w:r>
          </w:p>
        </w:tc>
      </w:tr>
    </w:tbl>
    <w:p>
      <w:pPr>
        <w:spacing w:after="160" w:before="320"/>
      </w:pPr>
      <w:r>
        <w:rPr>
          <w:rFonts w:ascii="Georgia" w:cs="Georgia" w:eastAsia="Georgia" w:hAnsi="Georgia"/>
          <w:b/>
          <w:bCs/>
          <w:color w:val="9A3B1F"/>
          <w:sz w:val="24"/>
          <w:szCs w:val="24"/>
        </w:rPr>
        <w:t xml:space="preserve">What problem or need does your community impact plan seek to address? Please include any relevant data.</w:t>
      </w:r>
    </w:p>
    <w:p>
      <w:pPr>
        <w:spacing w:after="160" w:line="288"/>
      </w:pPr>
      <w:r>
        <w:rPr>
          <w:rFonts w:ascii="Calibri" w:cs="Calibri" w:eastAsia="Calibri" w:hAnsi="Calibri"/>
          <w:color w:val="2B2622"/>
          <w:sz w:val="22"/>
          <w:szCs w:val="22"/>
        </w:rPr>
        <w:t xml:space="preserve">The [Licensee Name]/Greater Hudson Promise (GHP) partnership addresses the harm that arrest and incarceration, driven in large part by drug enforcement that fell hardest on Black and Latino New Yorkers, inflicts on children and families in the City of Hudson and Columbia County.</w:t>
      </w:r>
    </w:p>
    <w:p>
      <w:pPr>
        <w:spacing w:after="160" w:line="288"/>
      </w:pPr>
      <w:r>
        <w:rPr>
          <w:rFonts w:ascii="Calibri" w:cs="Calibri" w:eastAsia="Calibri" w:hAnsi="Calibri"/>
          <w:color w:val="2B2622"/>
          <w:sz w:val="22"/>
          <w:szCs w:val="22"/>
        </w:rPr>
        <w:t xml:space="preserve">Hudson’s poverty rate is 28.2 percent, more than double Columbia County’s 12.1 percent, and its median household income of $54,139 trails both the county ($81,528) and New York State ($85,974) (U.S. Census Bureau, American Community Survey 2020–2024). These disparities have deep roots. In the late 1960s and early 1970s, urban renewal demolished 286 buildings near Hudson’s waterfront and displaced more than 200 families, nearly one in ten residents; many of the Black families displaced were rehoused in public housing and were far less likely to go on to own homes or build wealth. Decades of cannabis prohibition compounded that harm: statewide, more than 80 percent of people arrested for marijuana possession were Black or Latino.</w:t>
      </w:r>
    </w:p>
    <w:p>
      <w:pPr>
        <w:spacing w:after="160" w:line="288"/>
      </w:pPr>
      <w:r>
        <w:rPr>
          <w:rFonts w:ascii="Calibri" w:cs="Calibri" w:eastAsia="Calibri" w:hAnsi="Calibri"/>
          <w:color w:val="2B2622"/>
          <w:sz w:val="22"/>
          <w:szCs w:val="22"/>
        </w:rPr>
        <w:t xml:space="preserve">When a parent is arrested or incarcerated, children can lose contact with a caregiver while their family absorbs new financial and emotional strain. Since August 2016, the Columbia County Jail has offered full-contact, child-friendly enhanced visits, launched by the Greater Hudson Initiative for Children of Incarcerated Parents (GHICIP) with the Columbia County Sheriff’s Office and GHP; GHP staff facilitate the visits, and in August 2022 GHP added facilitated virtual visits. The program helped introduce an Enhanced Child Visiting policy at the jail. Through Safeguarding Children of Arrested Parents, GHP partnered with the Mayor’s Office, the Hudson Police Department, and the Osborne Association to train officers in trauma-informed, child-sensitive arrest practices, and its Community Court Advocacy Program provides direct service, assistance, and advocacy for justice-impacted residents, with a team that includes staff with lived experience. In 2025, in-person enhanced visits expanded to six times a week, the court advocacy program assisted eight justice-impacted youth and three adults, and GHP presented the visiting program to administrators from another New York county jail seeking to learn about and potentially replicate it.</w:t>
      </w:r>
    </w:p>
    <w:p>
      <w:pPr>
        <w:spacing w:after="160" w:line="288"/>
      </w:pPr>
      <w:r>
        <w:rPr>
          <w:rFonts w:ascii="Calibri" w:cs="Calibri" w:eastAsia="Calibri" w:hAnsi="Calibri"/>
          <w:color w:val="2B2622"/>
          <w:sz w:val="22"/>
          <w:szCs w:val="22"/>
        </w:rPr>
        <w:t xml:space="preserve">Greater Hudson Promise (GHP) has served Hudson since 2011, when it was selected as one of fifteen communities nationwide for a U.S. Department of Education Promise Neighborhood planning grant. Modeled on the Harlem Children’s Zone, GHP is a place-based, cradle-to-career organization headquartered at 369 Warren Street in Hudson, serving children and families from birth through adulthood. The [Licensee Name]–GHP partnership will sustain and expand these services, keeping children connected to their parents, reducing the collateral harm of arrest and incarceration, and supporting justice-impacted adults as they rebuild stability.</w:t>
      </w:r>
    </w:p>
    <w:p>
      <w:pPr>
        <w:spacing w:after="160" w:before="320"/>
      </w:pPr>
      <w:r>
        <w:rPr>
          <w:rFonts w:ascii="Georgia" w:cs="Georgia" w:eastAsia="Georgia" w:hAnsi="Georgia"/>
          <w:b/>
          <w:bCs/>
          <w:color w:val="9A3B1F"/>
          <w:sz w:val="24"/>
          <w:szCs w:val="24"/>
        </w:rPr>
        <w:t xml:space="preserve">Who are the communities and individuals disproportionately impacted you intend to target?</w:t>
      </w:r>
    </w:p>
    <w:p>
      <w:pPr>
        <w:spacing w:after="160" w:line="288"/>
      </w:pPr>
      <w:r>
        <w:rPr>
          <w:rFonts w:ascii="Calibri" w:cs="Calibri" w:eastAsia="Calibri" w:hAnsi="Calibri"/>
          <w:color w:val="2B2622"/>
          <w:sz w:val="22"/>
          <w:szCs w:val="22"/>
        </w:rPr>
        <w:t xml:space="preserve">The targeted population is children and families of incarcerated and justice-involved parents in the City of Hudson and Columbia County, and youth and adults navigating the court system and reentry. These families have been disproportionately impacted by drug enforcement, poverty, and systemic oppression. GHP’s mission is to build an equitable community by providing opportunities and support to individuals and families affected by systemic oppression and failures. Across all GHP programs, 79 percent of participants are BIPOC.</w:t>
      </w:r>
    </w:p>
    <w:p>
      <w:pPr>
        <w:spacing w:after="160" w:before="320"/>
      </w:pPr>
      <w:r>
        <w:rPr>
          <w:rFonts w:ascii="Georgia" w:cs="Georgia" w:eastAsia="Georgia" w:hAnsi="Georgia"/>
          <w:b/>
          <w:bCs/>
          <w:color w:val="9A3B1F"/>
          <w:sz w:val="24"/>
          <w:szCs w:val="24"/>
        </w:rPr>
        <w:t xml:space="preserve">Goals</w:t>
      </w:r>
    </w:p>
    <w:p>
      <w:pPr>
        <w:pStyle w:val="ListParagraph"/>
        <w:numPr>
          <w:ilvl w:val="0"/>
          <w:numId w:val="2"/>
        </w:numPr>
        <w:spacing w:after="120" w:line="288"/>
      </w:pPr>
      <w:r>
        <w:rPr>
          <w:rFonts w:ascii="Calibri" w:cs="Calibri" w:eastAsia="Calibri" w:hAnsi="Calibri"/>
          <w:b/>
          <w:bCs/>
          <w:color w:val="2B2622"/>
          <w:sz w:val="22"/>
          <w:szCs w:val="22"/>
        </w:rPr>
        <w:t xml:space="preserve">Keep Children Connected to Incarcerated Parents. </w:t>
      </w:r>
      <w:r>
        <w:rPr>
          <w:rFonts w:ascii="Calibri" w:cs="Calibri" w:eastAsia="Calibri" w:hAnsi="Calibri"/>
          <w:color w:val="2B2622"/>
          <w:sz w:val="22"/>
          <w:szCs w:val="22"/>
        </w:rPr>
        <w:t xml:space="preserve">Provide enhanced, child-friendly in-person visits and facilitated virtual visits at the Columbia County Jail, so children can maintain their relationships with incarcerated parents. Measured by families served and visits completed (August 2016–August 2025: 90+ families and 750+ enhanced visits, 87 percent in person).</w:t>
      </w:r>
    </w:p>
    <w:p>
      <w:pPr>
        <w:pStyle w:val="ListParagraph"/>
        <w:numPr>
          <w:ilvl w:val="0"/>
          <w:numId w:val="2"/>
        </w:numPr>
        <w:spacing w:after="120" w:line="288"/>
      </w:pPr>
      <w:r>
        <w:rPr>
          <w:rFonts w:ascii="Calibri" w:cs="Calibri" w:eastAsia="Calibri" w:hAnsi="Calibri"/>
          <w:b/>
          <w:bCs/>
          <w:color w:val="2B2622"/>
          <w:sz w:val="22"/>
          <w:szCs w:val="22"/>
        </w:rPr>
        <w:t xml:space="preserve">Protect Children at the Point of a Parent’s Arrest. </w:t>
      </w:r>
      <w:r>
        <w:rPr>
          <w:rFonts w:ascii="Calibri" w:cs="Calibri" w:eastAsia="Calibri" w:hAnsi="Calibri"/>
          <w:color w:val="2B2622"/>
          <w:sz w:val="22"/>
          <w:szCs w:val="22"/>
        </w:rPr>
        <w:t xml:space="preserve">Train law enforcement and service providers in practices that reduce trauma for children when a parent is arrested, in partnership with the Hudson Police Department and the Osborne Association. Measured by the number of officers and providers trained (2022: 25 Hudson Police Department officers, plus 16 individuals from 6 youth-serving organizations).</w:t>
      </w:r>
    </w:p>
    <w:p>
      <w:pPr>
        <w:pStyle w:val="ListParagraph"/>
        <w:numPr>
          <w:ilvl w:val="0"/>
          <w:numId w:val="2"/>
        </w:numPr>
        <w:spacing w:after="120" w:line="288"/>
      </w:pPr>
      <w:r>
        <w:rPr>
          <w:rFonts w:ascii="Calibri" w:cs="Calibri" w:eastAsia="Calibri" w:hAnsi="Calibri"/>
          <w:b/>
          <w:bCs/>
          <w:color w:val="2B2622"/>
          <w:sz w:val="22"/>
          <w:szCs w:val="22"/>
        </w:rPr>
        <w:t xml:space="preserve">Support Justice-Impacted Youth and Adults Through Court and Reentry. </w:t>
      </w:r>
      <w:r>
        <w:rPr>
          <w:rFonts w:ascii="Calibri" w:cs="Calibri" w:eastAsia="Calibri" w:hAnsi="Calibri"/>
          <w:color w:val="2B2622"/>
          <w:sz w:val="22"/>
          <w:szCs w:val="22"/>
        </w:rPr>
        <w:t xml:space="preserve">Provide direct service, assistance, and advocacy for justice-impacted residents navigating court and reentry through GHP’s Community Court Advocacy Program, whose team includes staff with lived experience. Measured by the number of youth and adults supported and the services provided (2025: 8 justice-impacted youth and 3 adults assisted, with services including mentorship, emergency assistance, mindfulness coaching, Transformative Community Service, and Beyond GED enrollment).</w:t>
      </w:r>
    </w:p>
    <w:p>
      <w:pPr>
        <w:spacing w:after="160" w:before="320"/>
      </w:pPr>
      <w:r>
        <w:rPr>
          <w:rFonts w:ascii="Georgia" w:cs="Georgia" w:eastAsia="Georgia" w:hAnsi="Georgia"/>
          <w:b/>
          <w:bCs/>
          <w:color w:val="9A3B1F"/>
          <w:sz w:val="24"/>
          <w:szCs w:val="24"/>
        </w:rPr>
        <w:t xml:space="preserve">Partnership Commitment</w:t>
      </w:r>
    </w:p>
    <w:p>
      <w:pPr>
        <w:spacing w:after="160" w:line="288"/>
      </w:pPr>
      <w:r>
        <w:rPr>
          <w:rFonts w:ascii="Calibri" w:cs="Calibri" w:eastAsia="Calibri" w:hAnsi="Calibri"/>
          <w:color w:val="2B2622"/>
          <w:sz w:val="22"/>
          <w:szCs w:val="22"/>
        </w:rPr>
        <w:t xml:space="preserve">[Licensee Name] commits $5,000 per year to Greater Hudson Promise to support GHP’s programs for families impacted by incarceration, including its work with the Greater Hudson Initiative for Children of Incarcerated Parents and its Community Court Advocacy Program, for a term of 2 years, beginning Upon plan approval. Total commitment over the term: $10,000.</w:t>
      </w:r>
    </w:p>
    <w:p>
      <w:pPr>
        <w:spacing w:after="160" w:line="288"/>
      </w:pPr>
      <w:r>
        <w:rPr>
          <w:rFonts w:ascii="Calibri" w:cs="Calibri" w:eastAsia="Calibri" w:hAnsi="Calibri"/>
          <w:color w:val="2B2622"/>
          <w:sz w:val="22"/>
          <w:szCs w:val="22"/>
        </w:rPr>
        <w:t xml:space="preserve">The Year 1 contribution is made upon signing this pledge; the Year 2 contribution is due on the one-year anniversary.</w:t>
      </w:r>
    </w:p>
    <w:p>
      <w:pPr>
        <w:spacing w:after="160" w:line="288"/>
      </w:pPr>
      <w:r>
        <w:rPr>
          <w:rFonts w:ascii="Calibri" w:cs="Calibri" w:eastAsia="Calibri" w:hAnsi="Calibri"/>
          <w:color w:val="2B2622"/>
          <w:sz w:val="22"/>
          <w:szCs w:val="22"/>
        </w:rPr>
        <w:t xml:space="preserve">Funds support enhanced, child-friendly visits at the Columbia County Jail, facilitated virtual visits, training for police and providers on protecting children at a parent’s arrest, and court and reentry support for justice-impacted residents.</w:t>
      </w:r>
    </w:p>
    <w:p>
      <w:pPr>
        <w:spacing w:after="100" w:before="200"/>
      </w:pPr>
      <w:r>
        <w:rPr>
          <w:rFonts w:ascii="Calibri" w:cs="Calibri" w:eastAsia="Calibri" w:hAnsi="Calibri"/>
          <w:b/>
          <w:bCs/>
          <w:color w:val="2B2622"/>
          <w:sz w:val="22"/>
          <w:szCs w:val="22"/>
        </w:rPr>
        <w:t xml:space="preserve">Additional engagement</w:t>
      </w:r>
    </w:p>
    <w:p>
      <w:pPr>
        <w:pStyle w:val="ListParagraph"/>
        <w:numPr>
          <w:ilvl w:val="0"/>
          <w:numId w:val="3"/>
        </w:numPr>
        <w:spacing w:after="60" w:line="276"/>
      </w:pPr>
      <w:r>
        <w:rPr>
          <w:rFonts w:ascii="Calibri" w:cs="Calibri" w:eastAsia="Calibri" w:hAnsi="Calibri"/>
          <w:color w:val="2B2622"/>
          <w:sz w:val="22"/>
          <w:szCs w:val="22"/>
        </w:rPr>
        <w:t xml:space="preserve">[Licensee Name] will display information about GHP's programs and refer eligible young adults and families to GHP.</w:t>
      </w:r>
    </w:p>
    <w:p>
      <w:pPr>
        <w:pStyle w:val="ListParagraph"/>
        <w:numPr>
          <w:ilvl w:val="0"/>
          <w:numId w:val="3"/>
        </w:numPr>
        <w:spacing w:after="60" w:line="276"/>
      </w:pPr>
      <w:r>
        <w:rPr>
          <w:rFonts w:ascii="Calibri" w:cs="Calibri" w:eastAsia="Calibri" w:hAnsi="Calibri"/>
          <w:color w:val="2B2622"/>
          <w:sz w:val="22"/>
          <w:szCs w:val="22"/>
        </w:rPr>
        <w:t xml:space="preserve">[Licensee Name] will offer customers an optional round-up or donation prompt at checkout, with all proceeds directed to GHP.</w:t>
      </w:r>
    </w:p>
    <w:p>
      <w:pPr>
        <w:pStyle w:val="ListParagraph"/>
        <w:numPr>
          <w:ilvl w:val="0"/>
          <w:numId w:val="3"/>
        </w:numPr>
        <w:spacing w:after="60" w:line="276"/>
      </w:pPr>
      <w:r>
        <w:rPr>
          <w:rFonts w:ascii="Calibri" w:cs="Calibri" w:eastAsia="Calibri" w:hAnsi="Calibri"/>
          <w:color w:val="2B2622"/>
          <w:sz w:val="22"/>
          <w:szCs w:val="22"/>
        </w:rPr>
        <w:t xml:space="preserve">[Licensee Name] staff will contribute volunteer hours to GHP, including mock interviews, résumé support, and event assistance.</w:t>
      </w:r>
    </w:p>
    <w:p>
      <w:pPr>
        <w:spacing w:after="160" w:before="320"/>
      </w:pPr>
      <w:r>
        <w:rPr>
          <w:rFonts w:ascii="Georgia" w:cs="Georgia" w:eastAsia="Georgia" w:hAnsi="Georgia"/>
          <w:b/>
          <w:bCs/>
          <w:color w:val="9A3B1F"/>
          <w:sz w:val="24"/>
          <w:szCs w:val="24"/>
        </w:rPr>
        <w:t xml:space="preserve">How will you measure your program's success? Please describe both the qualitative and quantitative metrics you plan to use and how you'll gather this information.</w:t>
      </w:r>
    </w:p>
    <w:p>
      <w:pPr>
        <w:spacing w:after="100" w:before="200"/>
      </w:pPr>
      <w:r>
        <w:rPr>
          <w:rFonts w:ascii="Calibri" w:cs="Calibri" w:eastAsia="Calibri" w:hAnsi="Calibri"/>
          <w:b/>
          <w:bCs/>
          <w:color w:val="2B2622"/>
          <w:sz w:val="22"/>
          <w:szCs w:val="22"/>
        </w:rPr>
        <w:t xml:space="preserve">Qualitative</w:t>
      </w:r>
    </w:p>
    <w:p>
      <w:pPr>
        <w:spacing w:after="160" w:line="288"/>
      </w:pPr>
      <w:r>
        <w:rPr>
          <w:rFonts w:ascii="Calibri" w:cs="Calibri" w:eastAsia="Calibri" w:hAnsi="Calibri"/>
          <w:color w:val="2B2622"/>
          <w:sz w:val="22"/>
          <w:szCs w:val="22"/>
        </w:rPr>
        <w:t xml:space="preserve">Qualitative success will be measured through family surveys, participant interviews, and feedback from partners including the Columbia County Sheriff’s Office and the Hudson Police Department.</w:t>
      </w:r>
    </w:p>
    <w:p>
      <w:pPr>
        <w:spacing w:after="160" w:line="288"/>
      </w:pPr>
      <w:r>
        <w:rPr>
          <w:rFonts w:ascii="Calibri" w:cs="Calibri" w:eastAsia="Calibri" w:hAnsi="Calibri"/>
          <w:color w:val="2B2622"/>
          <w:sz w:val="22"/>
          <w:szCs w:val="22"/>
        </w:rPr>
        <w:t xml:space="preserve">In program surveys, incarcerated parents participating in enhanced visiting reported improved behavior and fewer disciplinary issues, and children reported reduced anxiety about their parent’s well-being and feeling more connected to their incarcerated parent. GHP’s court advocacy team, which includes staff with lived experience of the justice system, builds trusted relationships that help participants navigate court and reentry with dignity.</w:t>
      </w:r>
    </w:p>
    <w:p>
      <w:pPr>
        <w:spacing w:after="160" w:line="288"/>
      </w:pPr>
      <w:r>
        <w:rPr>
          <w:rFonts w:ascii="Calibri" w:cs="Calibri" w:eastAsia="Calibri" w:hAnsi="Calibri"/>
          <w:color w:val="2B2622"/>
          <w:sz w:val="22"/>
          <w:szCs w:val="22"/>
        </w:rPr>
        <w:t xml:space="preserve">These measures, together with ongoing staff contact, show whether children remain connected to their parents and whether justice-impacted adults are gaining stability.</w:t>
      </w:r>
    </w:p>
    <w:p>
      <w:pPr>
        <w:spacing w:after="100" w:before="200"/>
      </w:pPr>
      <w:r>
        <w:rPr>
          <w:rFonts w:ascii="Calibri" w:cs="Calibri" w:eastAsia="Calibri" w:hAnsi="Calibri"/>
          <w:b/>
          <w:bCs/>
          <w:color w:val="2B2622"/>
          <w:sz w:val="22"/>
          <w:szCs w:val="22"/>
        </w:rPr>
        <w:t xml:space="preserve">Quantitative</w:t>
      </w:r>
    </w:p>
    <w:p>
      <w:pPr>
        <w:spacing w:after="160" w:line="288"/>
      </w:pPr>
      <w:r>
        <w:rPr>
          <w:rFonts w:ascii="Calibri" w:cs="Calibri" w:eastAsia="Calibri" w:hAnsi="Calibri"/>
          <w:color w:val="2B2622"/>
          <w:sz w:val="22"/>
          <w:szCs w:val="22"/>
        </w:rPr>
        <w:t xml:space="preserve">Success will be measured through clear, quantitative outcomes for children and families impacted by incarceration, tracked by GHP staff and reported in GHP’s annual impact summary.</w:t>
      </w:r>
    </w:p>
    <w:p>
      <w:pPr>
        <w:spacing w:after="100" w:before="200"/>
      </w:pPr>
      <w:r>
        <w:rPr>
          <w:rFonts w:ascii="Calibri" w:cs="Calibri" w:eastAsia="Calibri" w:hAnsi="Calibri"/>
          <w:b/>
          <w:bCs/>
          <w:color w:val="2B2622"/>
          <w:sz w:val="22"/>
          <w:szCs w:val="22"/>
        </w:rPr>
        <w:t xml:space="preserve">Enhanced Visiting</w:t>
      </w:r>
    </w:p>
    <w:p>
      <w:pPr>
        <w:spacing w:after="160" w:line="288"/>
      </w:pPr>
      <w:r>
        <w:rPr>
          <w:rFonts w:ascii="Calibri" w:cs="Calibri" w:eastAsia="Calibri" w:hAnsi="Calibri"/>
          <w:color w:val="2B2622"/>
          <w:sz w:val="22"/>
          <w:szCs w:val="22"/>
        </w:rPr>
        <w:t xml:space="preserve">August 2016–August 2025:</w:t>
      </w:r>
    </w:p>
    <w:p>
      <w:pPr>
        <w:pStyle w:val="ListParagraph"/>
        <w:numPr>
          <w:ilvl w:val="0"/>
          <w:numId w:val="3"/>
        </w:numPr>
        <w:spacing w:after="60" w:line="276"/>
      </w:pPr>
      <w:r>
        <w:rPr>
          <w:rFonts w:ascii="Calibri" w:cs="Calibri" w:eastAsia="Calibri" w:hAnsi="Calibri"/>
          <w:color w:val="2B2622"/>
          <w:sz w:val="22"/>
          <w:szCs w:val="22"/>
        </w:rPr>
        <w:t xml:space="preserve">90+ families served</w:t>
      </w:r>
    </w:p>
    <w:p>
      <w:pPr>
        <w:pStyle w:val="ListParagraph"/>
        <w:numPr>
          <w:ilvl w:val="0"/>
          <w:numId w:val="3"/>
        </w:numPr>
        <w:spacing w:after="60" w:line="276"/>
      </w:pPr>
      <w:r>
        <w:rPr>
          <w:rFonts w:ascii="Calibri" w:cs="Calibri" w:eastAsia="Calibri" w:hAnsi="Calibri"/>
          <w:color w:val="2B2622"/>
          <w:sz w:val="22"/>
          <w:szCs w:val="22"/>
        </w:rPr>
        <w:t xml:space="preserve">750+ enhanced visits at the Columbia County Jail</w:t>
      </w:r>
    </w:p>
    <w:p>
      <w:pPr>
        <w:pStyle w:val="ListParagraph"/>
        <w:numPr>
          <w:ilvl w:val="0"/>
          <w:numId w:val="3"/>
        </w:numPr>
        <w:spacing w:after="60" w:line="276"/>
      </w:pPr>
      <w:r>
        <w:rPr>
          <w:rFonts w:ascii="Calibri" w:cs="Calibri" w:eastAsia="Calibri" w:hAnsi="Calibri"/>
          <w:color w:val="2B2622"/>
          <w:sz w:val="22"/>
          <w:szCs w:val="22"/>
        </w:rPr>
        <w:t xml:space="preserve">87 percent of visits held in person</w:t>
      </w:r>
    </w:p>
    <w:p>
      <w:pPr>
        <w:spacing w:after="160" w:line="288"/>
      </w:pPr>
      <w:r>
        <w:rPr>
          <w:rFonts w:ascii="Calibri" w:cs="Calibri" w:eastAsia="Calibri" w:hAnsi="Calibri"/>
          <w:color w:val="2B2622"/>
          <w:sz w:val="22"/>
          <w:szCs w:val="22"/>
        </w:rPr>
        <w:t xml:space="preserve">In 2025, in-person enhanced visits expanded to six times a week, with virtual visits available for families facing distance barriers. Tracking includes families enrolled, visits completed (in person and virtual), and family survey results.</w:t>
      </w:r>
    </w:p>
    <w:p>
      <w:pPr>
        <w:spacing w:after="100" w:before="200"/>
      </w:pPr>
      <w:r>
        <w:rPr>
          <w:rFonts w:ascii="Calibri" w:cs="Calibri" w:eastAsia="Calibri" w:hAnsi="Calibri"/>
          <w:b/>
          <w:bCs/>
          <w:color w:val="2B2622"/>
          <w:sz w:val="22"/>
          <w:szCs w:val="22"/>
        </w:rPr>
        <w:t xml:space="preserve">Training and Systems Change</w:t>
      </w:r>
    </w:p>
    <w:p>
      <w:pPr>
        <w:spacing w:after="160" w:line="288"/>
      </w:pPr>
      <w:r>
        <w:rPr>
          <w:rFonts w:ascii="Calibri" w:cs="Calibri" w:eastAsia="Calibri" w:hAnsi="Calibri"/>
          <w:color w:val="2B2622"/>
          <w:sz w:val="22"/>
          <w:szCs w:val="22"/>
        </w:rPr>
        <w:t xml:space="preserve">In 2022:</w:t>
      </w:r>
    </w:p>
    <w:p>
      <w:pPr>
        <w:pStyle w:val="ListParagraph"/>
        <w:numPr>
          <w:ilvl w:val="0"/>
          <w:numId w:val="3"/>
        </w:numPr>
        <w:spacing w:after="60" w:line="276"/>
      </w:pPr>
      <w:r>
        <w:rPr>
          <w:rFonts w:ascii="Calibri" w:cs="Calibri" w:eastAsia="Calibri" w:hAnsi="Calibri"/>
          <w:color w:val="2B2622"/>
          <w:sz w:val="22"/>
          <w:szCs w:val="22"/>
        </w:rPr>
        <w:t xml:space="preserve">25 Hudson Police Department officers completed a full-day training in trauma-informed, child-sensitive arrest practices</w:t>
      </w:r>
    </w:p>
    <w:p>
      <w:pPr>
        <w:pStyle w:val="ListParagraph"/>
        <w:numPr>
          <w:ilvl w:val="0"/>
          <w:numId w:val="3"/>
        </w:numPr>
        <w:spacing w:after="60" w:line="276"/>
      </w:pPr>
      <w:r>
        <w:rPr>
          <w:rFonts w:ascii="Calibri" w:cs="Calibri" w:eastAsia="Calibri" w:hAnsi="Calibri"/>
          <w:color w:val="2B2622"/>
          <w:sz w:val="22"/>
          <w:szCs w:val="22"/>
        </w:rPr>
        <w:t xml:space="preserve">16 individuals from 6 youth-serving organizations completed the training</w:t>
      </w:r>
    </w:p>
    <w:p>
      <w:pPr>
        <w:pStyle w:val="ListParagraph"/>
        <w:numPr>
          <w:ilvl w:val="0"/>
          <w:numId w:val="3"/>
        </w:numPr>
        <w:spacing w:after="60" w:line="276"/>
      </w:pPr>
      <w:r>
        <w:rPr>
          <w:rFonts w:ascii="Calibri" w:cs="Calibri" w:eastAsia="Calibri" w:hAnsi="Calibri"/>
          <w:color w:val="2B2622"/>
          <w:sz w:val="22"/>
          <w:szCs w:val="22"/>
        </w:rPr>
        <w:t xml:space="preserve">33 facilitated virtual visits after the August 2022 pilot launch</w:t>
      </w:r>
    </w:p>
    <w:p>
      <w:pPr>
        <w:spacing w:after="160" w:line="288"/>
      </w:pPr>
      <w:r>
        <w:rPr>
          <w:rFonts w:ascii="Calibri" w:cs="Calibri" w:eastAsia="Calibri" w:hAnsi="Calibri"/>
          <w:color w:val="2B2622"/>
          <w:sz w:val="22"/>
          <w:szCs w:val="22"/>
        </w:rPr>
        <w:t xml:space="preserve">The program helped introduce an Enhanced Child Visiting policy at the Columbia County Jail. In November 2025, GHP presented the program to administrators from another New York county jail and staff from several judicial districts seeking to learn about and potentially replicate it.</w:t>
      </w:r>
    </w:p>
    <w:p>
      <w:pPr>
        <w:spacing w:after="100" w:before="200"/>
      </w:pPr>
      <w:r>
        <w:rPr>
          <w:rFonts w:ascii="Calibri" w:cs="Calibri" w:eastAsia="Calibri" w:hAnsi="Calibri"/>
          <w:b/>
          <w:bCs/>
          <w:color w:val="2B2622"/>
          <w:sz w:val="22"/>
          <w:szCs w:val="22"/>
        </w:rPr>
        <w:t xml:space="preserve">Court Advocacy and Reentry</w:t>
      </w:r>
    </w:p>
    <w:p>
      <w:pPr>
        <w:spacing w:after="160" w:line="288"/>
      </w:pPr>
      <w:r>
        <w:rPr>
          <w:rFonts w:ascii="Calibri" w:cs="Calibri" w:eastAsia="Calibri" w:hAnsi="Calibri"/>
          <w:color w:val="2B2622"/>
          <w:sz w:val="22"/>
          <w:szCs w:val="22"/>
        </w:rPr>
        <w:t xml:space="preserve">In 2025:</w:t>
      </w:r>
    </w:p>
    <w:p>
      <w:pPr>
        <w:pStyle w:val="ListParagraph"/>
        <w:numPr>
          <w:ilvl w:val="0"/>
          <w:numId w:val="3"/>
        </w:numPr>
        <w:spacing w:after="60" w:line="276"/>
      </w:pPr>
      <w:r>
        <w:rPr>
          <w:rFonts w:ascii="Calibri" w:cs="Calibri" w:eastAsia="Calibri" w:hAnsi="Calibri"/>
          <w:color w:val="2B2622"/>
          <w:sz w:val="22"/>
          <w:szCs w:val="22"/>
        </w:rPr>
        <w:t xml:space="preserve">8 justice-impacted youth and 3 adults assisted</w:t>
      </w:r>
    </w:p>
    <w:p>
      <w:pPr>
        <w:pStyle w:val="ListParagraph"/>
        <w:numPr>
          <w:ilvl w:val="0"/>
          <w:numId w:val="3"/>
        </w:numPr>
        <w:spacing w:after="60" w:line="276"/>
      </w:pPr>
      <w:r>
        <w:rPr>
          <w:rFonts w:ascii="Calibri" w:cs="Calibri" w:eastAsia="Calibri" w:hAnsi="Calibri"/>
          <w:color w:val="2B2622"/>
          <w:sz w:val="22"/>
          <w:szCs w:val="22"/>
        </w:rPr>
        <w:t xml:space="preserve">Services included direct mentorship, emergency assistance, mindfulness coaching, Transformative Community Service, and Beyond GED enrollment</w:t>
      </w:r>
    </w:p>
    <w:p>
      <w:pPr>
        <w:spacing w:after="160" w:line="288"/>
      </w:pPr>
      <w:r>
        <w:rPr>
          <w:rFonts w:ascii="Calibri" w:cs="Calibri" w:eastAsia="Calibri" w:hAnsi="Calibri"/>
          <w:color w:val="2B2622"/>
          <w:sz w:val="22"/>
          <w:szCs w:val="22"/>
        </w:rPr>
        <w:t xml:space="preserve">GHP tracks individuals supported, services provided, referrals completed, and reentry outcomes such as housing and employment.</w:t>
      </w:r>
    </w:p>
    <w:p>
      <w:pPr>
        <w:spacing w:after="100" w:before="200"/>
      </w:pPr>
      <w:r>
        <w:rPr>
          <w:rFonts w:ascii="Calibri" w:cs="Calibri" w:eastAsia="Calibri" w:hAnsi="Calibri"/>
          <w:b/>
          <w:bCs/>
          <w:color w:val="2B2622"/>
          <w:sz w:val="22"/>
          <w:szCs w:val="22"/>
        </w:rPr>
        <w:t xml:space="preserve">Overall Performance Indicators</w:t>
      </w:r>
    </w:p>
    <w:p>
      <w:pPr>
        <w:spacing w:after="160" w:line="288"/>
      </w:pPr>
      <w:r>
        <w:rPr>
          <w:rFonts w:ascii="Calibri" w:cs="Calibri" w:eastAsia="Calibri" w:hAnsi="Calibri"/>
          <w:color w:val="2B2622"/>
          <w:sz w:val="22"/>
          <w:szCs w:val="22"/>
        </w:rPr>
        <w:t xml:space="preserve">Program success will continue to be measured through:</w:t>
      </w:r>
    </w:p>
    <w:p>
      <w:pPr>
        <w:pStyle w:val="ListParagraph"/>
        <w:numPr>
          <w:ilvl w:val="0"/>
          <w:numId w:val="3"/>
        </w:numPr>
        <w:spacing w:after="60" w:line="276"/>
      </w:pPr>
      <w:r>
        <w:rPr>
          <w:rFonts w:ascii="Calibri" w:cs="Calibri" w:eastAsia="Calibri" w:hAnsi="Calibri"/>
          <w:color w:val="2B2622"/>
          <w:sz w:val="22"/>
          <w:szCs w:val="22"/>
        </w:rPr>
        <w:t xml:space="preserve">Families and children served</w:t>
      </w:r>
    </w:p>
    <w:p>
      <w:pPr>
        <w:pStyle w:val="ListParagraph"/>
        <w:numPr>
          <w:ilvl w:val="0"/>
          <w:numId w:val="3"/>
        </w:numPr>
        <w:spacing w:after="60" w:line="276"/>
      </w:pPr>
      <w:r>
        <w:rPr>
          <w:rFonts w:ascii="Calibri" w:cs="Calibri" w:eastAsia="Calibri" w:hAnsi="Calibri"/>
          <w:color w:val="2B2622"/>
          <w:sz w:val="22"/>
          <w:szCs w:val="22"/>
        </w:rPr>
        <w:t xml:space="preserve">Visits completed</w:t>
      </w:r>
    </w:p>
    <w:p>
      <w:pPr>
        <w:pStyle w:val="ListParagraph"/>
        <w:numPr>
          <w:ilvl w:val="0"/>
          <w:numId w:val="3"/>
        </w:numPr>
        <w:spacing w:after="60" w:line="276"/>
      </w:pPr>
      <w:r>
        <w:rPr>
          <w:rFonts w:ascii="Calibri" w:cs="Calibri" w:eastAsia="Calibri" w:hAnsi="Calibri"/>
          <w:color w:val="2B2622"/>
          <w:sz w:val="22"/>
          <w:szCs w:val="22"/>
        </w:rPr>
        <w:t xml:space="preserve">Officers and providers trained</w:t>
      </w:r>
    </w:p>
    <w:p>
      <w:pPr>
        <w:pStyle w:val="ListParagraph"/>
        <w:numPr>
          <w:ilvl w:val="0"/>
          <w:numId w:val="3"/>
        </w:numPr>
        <w:spacing w:after="60" w:line="276"/>
      </w:pPr>
      <w:r>
        <w:rPr>
          <w:rFonts w:ascii="Calibri" w:cs="Calibri" w:eastAsia="Calibri" w:hAnsi="Calibri"/>
          <w:color w:val="2B2622"/>
          <w:sz w:val="22"/>
          <w:szCs w:val="22"/>
        </w:rPr>
        <w:t xml:space="preserve">Justice-impacted adults supported</w:t>
      </w:r>
    </w:p>
    <w:p>
      <w:pPr>
        <w:pStyle w:val="ListParagraph"/>
        <w:numPr>
          <w:ilvl w:val="0"/>
          <w:numId w:val="3"/>
        </w:numPr>
        <w:spacing w:after="60" w:line="276"/>
      </w:pPr>
      <w:r>
        <w:rPr>
          <w:rFonts w:ascii="Calibri" w:cs="Calibri" w:eastAsia="Calibri" w:hAnsi="Calibri"/>
          <w:color w:val="2B2622"/>
          <w:sz w:val="22"/>
          <w:szCs w:val="22"/>
        </w:rPr>
        <w:t xml:space="preserve">Family and participant satisfaction</w:t>
      </w:r>
    </w:p>
    <w:p>
      <w:pPr>
        <w:spacing w:after="160" w:before="320"/>
      </w:pPr>
      <w:r>
        <w:rPr>
          <w:rFonts w:ascii="Georgia" w:cs="Georgia" w:eastAsia="Georgia" w:hAnsi="Georgia"/>
          <w:b/>
          <w:bCs/>
          <w:color w:val="9A3B1F"/>
          <w:sz w:val="24"/>
          <w:szCs w:val="24"/>
        </w:rPr>
        <w:t xml:space="preserve">Reporting and Accountability</w:t>
      </w:r>
    </w:p>
    <w:p>
      <w:pPr>
        <w:spacing w:after="160" w:line="288"/>
      </w:pPr>
      <w:r>
        <w:rPr>
          <w:rFonts w:ascii="Calibri" w:cs="Calibri" w:eastAsia="Calibri" w:hAnsi="Calibri"/>
          <w:color w:val="2B2622"/>
          <w:sz w:val="22"/>
          <w:szCs w:val="22"/>
        </w:rPr>
        <w:t xml:space="preserve">GHP will provide [Licensee Name] with an annual impact summary covering the metrics above, along with acknowledgment of contributions received. [Licensee Name] will retain these records, together with proof of each contribution, to document plan implementation at license renewal.</w:t>
      </w:r>
    </w:p>
    <w:p>
      <w:pPr>
        <w:spacing w:before="480"/>
      </w:pPr>
    </w:p>
    <w:tbl>
      <w:tblPr>
        <w:tblW w:type="pct" w:w="5000"/>
        <w:tblBorders>
          <w:top w:val="none" w:color="FFFFFF" w:sz="0"/>
          <w:left w:val="none" w:color="FFFFFF" w:sz="0"/>
          <w:bottom w:val="none" w:color="FFFFFF" w:sz="0"/>
          <w:right w:val="none" w:color="FFFFFF" w:sz="0"/>
          <w:insideH w:val="single" w:color="E4DCD2" w:sz="2"/>
          <w:insideV w:val="none" w:color="FFFFFF" w:sz="0"/>
        </w:tblBorders>
      </w:tblPr>
      <w:tblGrid>
        <w:gridCol w:w="2995"/>
        <w:gridCol w:w="6365"/>
      </w:tblGrid>
      <w:tr>
        <w:tc>
          <w:tcPr>
            <w:tcW w:type="pct" w:w="1600"/>
            <w:tcMar>
              <w:top w:type="dxa" w:w="60"/>
              <w:bottom w:type="dxa" w:w="60"/>
            </w:tcMar>
          </w:tcPr>
          <w:p>
            <w:r>
              <w:rPr>
                <w:rFonts w:ascii="Calibri" w:cs="Calibri" w:eastAsia="Calibri" w:hAnsi="Calibri"/>
                <w:b/>
                <w:bCs/>
                <w:color w:val="6B5F55"/>
                <w:sz w:val="20"/>
                <w:szCs w:val="20"/>
              </w:rPr>
              <w:t xml:space="preserve">Submitted by</w:t>
            </w:r>
          </w:p>
        </w:tc>
        <w:tc>
          <w:tcPr>
            <w:tcW w:type="pct" w:w="3400"/>
            <w:tcMar>
              <w:top w:type="dxa" w:w="60"/>
              <w:bottom w:type="dxa" w:w="60"/>
            </w:tcMar>
          </w:tcPr>
          <w:p>
            <w:r>
              <w:rPr>
                <w:rFonts w:ascii="Calibri" w:cs="Calibri" w:eastAsia="Calibri" w:hAnsi="Calibri"/>
                <w:color w:val="2B2622"/>
                <w:sz w:val="22"/>
                <w:szCs w:val="22"/>
              </w:rPr>
              <w:t xml:space="preserve">[Signer Name], [Signer Title]</w:t>
            </w:r>
          </w:p>
        </w:tc>
      </w:tr>
      <w:tr>
        <w:tc>
          <w:tcPr>
            <w:tcW w:type="pct" w:w="1600"/>
            <w:tcMar>
              <w:top w:type="dxa" w:w="60"/>
              <w:bottom w:type="dxa" w:w="60"/>
            </w:tcMar>
          </w:tcPr>
          <w:p>
            <w:r>
              <w:rPr>
                <w:rFonts w:ascii="Calibri" w:cs="Calibri" w:eastAsia="Calibri" w:hAnsi="Calibri"/>
                <w:b/>
                <w:bCs/>
                <w:color w:val="6B5F55"/>
                <w:sz w:val="20"/>
                <w:szCs w:val="20"/>
              </w:rPr>
              <w:t xml:space="preserve">For</w:t>
            </w:r>
          </w:p>
        </w:tc>
        <w:tc>
          <w:tcPr>
            <w:tcW w:type="pct" w:w="3400"/>
            <w:tcMar>
              <w:top w:type="dxa" w:w="60"/>
              <w:bottom w:type="dxa" w:w="60"/>
            </w:tcMar>
          </w:tcPr>
          <w:p>
            <w:r>
              <w:rPr>
                <w:rFonts w:ascii="Calibri" w:cs="Calibri" w:eastAsia="Calibri" w:hAnsi="Calibri"/>
                <w:color w:val="2B2622"/>
                <w:sz w:val="22"/>
                <w:szCs w:val="22"/>
              </w:rPr>
              <w:t xml:space="preserve">[Licensee Name]</w:t>
            </w:r>
          </w:p>
        </w:tc>
      </w:tr>
      <w:tr>
        <w:tc>
          <w:tcPr>
            <w:tcW w:type="pct" w:w="1600"/>
            <w:tcMar>
              <w:top w:type="dxa" w:w="60"/>
              <w:bottom w:type="dxa" w:w="60"/>
            </w:tcMar>
          </w:tcPr>
          <w:p>
            <w:r>
              <w:rPr>
                <w:rFonts w:ascii="Calibri" w:cs="Calibri" w:eastAsia="Calibri" w:hAnsi="Calibri"/>
                <w:b/>
                <w:bCs/>
                <w:color w:val="6B5F55"/>
                <w:sz w:val="20"/>
                <w:szCs w:val="20"/>
              </w:rPr>
              <w:t xml:space="preserve">Date</w:t>
            </w:r>
          </w:p>
        </w:tc>
        <w:tc>
          <w:tcPr>
            <w:tcW w:type="pct" w:w="3400"/>
            <w:tcMar>
              <w:top w:type="dxa" w:w="60"/>
              <w:bottom w:type="dxa" w:w="60"/>
            </w:tcMar>
          </w:tcPr>
          <w:p>
            <w:r>
              <w:rPr>
                <w:rFonts w:ascii="Calibri" w:cs="Calibri" w:eastAsia="Calibri" w:hAnsi="Calibri"/>
                <w:color w:val="2B2622"/>
                <w:sz w:val="22"/>
                <w:szCs w:val="22"/>
              </w:rPr>
              <w:t xml:space="preserve">October 19, 2026</w:t>
            </w:r>
          </w:p>
        </w:tc>
      </w:tr>
    </w:tbl>
    <w:p>
      <w:pPr>
        <w:pageBreakBefore/>
        <w:spacing w:after="80"/>
      </w:pPr>
      <w:r>
        <w:rPr>
          <w:rFonts w:ascii="Georgia" w:cs="Georgia" w:eastAsia="Georgia" w:hAnsi="Georgia"/>
          <w:color w:val="2B2622"/>
          <w:sz w:val="40"/>
          <w:szCs w:val="40"/>
        </w:rPr>
        <w:t xml:space="preserve">Renewal Application Guide</w:t>
      </w:r>
    </w:p>
    <w:p>
      <w:pPr>
        <w:spacing w:after="240"/>
      </w:pPr>
      <w:r>
        <w:rPr>
          <w:rFonts w:ascii="Calibri" w:cs="Calibri" w:eastAsia="Calibri" w:hAnsi="Calibri"/>
          <w:color w:val="6B5F55"/>
          <w:sz w:val="22"/>
          <w:szCs w:val="22"/>
        </w:rPr>
        <w:t xml:space="preserve">Community Impact Plan section  ·  [Licensee Name]</w:t>
      </w:r>
    </w:p>
    <w:p>
      <w:pPr>
        <w:spacing w:after="160" w:line="288"/>
      </w:pPr>
      <w:r>
        <w:rPr>
          <w:rFonts w:ascii="Calibri" w:cs="Calibri" w:eastAsia="Calibri" w:hAnsi="Calibri"/>
          <w:i/>
          <w:iCs/>
          <w:color w:val="2B2622"/>
          <w:sz w:val="22"/>
          <w:szCs w:val="22"/>
        </w:rPr>
        <w:t xml:space="preserve">Your OCM renewal application includes a Community Impact Plan section with the questions below. We’ve drafted suggested responses based on your partnership with Greater Hudson Promise. Review each one, adjust anything that doesn’t reflect your business, and paste it into the portal yourself.</w:t>
      </w:r>
    </w:p>
    <w:p>
      <w:pPr>
        <w:spacing w:after="160" w:line="288"/>
      </w:pPr>
      <w:r>
        <w:rPr>
          <w:rFonts w:ascii="Calibri" w:cs="Calibri" w:eastAsia="Calibri" w:hAnsi="Calibri"/>
          <w:i/>
          <w:iCs/>
          <w:color w:val="2B2622"/>
          <w:sz w:val="22"/>
          <w:szCs w:val="22"/>
        </w:rPr>
        <w:t xml:space="preserve">OCM Community Impact Plan guidance (PDF): https://cannabis.ny.gov/system/files/documents/2026/03/3.27.26-community-impact-plan-guidance.pdf</w:t>
      </w:r>
    </w:p>
    <w:p>
      <w:pPr>
        <w:spacing w:after="160" w:line="288"/>
      </w:pPr>
      <w:r>
        <w:rPr>
          <w:rFonts w:ascii="Calibri" w:cs="Calibri" w:eastAsia="Calibri" w:hAnsi="Calibri"/>
          <w:b/>
          <w:bCs/>
          <w:color w:val="2B2622"/>
          <w:sz w:val="22"/>
          <w:szCs w:val="22"/>
        </w:rPr>
        <w:t xml:space="preserve">Please review before submitting. The Community Impact Plan and renewal application responses provided here are a suggested draft for your review. Each licensee is solely responsible for reviewing, editing, and approving its own submission to the Office of Cannabis Management, and for the accuracy and completeness of everything it submits. Greater Hudson Promise and its volunteers do not provide legal or tax advice.</w:t>
      </w:r>
    </w:p>
    <w:p>
      <w:pPr>
        <w:keepNext/>
        <w:spacing w:after="120" w:before="320"/>
      </w:pPr>
      <w:r>
        <w:rPr>
          <w:rFonts w:ascii="Georgia" w:cs="Georgia" w:eastAsia="Georgia" w:hAnsi="Georgia"/>
          <w:b/>
          <w:bCs/>
          <w:color w:val="9A3B1F"/>
          <w:sz w:val="22"/>
          <w:szCs w:val="22"/>
        </w:rPr>
        <w:t xml:space="preserve">1.  </w:t>
      </w:r>
      <w:r>
        <w:rPr>
          <w:rFonts w:ascii="Calibri" w:cs="Calibri" w:eastAsia="Calibri" w:hAnsi="Calibri"/>
          <w:b/>
          <w:bCs/>
          <w:color w:val="2B2622"/>
          <w:sz w:val="22"/>
          <w:szCs w:val="22"/>
        </w:rPr>
        <w:t xml:space="preserve">Please provide high level summary of your plan. What problem or need does your community impact plan seek to address? Please include any relevant data.</w:t>
      </w:r>
    </w:p>
    <w:p>
      <w:pPr>
        <w:spacing w:after="100" w:line="288"/>
      </w:pPr>
      <w:r>
        <w:rPr>
          <w:rFonts w:ascii="Calibri" w:cs="Calibri" w:eastAsia="Calibri" w:hAnsi="Calibri"/>
          <w:color w:val="2B2622"/>
          <w:sz w:val="22"/>
          <w:szCs w:val="22"/>
        </w:rPr>
        <w:t xml:space="preserve">The [Licensee Name]/Greater Hudson Promise (GHP) partnership addresses the harm that arrest and incarceration, driven in large part by drug enforcement that fell hardest on Black and Latino New Yorkers, inflicts on children and families in the City of Hudson and Columbia County.</w:t>
      </w:r>
    </w:p>
    <w:p>
      <w:pPr>
        <w:spacing w:after="100" w:line="288"/>
      </w:pPr>
      <w:r>
        <w:rPr>
          <w:rFonts w:ascii="Calibri" w:cs="Calibri" w:eastAsia="Calibri" w:hAnsi="Calibri"/>
          <w:color w:val="2B2622"/>
          <w:sz w:val="22"/>
          <w:szCs w:val="22"/>
        </w:rPr>
        <w:t xml:space="preserve">Hudson’s poverty rate is 28.2 percent, more than double Columbia County’s 12.1 percent, and its median household income of $54,139 trails both the county ($81,528) and New York State ($85,974) (U.S. Census Bureau, American Community Survey 2020–2024). These disparities have deep roots. In the late 1960s and early 1970s, urban renewal demolished 286 buildings near Hudson’s waterfront and displaced more than 200 families, nearly one in ten residents; many of the Black families displaced were rehoused in public housing and were far less likely to go on to own homes or build wealth. Decades of cannabis prohibition compounded that harm: statewide, more than 80 percent of people arrested for marijuana possession were Black or Latino.</w:t>
      </w:r>
    </w:p>
    <w:p>
      <w:pPr>
        <w:spacing w:after="100" w:line="288"/>
      </w:pPr>
      <w:r>
        <w:rPr>
          <w:rFonts w:ascii="Calibri" w:cs="Calibri" w:eastAsia="Calibri" w:hAnsi="Calibri"/>
          <w:color w:val="2B2622"/>
          <w:sz w:val="22"/>
          <w:szCs w:val="22"/>
        </w:rPr>
        <w:t xml:space="preserve">When a parent is arrested or incarcerated, children can lose contact with a caregiver while their family absorbs new financial and emotional strain. Since August 2016, the Columbia County Jail has offered full-contact, child-friendly enhanced visits, launched by the Greater Hudson Initiative for Children of Incarcerated Parents (GHICIP) with the Columbia County Sheriff’s Office and GHP; GHP staff facilitate the visits, and in August 2022 GHP added facilitated virtual visits. The program helped introduce an Enhanced Child Visiting policy at the jail. Through Safeguarding Children of Arrested Parents, GHP partnered with the Mayor’s Office, the Hudson Police Department, and the Osborne Association to train officers in trauma-informed, child-sensitive arrest practices, and its Community Court Advocacy Program provides direct service, assistance, and advocacy for justice-impacted residents, with a team that includes staff with lived experience. In 2025, in-person enhanced visits expanded to six times a week, the court advocacy program assisted eight justice-impacted youth and three adults, and GHP presented the visiting program to administrators from another New York county jail seeking to learn about and potentially replicate it.</w:t>
      </w:r>
    </w:p>
    <w:p>
      <w:pPr>
        <w:spacing w:after="100" w:line="288"/>
      </w:pPr>
      <w:r>
        <w:rPr>
          <w:rFonts w:ascii="Calibri" w:cs="Calibri" w:eastAsia="Calibri" w:hAnsi="Calibri"/>
          <w:color w:val="2B2622"/>
          <w:sz w:val="22"/>
          <w:szCs w:val="22"/>
        </w:rPr>
        <w:t xml:space="preserve">Greater Hudson Promise (GHP) has served Hudson since 2011, when it was selected as one of fifteen communities nationwide for a U.S. Department of Education Promise Neighborhood planning grant. Modeled on the Harlem Children’s Zone, GHP is a place-based, cradle-to-career organization headquartered at 369 Warren Street in Hudson, serving children and families from birth through adulthood. The [Licensee Name]–GHP partnership will sustain and expand these services, keeping children connected to their parents, reducing the collateral harm of arrest and incarceration, and supporting justice-impacted adults as they rebuild stability.</w:t>
      </w:r>
    </w:p>
    <w:p>
      <w:pPr>
        <w:keepNext/>
        <w:spacing w:after="120" w:before="320"/>
      </w:pPr>
      <w:r>
        <w:rPr>
          <w:rFonts w:ascii="Georgia" w:cs="Georgia" w:eastAsia="Georgia" w:hAnsi="Georgia"/>
          <w:b/>
          <w:bCs/>
          <w:color w:val="9A3B1F"/>
          <w:sz w:val="22"/>
          <w:szCs w:val="22"/>
        </w:rPr>
        <w:t xml:space="preserve">2.  </w:t>
      </w:r>
      <w:r>
        <w:rPr>
          <w:rFonts w:ascii="Calibri" w:cs="Calibri" w:eastAsia="Calibri" w:hAnsi="Calibri"/>
          <w:b/>
          <w:bCs/>
          <w:color w:val="2B2622"/>
          <w:sz w:val="22"/>
          <w:szCs w:val="22"/>
        </w:rPr>
        <w:t xml:space="preserve">Who are the communities and individuals disproportionately impacted you intend to target?</w:t>
      </w:r>
    </w:p>
    <w:p>
      <w:pPr>
        <w:spacing w:after="100" w:line="288"/>
      </w:pPr>
      <w:r>
        <w:rPr>
          <w:rFonts w:ascii="Calibri" w:cs="Calibri" w:eastAsia="Calibri" w:hAnsi="Calibri"/>
          <w:color w:val="2B2622"/>
          <w:sz w:val="22"/>
          <w:szCs w:val="22"/>
        </w:rPr>
        <w:t xml:space="preserve">The targeted population is children and families of incarcerated and justice-involved parents in the City of Hudson and Columbia County, and youth and adults navigating the court system and reentry. These families have been disproportionately impacted by drug enforcement, poverty, and systemic oppression. GHP’s mission is to build an equitable community by providing opportunities and support to individuals and families affected by systemic oppression and failures. Across all GHP programs, 79 percent of participants are BIPOC.</w:t>
      </w:r>
    </w:p>
    <w:p>
      <w:pPr>
        <w:keepNext/>
        <w:spacing w:after="120" w:before="320"/>
      </w:pPr>
      <w:r>
        <w:rPr>
          <w:rFonts w:ascii="Georgia" w:cs="Georgia" w:eastAsia="Georgia" w:hAnsi="Georgia"/>
          <w:b/>
          <w:bCs/>
          <w:color w:val="9A3B1F"/>
          <w:sz w:val="22"/>
          <w:szCs w:val="22"/>
        </w:rPr>
        <w:t xml:space="preserve">3.  </w:t>
      </w:r>
      <w:r>
        <w:rPr>
          <w:rFonts w:ascii="Calibri" w:cs="Calibri" w:eastAsia="Calibri" w:hAnsi="Calibri"/>
          <w:b/>
          <w:bCs/>
          <w:color w:val="2B2622"/>
          <w:sz w:val="22"/>
          <w:szCs w:val="22"/>
        </w:rPr>
        <w:t xml:space="preserve">In what region is the target population based?</w:t>
      </w:r>
    </w:p>
    <w:p>
      <w:pPr>
        <w:spacing w:after="100" w:line="288"/>
      </w:pPr>
      <w:r>
        <w:rPr>
          <w:rFonts w:ascii="Calibri" w:cs="Calibri" w:eastAsia="Calibri" w:hAnsi="Calibri"/>
          <w:color w:val="2B2622"/>
          <w:sz w:val="22"/>
          <w:szCs w:val="22"/>
        </w:rPr>
        <w:t xml:space="preserve">Capital</w:t>
      </w:r>
    </w:p>
    <w:p>
      <w:pPr>
        <w:keepNext/>
        <w:spacing w:after="120" w:before="320"/>
      </w:pPr>
      <w:r>
        <w:rPr>
          <w:rFonts w:ascii="Georgia" w:cs="Georgia" w:eastAsia="Georgia" w:hAnsi="Georgia"/>
          <w:b/>
          <w:bCs/>
          <w:color w:val="9A3B1F"/>
          <w:sz w:val="22"/>
          <w:szCs w:val="22"/>
        </w:rPr>
        <w:t xml:space="preserve">4.  </w:t>
      </w:r>
      <w:r>
        <w:rPr>
          <w:rFonts w:ascii="Calibri" w:cs="Calibri" w:eastAsia="Calibri" w:hAnsi="Calibri"/>
          <w:b/>
          <w:bCs/>
          <w:color w:val="2B2622"/>
          <w:sz w:val="22"/>
          <w:szCs w:val="22"/>
        </w:rPr>
        <w:t xml:space="preserve">What zip codes do you intend to target?</w:t>
      </w:r>
    </w:p>
    <w:p>
      <w:pPr>
        <w:spacing w:after="100" w:line="288"/>
      </w:pPr>
      <w:r>
        <w:rPr>
          <w:rFonts w:ascii="Calibri" w:cs="Calibri" w:eastAsia="Calibri" w:hAnsi="Calibri"/>
          <w:color w:val="2B2622"/>
          <w:sz w:val="22"/>
          <w:szCs w:val="22"/>
        </w:rPr>
        <w:t xml:space="preserve">Primarily 12534 (City of Hudson), and throughout Columbia County.</w:t>
      </w:r>
    </w:p>
    <w:p>
      <w:pPr>
        <w:keepNext/>
        <w:spacing w:after="120" w:before="320"/>
      </w:pPr>
      <w:r>
        <w:rPr>
          <w:rFonts w:ascii="Georgia" w:cs="Georgia" w:eastAsia="Georgia" w:hAnsi="Georgia"/>
          <w:b/>
          <w:bCs/>
          <w:color w:val="9A3B1F"/>
          <w:sz w:val="22"/>
          <w:szCs w:val="22"/>
        </w:rPr>
        <w:t xml:space="preserve">5.  </w:t>
      </w:r>
      <w:r>
        <w:rPr>
          <w:rFonts w:ascii="Calibri" w:cs="Calibri" w:eastAsia="Calibri" w:hAnsi="Calibri"/>
          <w:b/>
          <w:bCs/>
          <w:color w:val="2B2622"/>
          <w:sz w:val="22"/>
          <w:szCs w:val="22"/>
        </w:rPr>
        <w:t xml:space="preserve">Estimated number of individuals within target population you intend to impact.</w:t>
      </w:r>
    </w:p>
    <w:p>
      <w:pPr>
        <w:spacing w:after="100" w:line="288"/>
      </w:pPr>
      <w:r>
        <w:rPr>
          <w:rFonts w:ascii="Calibri" w:cs="Calibri" w:eastAsia="Calibri" w:hAnsi="Calibri"/>
          <w:color w:val="2B2622"/>
          <w:sz w:val="22"/>
          <w:szCs w:val="22"/>
        </w:rPr>
        <w:t xml:space="preserve">25-50</w:t>
      </w:r>
    </w:p>
    <w:p>
      <w:pPr>
        <w:spacing w:after="160" w:line="288"/>
      </w:pPr>
      <w:r>
        <w:rPr>
          <w:rFonts w:ascii="Calibri" w:cs="Calibri" w:eastAsia="Calibri" w:hAnsi="Calibri"/>
          <w:i/>
          <w:iCs/>
          <w:color w:val="2B2622"/>
          <w:sz w:val="22"/>
          <w:szCs w:val="22"/>
        </w:rPr>
        <w:t xml:space="preserve">Note: Select the closest range the portal offers.</w:t>
      </w:r>
    </w:p>
    <w:p>
      <w:pPr>
        <w:keepNext/>
        <w:spacing w:after="120" w:before="320"/>
      </w:pPr>
      <w:r>
        <w:rPr>
          <w:rFonts w:ascii="Georgia" w:cs="Georgia" w:eastAsia="Georgia" w:hAnsi="Georgia"/>
          <w:b/>
          <w:bCs/>
          <w:color w:val="9A3B1F"/>
          <w:sz w:val="22"/>
          <w:szCs w:val="22"/>
        </w:rPr>
        <w:t xml:space="preserve">6.  </w:t>
      </w:r>
      <w:r>
        <w:rPr>
          <w:rFonts w:ascii="Calibri" w:cs="Calibri" w:eastAsia="Calibri" w:hAnsi="Calibri"/>
          <w:b/>
          <w:bCs/>
          <w:color w:val="2B2622"/>
          <w:sz w:val="22"/>
          <w:szCs w:val="22"/>
        </w:rPr>
        <w:t xml:space="preserve">What research have you done to understand the needs of your target population? Select all that apply.</w:t>
      </w:r>
    </w:p>
    <w:p>
      <w:pPr>
        <w:spacing w:after="100" w:line="288"/>
      </w:pPr>
      <w:r>
        <w:rPr>
          <w:rFonts w:ascii="Calibri" w:cs="Calibri" w:eastAsia="Calibri" w:hAnsi="Calibri"/>
          <w:color w:val="2B2622"/>
          <w:sz w:val="22"/>
          <w:szCs w:val="22"/>
        </w:rPr>
        <w:t xml:space="preserve">Community conversations</w:t>
      </w:r>
    </w:p>
    <w:p>
      <w:pPr>
        <w:spacing w:after="160" w:line="288"/>
      </w:pPr>
      <w:r>
        <w:rPr>
          <w:rFonts w:ascii="Calibri" w:cs="Calibri" w:eastAsia="Calibri" w:hAnsi="Calibri"/>
          <w:i/>
          <w:iCs/>
          <w:color w:val="2B2622"/>
          <w:sz w:val="22"/>
          <w:szCs w:val="22"/>
        </w:rPr>
        <w:t xml:space="preserve">Note: Select the options that are true for your business. GHP’s enhanced visiting program is informed by family surveys and its partnership with the Columbia County Sheriff; GHP can walk you through that research.</w:t>
      </w:r>
    </w:p>
    <w:p>
      <w:pPr>
        <w:keepNext/>
        <w:spacing w:after="120" w:before="320"/>
      </w:pPr>
      <w:r>
        <w:rPr>
          <w:rFonts w:ascii="Georgia" w:cs="Georgia" w:eastAsia="Georgia" w:hAnsi="Georgia"/>
          <w:b/>
          <w:bCs/>
          <w:color w:val="9A3B1F"/>
          <w:sz w:val="22"/>
          <w:szCs w:val="22"/>
        </w:rPr>
        <w:t xml:space="preserve">7.  </w:t>
      </w:r>
      <w:r>
        <w:rPr>
          <w:rFonts w:ascii="Calibri" w:cs="Calibri" w:eastAsia="Calibri" w:hAnsi="Calibri"/>
          <w:b/>
          <w:bCs/>
          <w:color w:val="2B2622"/>
          <w:sz w:val="22"/>
          <w:szCs w:val="22"/>
        </w:rPr>
        <w:t xml:space="preserve">Are you partnering or collaborating with any community-based organizations, local institutions, and/or subject matter experts?</w:t>
      </w:r>
    </w:p>
    <w:p>
      <w:pPr>
        <w:spacing w:after="100" w:line="288"/>
      </w:pPr>
      <w:r>
        <w:rPr>
          <w:rFonts w:ascii="Calibri" w:cs="Calibri" w:eastAsia="Calibri" w:hAnsi="Calibri"/>
          <w:color w:val="2B2622"/>
          <w:sz w:val="22"/>
          <w:szCs w:val="22"/>
        </w:rPr>
        <w:t xml:space="preserve">Yes</w:t>
      </w:r>
    </w:p>
    <w:p>
      <w:pPr>
        <w:keepNext/>
        <w:spacing w:after="120" w:before="320"/>
      </w:pPr>
      <w:r>
        <w:rPr>
          <w:rFonts w:ascii="Georgia" w:cs="Georgia" w:eastAsia="Georgia" w:hAnsi="Georgia"/>
          <w:b/>
          <w:bCs/>
          <w:color w:val="9A3B1F"/>
          <w:sz w:val="22"/>
          <w:szCs w:val="22"/>
        </w:rPr>
        <w:t xml:space="preserve">8.  </w:t>
      </w:r>
      <w:r>
        <w:rPr>
          <w:rFonts w:ascii="Calibri" w:cs="Calibri" w:eastAsia="Calibri" w:hAnsi="Calibri"/>
          <w:b/>
          <w:bCs/>
          <w:color w:val="2B2622"/>
          <w:sz w:val="22"/>
          <w:szCs w:val="22"/>
        </w:rPr>
        <w:t xml:space="preserve">Please provide the name of the organization(s) and/or institution(s) and describe the nature of your partnership(s).</w:t>
      </w:r>
    </w:p>
    <w:p>
      <w:pPr>
        <w:spacing w:after="100" w:line="288"/>
      </w:pPr>
      <w:r>
        <w:rPr>
          <w:rFonts w:ascii="Calibri" w:cs="Calibri" w:eastAsia="Calibri" w:hAnsi="Calibri"/>
          <w:color w:val="2B2622"/>
          <w:sz w:val="22"/>
          <w:szCs w:val="22"/>
        </w:rPr>
        <w:t xml:space="preserve">Greater Hudson Promise. [Licensee Name] will provide financial support of $5,000 per year ($10,000 over 2 years) to support GHP’s programs for families impacted by incarceration, including its work with the Greater Hudson Initiative for Children of Incarcerated Parents and its Community Court Advocacy Program. [Licensee Name] will display information about GHP's programs and refer eligible young adults and families to GHP. [Licensee Name] will offer customers an optional round-up or donation prompt at checkout, with all proceeds directed to GHP. [Licensee Name] staff will contribute volunteer hours to GHP, including mock interviews, résumé support, and event assistance. https://greaterhudsonpromise.org/</w:t>
      </w:r>
    </w:p>
    <w:p>
      <w:pPr>
        <w:keepNext/>
        <w:spacing w:after="120" w:before="320"/>
      </w:pPr>
      <w:r>
        <w:rPr>
          <w:rFonts w:ascii="Georgia" w:cs="Georgia" w:eastAsia="Georgia" w:hAnsi="Georgia"/>
          <w:b/>
          <w:bCs/>
          <w:color w:val="9A3B1F"/>
          <w:sz w:val="22"/>
          <w:szCs w:val="22"/>
        </w:rPr>
        <w:t xml:space="preserve">9.  </w:t>
      </w:r>
      <w:r>
        <w:rPr>
          <w:rFonts w:ascii="Calibri" w:cs="Calibri" w:eastAsia="Calibri" w:hAnsi="Calibri"/>
          <w:b/>
          <w:bCs/>
          <w:color w:val="2B2622"/>
          <w:sz w:val="22"/>
          <w:szCs w:val="22"/>
        </w:rPr>
        <w:t xml:space="preserve">Do you have any written agreements with your partners related to your community impact plan?</w:t>
      </w:r>
    </w:p>
    <w:p>
      <w:pPr>
        <w:spacing w:after="100" w:line="288"/>
      </w:pPr>
      <w:r>
        <w:rPr>
          <w:rFonts w:ascii="Calibri" w:cs="Calibri" w:eastAsia="Calibri" w:hAnsi="Calibri"/>
          <w:color w:val="2B2622"/>
          <w:sz w:val="22"/>
          <w:szCs w:val="22"/>
        </w:rPr>
        <w:t xml:space="preserve">No</w:t>
      </w:r>
    </w:p>
    <w:p>
      <w:pPr>
        <w:spacing w:after="160" w:line="288"/>
      </w:pPr>
      <w:r>
        <w:rPr>
          <w:rFonts w:ascii="Calibri" w:cs="Calibri" w:eastAsia="Calibri" w:hAnsi="Calibri"/>
          <w:i/>
          <w:iCs/>
          <w:color w:val="2B2622"/>
          <w:sz w:val="22"/>
          <w:szCs w:val="22"/>
        </w:rPr>
        <w:t xml:space="preserve">Note: Change to Yes if you have a signed partnership letter or agreement with GHP.</w:t>
      </w:r>
    </w:p>
    <w:p>
      <w:pPr>
        <w:keepNext/>
        <w:spacing w:after="120" w:before="320"/>
      </w:pPr>
      <w:r>
        <w:rPr>
          <w:rFonts w:ascii="Georgia" w:cs="Georgia" w:eastAsia="Georgia" w:hAnsi="Georgia"/>
          <w:b/>
          <w:bCs/>
          <w:color w:val="9A3B1F"/>
          <w:sz w:val="22"/>
          <w:szCs w:val="22"/>
        </w:rPr>
        <w:t xml:space="preserve">10.  </w:t>
      </w:r>
      <w:r>
        <w:rPr>
          <w:rFonts w:ascii="Calibri" w:cs="Calibri" w:eastAsia="Calibri" w:hAnsi="Calibri"/>
          <w:b/>
          <w:bCs/>
          <w:color w:val="2B2622"/>
          <w:sz w:val="22"/>
          <w:szCs w:val="22"/>
        </w:rPr>
        <w:t xml:space="preserve">What types of activities do you plan to implement in order to address the needs of the target population?</w:t>
      </w:r>
    </w:p>
    <w:p>
      <w:pPr>
        <w:spacing w:after="100" w:line="288"/>
      </w:pPr>
      <w:r>
        <w:rPr>
          <w:rFonts w:ascii="Calibri" w:cs="Calibri" w:eastAsia="Calibri" w:hAnsi="Calibri"/>
          <w:color w:val="2B2622"/>
          <w:sz w:val="22"/>
          <w:szCs w:val="22"/>
        </w:rPr>
        <w:t xml:space="preserve">system navigation services</w:t>
      </w:r>
    </w:p>
    <w:p>
      <w:pPr>
        <w:spacing w:after="160" w:line="288"/>
      </w:pPr>
      <w:r>
        <w:rPr>
          <w:rFonts w:ascii="Calibri" w:cs="Calibri" w:eastAsia="Calibri" w:hAnsi="Calibri"/>
          <w:i/>
          <w:iCs/>
          <w:color w:val="2B2622"/>
          <w:sz w:val="22"/>
          <w:szCs w:val="22"/>
        </w:rPr>
        <w:t xml:space="preserve">Note: Select this, plus any portal options covering family support, reentry services, or services for children of incarcerated parents.</w:t>
      </w:r>
    </w:p>
    <w:p>
      <w:pPr>
        <w:keepNext/>
        <w:spacing w:after="120" w:before="320"/>
      </w:pPr>
      <w:r>
        <w:rPr>
          <w:rFonts w:ascii="Georgia" w:cs="Georgia" w:eastAsia="Georgia" w:hAnsi="Georgia"/>
          <w:b/>
          <w:bCs/>
          <w:color w:val="9A3B1F"/>
          <w:sz w:val="22"/>
          <w:szCs w:val="22"/>
        </w:rPr>
        <w:t xml:space="preserve">11.  </w:t>
      </w:r>
      <w:r>
        <w:rPr>
          <w:rFonts w:ascii="Calibri" w:cs="Calibri" w:eastAsia="Calibri" w:hAnsi="Calibri"/>
          <w:b/>
          <w:bCs/>
          <w:color w:val="2B2622"/>
          <w:sz w:val="22"/>
          <w:szCs w:val="22"/>
        </w:rPr>
        <w:t xml:space="preserve">What is the anticipated benefit you will provide to the target population? Please provide at least 3 goals. Goals must be measurable.</w:t>
      </w:r>
    </w:p>
    <w:p>
      <w:pPr>
        <w:spacing w:after="100" w:line="288"/>
      </w:pPr>
      <w:r>
        <w:rPr>
          <w:rFonts w:ascii="Calibri" w:cs="Calibri" w:eastAsia="Calibri" w:hAnsi="Calibri"/>
          <w:b/>
          <w:bCs/>
          <w:color w:val="2B2622"/>
          <w:sz w:val="22"/>
          <w:szCs w:val="22"/>
        </w:rPr>
        <w:t xml:space="preserve">Goal 1:  </w:t>
      </w:r>
      <w:r>
        <w:rPr>
          <w:rFonts w:ascii="Calibri" w:cs="Calibri" w:eastAsia="Calibri" w:hAnsi="Calibri"/>
          <w:color w:val="2B2622"/>
          <w:sz w:val="22"/>
          <w:szCs w:val="22"/>
        </w:rPr>
        <w:t xml:space="preserve">Keep Children Connected to Incarcerated Parents. Provide enhanced, child-friendly in-person visits and facilitated virtual visits at the Columbia County Jail, so children can maintain their relationships with incarcerated parents. Measured by families served and visits completed (August 2016–August 2025: 90+ families and 750+ enhanced visits, 87 percent in person).</w:t>
      </w:r>
    </w:p>
    <w:p>
      <w:pPr>
        <w:spacing w:after="100" w:line="288"/>
      </w:pPr>
      <w:r>
        <w:rPr>
          <w:rFonts w:ascii="Calibri" w:cs="Calibri" w:eastAsia="Calibri" w:hAnsi="Calibri"/>
          <w:b/>
          <w:bCs/>
          <w:color w:val="2B2622"/>
          <w:sz w:val="22"/>
          <w:szCs w:val="22"/>
        </w:rPr>
        <w:t xml:space="preserve">Goal 2:  </w:t>
      </w:r>
      <w:r>
        <w:rPr>
          <w:rFonts w:ascii="Calibri" w:cs="Calibri" w:eastAsia="Calibri" w:hAnsi="Calibri"/>
          <w:color w:val="2B2622"/>
          <w:sz w:val="22"/>
          <w:szCs w:val="22"/>
        </w:rPr>
        <w:t xml:space="preserve">Protect Children at the Point of a Parent’s Arrest. Train law enforcement and service providers in practices that reduce trauma for children when a parent is arrested, in partnership with the Hudson Police Department and the Osborne Association. Measured by the number of officers and providers trained (2022: 25 Hudson Police Department officers, plus 16 individuals from 6 youth-serving organizations).</w:t>
      </w:r>
    </w:p>
    <w:p>
      <w:pPr>
        <w:spacing w:after="100" w:line="288"/>
      </w:pPr>
      <w:r>
        <w:rPr>
          <w:rFonts w:ascii="Calibri" w:cs="Calibri" w:eastAsia="Calibri" w:hAnsi="Calibri"/>
          <w:b/>
          <w:bCs/>
          <w:color w:val="2B2622"/>
          <w:sz w:val="22"/>
          <w:szCs w:val="22"/>
        </w:rPr>
        <w:t xml:space="preserve">Goal 3:  </w:t>
      </w:r>
      <w:r>
        <w:rPr>
          <w:rFonts w:ascii="Calibri" w:cs="Calibri" w:eastAsia="Calibri" w:hAnsi="Calibri"/>
          <w:color w:val="2B2622"/>
          <w:sz w:val="22"/>
          <w:szCs w:val="22"/>
        </w:rPr>
        <w:t xml:space="preserve">Support Justice-Impacted Youth and Adults Through Court and Reentry. Provide direct service, assistance, and advocacy for justice-impacted residents navigating court and reentry through GHP’s Community Court Advocacy Program, whose team includes staff with lived experience. Measured by the number of youth and adults supported and the services provided (2025: 8 justice-impacted youth and 3 adults assisted, with services including mentorship, emergency assistance, mindfulness coaching, Transformative Community Service, and Beyond GED enrollment).</w:t>
      </w:r>
    </w:p>
    <w:p>
      <w:pPr>
        <w:keepNext/>
        <w:spacing w:after="120" w:before="320"/>
      </w:pPr>
      <w:r>
        <w:rPr>
          <w:rFonts w:ascii="Georgia" w:cs="Georgia" w:eastAsia="Georgia" w:hAnsi="Georgia"/>
          <w:b/>
          <w:bCs/>
          <w:color w:val="9A3B1F"/>
          <w:sz w:val="22"/>
          <w:szCs w:val="22"/>
        </w:rPr>
        <w:t xml:space="preserve">12.  </w:t>
      </w:r>
      <w:r>
        <w:rPr>
          <w:rFonts w:ascii="Calibri" w:cs="Calibri" w:eastAsia="Calibri" w:hAnsi="Calibri"/>
          <w:b/>
          <w:bCs/>
          <w:color w:val="2B2622"/>
          <w:sz w:val="22"/>
          <w:szCs w:val="22"/>
        </w:rPr>
        <w:t xml:space="preserve">How often do you plan to host activities and engage with the target population?</w:t>
      </w:r>
    </w:p>
    <w:p>
      <w:pPr>
        <w:spacing w:after="100" w:line="288"/>
      </w:pPr>
      <w:r>
        <w:rPr>
          <w:rFonts w:ascii="Calibri" w:cs="Calibri" w:eastAsia="Calibri" w:hAnsi="Calibri"/>
          <w:color w:val="2B2622"/>
          <w:sz w:val="22"/>
          <w:szCs w:val="22"/>
        </w:rPr>
        <w:t xml:space="preserve">annually</w:t>
      </w:r>
    </w:p>
    <w:p>
      <w:pPr>
        <w:spacing w:after="160" w:line="288"/>
      </w:pPr>
      <w:r>
        <w:rPr>
          <w:rFonts w:ascii="Calibri" w:cs="Calibri" w:eastAsia="Calibri" w:hAnsi="Calibri"/>
          <w:i/>
          <w:iCs/>
          <w:color w:val="2B2622"/>
          <w:sz w:val="22"/>
          <w:szCs w:val="22"/>
        </w:rPr>
        <w:t xml:space="preserve">Note: This matches your annual contribution. Choose a more frequent option if you’ve committed to volunteer hours or in-store activities.</w:t>
      </w:r>
    </w:p>
    <w:p>
      <w:pPr>
        <w:keepNext/>
        <w:spacing w:after="120" w:before="320"/>
      </w:pPr>
      <w:r>
        <w:rPr>
          <w:rFonts w:ascii="Georgia" w:cs="Georgia" w:eastAsia="Georgia" w:hAnsi="Georgia"/>
          <w:b/>
          <w:bCs/>
          <w:color w:val="9A3B1F"/>
          <w:sz w:val="22"/>
          <w:szCs w:val="22"/>
        </w:rPr>
        <w:t xml:space="preserve">13.  </w:t>
      </w:r>
      <w:r>
        <w:rPr>
          <w:rFonts w:ascii="Calibri" w:cs="Calibri" w:eastAsia="Calibri" w:hAnsi="Calibri"/>
          <w:b/>
          <w:bCs/>
          <w:color w:val="2B2622"/>
          <w:sz w:val="22"/>
          <w:szCs w:val="22"/>
        </w:rPr>
        <w:t xml:space="preserve">When do you intend on implementing community impact plan activities during this renewal period?</w:t>
      </w:r>
    </w:p>
    <w:p>
      <w:pPr>
        <w:spacing w:after="100" w:line="288"/>
      </w:pPr>
      <w:r>
        <w:rPr>
          <w:rFonts w:ascii="Calibri" w:cs="Calibri" w:eastAsia="Calibri" w:hAnsi="Calibri"/>
          <w:color w:val="2B2622"/>
          <w:sz w:val="22"/>
          <w:szCs w:val="22"/>
        </w:rPr>
        <w:t xml:space="preserve">Beginning upon renewal approval and continuing throughout the renewal period.</w:t>
      </w:r>
    </w:p>
    <w:p>
      <w:pPr>
        <w:keepNext/>
        <w:spacing w:after="120" w:before="320"/>
      </w:pPr>
      <w:r>
        <w:rPr>
          <w:rFonts w:ascii="Georgia" w:cs="Georgia" w:eastAsia="Georgia" w:hAnsi="Georgia"/>
          <w:b/>
          <w:bCs/>
          <w:color w:val="9A3B1F"/>
          <w:sz w:val="22"/>
          <w:szCs w:val="22"/>
        </w:rPr>
        <w:t xml:space="preserve">14.  </w:t>
      </w:r>
      <w:r>
        <w:rPr>
          <w:rFonts w:ascii="Calibri" w:cs="Calibri" w:eastAsia="Calibri" w:hAnsi="Calibri"/>
          <w:b/>
          <w:bCs/>
          <w:color w:val="2B2622"/>
          <w:sz w:val="22"/>
          <w:szCs w:val="22"/>
        </w:rPr>
        <w:t xml:space="preserve">What is your estimated 2-year budget for the community impact plan?</w:t>
      </w:r>
    </w:p>
    <w:p>
      <w:pPr>
        <w:spacing w:after="100" w:line="288"/>
      </w:pPr>
      <w:r>
        <w:rPr>
          <w:rFonts w:ascii="Calibri" w:cs="Calibri" w:eastAsia="Calibri" w:hAnsi="Calibri"/>
          <w:b/>
          <w:bCs/>
          <w:color w:val="2B2622"/>
          <w:sz w:val="22"/>
          <w:szCs w:val="22"/>
        </w:rPr>
        <w:t xml:space="preserve">Personnel:  </w:t>
      </w:r>
      <w:r>
        <w:rPr>
          <w:rFonts w:ascii="Calibri" w:cs="Calibri" w:eastAsia="Calibri" w:hAnsi="Calibri"/>
          <w:color w:val="2B2622"/>
          <w:sz w:val="22"/>
          <w:szCs w:val="22"/>
        </w:rPr>
        <w:t xml:space="preserve">$0</w:t>
      </w:r>
    </w:p>
    <w:p>
      <w:pPr>
        <w:spacing w:after="100" w:line="288"/>
      </w:pPr>
      <w:r>
        <w:rPr>
          <w:rFonts w:ascii="Calibri" w:cs="Calibri" w:eastAsia="Calibri" w:hAnsi="Calibri"/>
          <w:b/>
          <w:bCs/>
          <w:color w:val="2B2622"/>
          <w:sz w:val="22"/>
          <w:szCs w:val="22"/>
        </w:rPr>
        <w:t xml:space="preserve">Contractual Services:  </w:t>
      </w:r>
      <w:r>
        <w:rPr>
          <w:rFonts w:ascii="Calibri" w:cs="Calibri" w:eastAsia="Calibri" w:hAnsi="Calibri"/>
          <w:color w:val="2B2622"/>
          <w:sz w:val="22"/>
          <w:szCs w:val="22"/>
        </w:rPr>
        <w:t xml:space="preserve">$0</w:t>
      </w:r>
    </w:p>
    <w:p>
      <w:pPr>
        <w:spacing w:after="100" w:line="288"/>
      </w:pPr>
      <w:r>
        <w:rPr>
          <w:rFonts w:ascii="Calibri" w:cs="Calibri" w:eastAsia="Calibri" w:hAnsi="Calibri"/>
          <w:b/>
          <w:bCs/>
          <w:color w:val="2B2622"/>
          <w:sz w:val="22"/>
          <w:szCs w:val="22"/>
        </w:rPr>
        <w:t xml:space="preserve">Donations and sponsorships:  </w:t>
      </w:r>
      <w:r>
        <w:rPr>
          <w:rFonts w:ascii="Calibri" w:cs="Calibri" w:eastAsia="Calibri" w:hAnsi="Calibri"/>
          <w:color w:val="2B2622"/>
          <w:sz w:val="22"/>
          <w:szCs w:val="22"/>
        </w:rPr>
        <w:t xml:space="preserve">$10,000</w:t>
      </w:r>
    </w:p>
    <w:p>
      <w:pPr>
        <w:spacing w:after="100" w:line="288"/>
      </w:pPr>
      <w:r>
        <w:rPr>
          <w:rFonts w:ascii="Calibri" w:cs="Calibri" w:eastAsia="Calibri" w:hAnsi="Calibri"/>
          <w:b/>
          <w:bCs/>
          <w:color w:val="2B2622"/>
          <w:sz w:val="22"/>
          <w:szCs w:val="22"/>
        </w:rPr>
        <w:t xml:space="preserve">Travel:  </w:t>
      </w:r>
      <w:r>
        <w:rPr>
          <w:rFonts w:ascii="Calibri" w:cs="Calibri" w:eastAsia="Calibri" w:hAnsi="Calibri"/>
          <w:color w:val="2B2622"/>
          <w:sz w:val="22"/>
          <w:szCs w:val="22"/>
        </w:rPr>
        <w:t xml:space="preserve">$0</w:t>
      </w:r>
    </w:p>
    <w:p>
      <w:pPr>
        <w:spacing w:after="100" w:line="288"/>
      </w:pPr>
      <w:r>
        <w:rPr>
          <w:rFonts w:ascii="Calibri" w:cs="Calibri" w:eastAsia="Calibri" w:hAnsi="Calibri"/>
          <w:b/>
          <w:bCs/>
          <w:color w:val="2B2622"/>
          <w:sz w:val="22"/>
          <w:szCs w:val="22"/>
        </w:rPr>
        <w:t xml:space="preserve">Equipment:  </w:t>
      </w:r>
      <w:r>
        <w:rPr>
          <w:rFonts w:ascii="Calibri" w:cs="Calibri" w:eastAsia="Calibri" w:hAnsi="Calibri"/>
          <w:color w:val="2B2622"/>
          <w:sz w:val="22"/>
          <w:szCs w:val="22"/>
        </w:rPr>
        <w:t xml:space="preserve">$0</w:t>
      </w:r>
    </w:p>
    <w:p>
      <w:pPr>
        <w:spacing w:after="100" w:line="288"/>
      </w:pPr>
      <w:r>
        <w:rPr>
          <w:rFonts w:ascii="Calibri" w:cs="Calibri" w:eastAsia="Calibri" w:hAnsi="Calibri"/>
          <w:b/>
          <w:bCs/>
          <w:color w:val="2B2622"/>
          <w:sz w:val="22"/>
          <w:szCs w:val="22"/>
        </w:rPr>
        <w:t xml:space="preserve">Space/Property &amp; Utilities:  </w:t>
      </w:r>
      <w:r>
        <w:rPr>
          <w:rFonts w:ascii="Calibri" w:cs="Calibri" w:eastAsia="Calibri" w:hAnsi="Calibri"/>
          <w:color w:val="2B2622"/>
          <w:sz w:val="22"/>
          <w:szCs w:val="22"/>
        </w:rPr>
        <w:t xml:space="preserve">$0</w:t>
      </w:r>
    </w:p>
    <w:p>
      <w:pPr>
        <w:spacing w:after="100" w:line="288"/>
      </w:pPr>
      <w:r>
        <w:rPr>
          <w:rFonts w:ascii="Calibri" w:cs="Calibri" w:eastAsia="Calibri" w:hAnsi="Calibri"/>
          <w:b/>
          <w:bCs/>
          <w:color w:val="2B2622"/>
          <w:sz w:val="22"/>
          <w:szCs w:val="22"/>
        </w:rPr>
        <w:t xml:space="preserve">Operating Expenses:  </w:t>
      </w:r>
      <w:r>
        <w:rPr>
          <w:rFonts w:ascii="Calibri" w:cs="Calibri" w:eastAsia="Calibri" w:hAnsi="Calibri"/>
          <w:color w:val="2B2622"/>
          <w:sz w:val="22"/>
          <w:szCs w:val="22"/>
        </w:rPr>
        <w:t xml:space="preserve">$0</w:t>
      </w:r>
    </w:p>
    <w:p>
      <w:pPr>
        <w:spacing w:after="100" w:line="288"/>
      </w:pPr>
      <w:r>
        <w:rPr>
          <w:rFonts w:ascii="Calibri" w:cs="Calibri" w:eastAsia="Calibri" w:hAnsi="Calibri"/>
          <w:b/>
          <w:bCs/>
          <w:color w:val="2B2622"/>
          <w:sz w:val="22"/>
          <w:szCs w:val="22"/>
        </w:rPr>
        <w:t xml:space="preserve">Other Costs:  </w:t>
      </w:r>
      <w:r>
        <w:rPr>
          <w:rFonts w:ascii="Calibri" w:cs="Calibri" w:eastAsia="Calibri" w:hAnsi="Calibri"/>
          <w:color w:val="2B2622"/>
          <w:sz w:val="22"/>
          <w:szCs w:val="22"/>
        </w:rPr>
        <w:t xml:space="preserve">$0</w:t>
      </w:r>
    </w:p>
    <w:p>
      <w:pPr>
        <w:spacing w:after="160" w:line="288"/>
      </w:pPr>
      <w:r>
        <w:rPr>
          <w:rFonts w:ascii="Calibri" w:cs="Calibri" w:eastAsia="Calibri" w:hAnsi="Calibri"/>
          <w:i/>
          <w:iCs/>
          <w:color w:val="2B2622"/>
          <w:sz w:val="22"/>
          <w:szCs w:val="22"/>
        </w:rPr>
        <w:t xml:space="preserve">Note: Your contribution to GHP belongs under Donations and sponsorships.</w:t>
      </w:r>
    </w:p>
    <w:p>
      <w:pPr>
        <w:keepNext/>
        <w:spacing w:after="120" w:before="320"/>
      </w:pPr>
      <w:r>
        <w:rPr>
          <w:rFonts w:ascii="Georgia" w:cs="Georgia" w:eastAsia="Georgia" w:hAnsi="Georgia"/>
          <w:b/>
          <w:bCs/>
          <w:color w:val="9A3B1F"/>
          <w:sz w:val="22"/>
          <w:szCs w:val="22"/>
        </w:rPr>
        <w:t xml:space="preserve">15.  </w:t>
      </w:r>
      <w:r>
        <w:rPr>
          <w:rFonts w:ascii="Calibri" w:cs="Calibri" w:eastAsia="Calibri" w:hAnsi="Calibri"/>
          <w:b/>
          <w:bCs/>
          <w:color w:val="2B2622"/>
          <w:sz w:val="22"/>
          <w:szCs w:val="22"/>
        </w:rPr>
        <w:t xml:space="preserve">How will you measure your program’s success? Qualitative (i.e. participant satisfaction via survey)</w:t>
      </w:r>
    </w:p>
    <w:p>
      <w:pPr>
        <w:spacing w:after="100" w:line="288"/>
      </w:pPr>
      <w:r>
        <w:rPr>
          <w:rFonts w:ascii="Calibri" w:cs="Calibri" w:eastAsia="Calibri" w:hAnsi="Calibri"/>
          <w:color w:val="2B2622"/>
          <w:sz w:val="22"/>
          <w:szCs w:val="22"/>
        </w:rPr>
        <w:t xml:space="preserve">Qualitative success will be measured through family surveys, participant interviews, and feedback from partners including the Columbia County Sheriff’s Office and the Hudson Police Department.</w:t>
      </w:r>
    </w:p>
    <w:p>
      <w:pPr>
        <w:spacing w:after="100" w:line="288"/>
      </w:pPr>
      <w:r>
        <w:rPr>
          <w:rFonts w:ascii="Calibri" w:cs="Calibri" w:eastAsia="Calibri" w:hAnsi="Calibri"/>
          <w:color w:val="2B2622"/>
          <w:sz w:val="22"/>
          <w:szCs w:val="22"/>
        </w:rPr>
        <w:t xml:space="preserve">In program surveys, incarcerated parents participating in enhanced visiting reported improved behavior and fewer disciplinary issues, and children reported reduced anxiety about their parent’s well-being and feeling more connected to their incarcerated parent. GHP’s court advocacy team, which includes staff with lived experience of the justice system, builds trusted relationships that help participants navigate court and reentry with dignity.</w:t>
      </w:r>
    </w:p>
    <w:p>
      <w:pPr>
        <w:spacing w:after="100" w:line="288"/>
      </w:pPr>
      <w:r>
        <w:rPr>
          <w:rFonts w:ascii="Calibri" w:cs="Calibri" w:eastAsia="Calibri" w:hAnsi="Calibri"/>
          <w:color w:val="2B2622"/>
          <w:sz w:val="22"/>
          <w:szCs w:val="22"/>
        </w:rPr>
        <w:t xml:space="preserve">These measures, together with ongoing staff contact, show whether children remain connected to their parents and whether justice-impacted adults are gaining stability.</w:t>
      </w:r>
    </w:p>
    <w:p>
      <w:pPr>
        <w:keepNext/>
        <w:spacing w:after="120" w:before="320"/>
      </w:pPr>
      <w:r>
        <w:rPr>
          <w:rFonts w:ascii="Georgia" w:cs="Georgia" w:eastAsia="Georgia" w:hAnsi="Georgia"/>
          <w:b/>
          <w:bCs/>
          <w:color w:val="9A3B1F"/>
          <w:sz w:val="22"/>
          <w:szCs w:val="22"/>
        </w:rPr>
        <w:t xml:space="preserve">16.  </w:t>
      </w:r>
      <w:r>
        <w:rPr>
          <w:rFonts w:ascii="Calibri" w:cs="Calibri" w:eastAsia="Calibri" w:hAnsi="Calibri"/>
          <w:b/>
          <w:bCs/>
          <w:color w:val="2B2622"/>
          <w:sz w:val="22"/>
          <w:szCs w:val="22"/>
        </w:rPr>
        <w:t xml:space="preserve">Quantitative (i.e. participant attendance records)</w:t>
      </w:r>
    </w:p>
    <w:p>
      <w:pPr>
        <w:spacing w:after="100" w:line="288"/>
      </w:pPr>
      <w:r>
        <w:rPr>
          <w:rFonts w:ascii="Calibri" w:cs="Calibri" w:eastAsia="Calibri" w:hAnsi="Calibri"/>
          <w:color w:val="2B2622"/>
          <w:sz w:val="22"/>
          <w:szCs w:val="22"/>
        </w:rPr>
        <w:t xml:space="preserve">Success will be measured through clear, quantitative outcomes for children and families impacted by incarceration, tracked by GHP staff and reported in GHP’s annual impact summary.</w:t>
      </w:r>
    </w:p>
    <w:p>
      <w:pPr>
        <w:spacing w:after="100" w:line="288"/>
      </w:pPr>
      <w:r>
        <w:rPr>
          <w:rFonts w:ascii="Calibri" w:cs="Calibri" w:eastAsia="Calibri" w:hAnsi="Calibri"/>
          <w:color w:val="2B2622"/>
          <w:sz w:val="22"/>
          <w:szCs w:val="22"/>
        </w:rPr>
        <w:t xml:space="preserve">Enhanced Visiting</w:t>
      </w:r>
    </w:p>
    <w:p>
      <w:pPr>
        <w:spacing w:after="100" w:line="288"/>
      </w:pPr>
      <w:r>
        <w:rPr>
          <w:rFonts w:ascii="Calibri" w:cs="Calibri" w:eastAsia="Calibri" w:hAnsi="Calibri"/>
          <w:color w:val="2B2622"/>
          <w:sz w:val="22"/>
          <w:szCs w:val="22"/>
        </w:rPr>
        <w:t xml:space="preserve">August 2016–August 2025:</w:t>
      </w:r>
    </w:p>
    <w:p>
      <w:pPr>
        <w:spacing w:after="100" w:line="288"/>
      </w:pPr>
      <w:r>
        <w:rPr>
          <w:rFonts w:ascii="Calibri" w:cs="Calibri" w:eastAsia="Calibri" w:hAnsi="Calibri"/>
          <w:color w:val="2B2622"/>
          <w:sz w:val="22"/>
          <w:szCs w:val="22"/>
        </w:rPr>
        <w:t xml:space="preserve">• 90+ families served</w:t>
      </w:r>
    </w:p>
    <w:p>
      <w:pPr>
        <w:spacing w:after="100" w:line="288"/>
      </w:pPr>
      <w:r>
        <w:rPr>
          <w:rFonts w:ascii="Calibri" w:cs="Calibri" w:eastAsia="Calibri" w:hAnsi="Calibri"/>
          <w:color w:val="2B2622"/>
          <w:sz w:val="22"/>
          <w:szCs w:val="22"/>
        </w:rPr>
        <w:t xml:space="preserve">• 750+ enhanced visits at the Columbia County Jail</w:t>
      </w:r>
    </w:p>
    <w:p>
      <w:pPr>
        <w:spacing w:after="100" w:line="288"/>
      </w:pPr>
      <w:r>
        <w:rPr>
          <w:rFonts w:ascii="Calibri" w:cs="Calibri" w:eastAsia="Calibri" w:hAnsi="Calibri"/>
          <w:color w:val="2B2622"/>
          <w:sz w:val="22"/>
          <w:szCs w:val="22"/>
        </w:rPr>
        <w:t xml:space="preserve">• 87 percent of visits held in person</w:t>
      </w:r>
    </w:p>
    <w:p>
      <w:pPr>
        <w:spacing w:after="100" w:line="288"/>
      </w:pPr>
      <w:r>
        <w:rPr>
          <w:rFonts w:ascii="Calibri" w:cs="Calibri" w:eastAsia="Calibri" w:hAnsi="Calibri"/>
          <w:color w:val="2B2622"/>
          <w:sz w:val="22"/>
          <w:szCs w:val="22"/>
        </w:rPr>
        <w:t xml:space="preserve">In 2025, in-person enhanced visits expanded to six times a week, with virtual visits available for families facing distance barriers. Tracking includes families enrolled, visits completed (in person and virtual), and family survey results.</w:t>
      </w:r>
    </w:p>
    <w:p>
      <w:pPr>
        <w:spacing w:after="100" w:line="288"/>
      </w:pPr>
      <w:r>
        <w:rPr>
          <w:rFonts w:ascii="Calibri" w:cs="Calibri" w:eastAsia="Calibri" w:hAnsi="Calibri"/>
          <w:color w:val="2B2622"/>
          <w:sz w:val="22"/>
          <w:szCs w:val="22"/>
        </w:rPr>
        <w:t xml:space="preserve">Training and Systems Change</w:t>
      </w:r>
    </w:p>
    <w:p>
      <w:pPr>
        <w:spacing w:after="100" w:line="288"/>
      </w:pPr>
      <w:r>
        <w:rPr>
          <w:rFonts w:ascii="Calibri" w:cs="Calibri" w:eastAsia="Calibri" w:hAnsi="Calibri"/>
          <w:color w:val="2B2622"/>
          <w:sz w:val="22"/>
          <w:szCs w:val="22"/>
        </w:rPr>
        <w:t xml:space="preserve">In 2022:</w:t>
      </w:r>
    </w:p>
    <w:p>
      <w:pPr>
        <w:spacing w:after="100" w:line="288"/>
      </w:pPr>
      <w:r>
        <w:rPr>
          <w:rFonts w:ascii="Calibri" w:cs="Calibri" w:eastAsia="Calibri" w:hAnsi="Calibri"/>
          <w:color w:val="2B2622"/>
          <w:sz w:val="22"/>
          <w:szCs w:val="22"/>
        </w:rPr>
        <w:t xml:space="preserve">• 25 Hudson Police Department officers completed a full-day training in trauma-informed, child-sensitive arrest practices</w:t>
      </w:r>
    </w:p>
    <w:p>
      <w:pPr>
        <w:spacing w:after="100" w:line="288"/>
      </w:pPr>
      <w:r>
        <w:rPr>
          <w:rFonts w:ascii="Calibri" w:cs="Calibri" w:eastAsia="Calibri" w:hAnsi="Calibri"/>
          <w:color w:val="2B2622"/>
          <w:sz w:val="22"/>
          <w:szCs w:val="22"/>
        </w:rPr>
        <w:t xml:space="preserve">• 16 individuals from 6 youth-serving organizations completed the training</w:t>
      </w:r>
    </w:p>
    <w:p>
      <w:pPr>
        <w:spacing w:after="100" w:line="288"/>
      </w:pPr>
      <w:r>
        <w:rPr>
          <w:rFonts w:ascii="Calibri" w:cs="Calibri" w:eastAsia="Calibri" w:hAnsi="Calibri"/>
          <w:color w:val="2B2622"/>
          <w:sz w:val="22"/>
          <w:szCs w:val="22"/>
        </w:rPr>
        <w:t xml:space="preserve">• 33 facilitated virtual visits after the August 2022 pilot launch</w:t>
      </w:r>
    </w:p>
    <w:p>
      <w:pPr>
        <w:spacing w:after="100" w:line="288"/>
      </w:pPr>
      <w:r>
        <w:rPr>
          <w:rFonts w:ascii="Calibri" w:cs="Calibri" w:eastAsia="Calibri" w:hAnsi="Calibri"/>
          <w:color w:val="2B2622"/>
          <w:sz w:val="22"/>
          <w:szCs w:val="22"/>
        </w:rPr>
        <w:t xml:space="preserve">The program helped introduce an Enhanced Child Visiting policy at the Columbia County Jail. In November 2025, GHP presented the program to administrators from another New York county jail and staff from several judicial districts seeking to learn about and potentially replicate it.</w:t>
      </w:r>
    </w:p>
    <w:p>
      <w:pPr>
        <w:spacing w:after="100" w:line="288"/>
      </w:pPr>
      <w:r>
        <w:rPr>
          <w:rFonts w:ascii="Calibri" w:cs="Calibri" w:eastAsia="Calibri" w:hAnsi="Calibri"/>
          <w:color w:val="2B2622"/>
          <w:sz w:val="22"/>
          <w:szCs w:val="22"/>
        </w:rPr>
        <w:t xml:space="preserve">Court Advocacy and Reentry</w:t>
      </w:r>
    </w:p>
    <w:p>
      <w:pPr>
        <w:spacing w:after="100" w:line="288"/>
      </w:pPr>
      <w:r>
        <w:rPr>
          <w:rFonts w:ascii="Calibri" w:cs="Calibri" w:eastAsia="Calibri" w:hAnsi="Calibri"/>
          <w:color w:val="2B2622"/>
          <w:sz w:val="22"/>
          <w:szCs w:val="22"/>
        </w:rPr>
        <w:t xml:space="preserve">In 2025:</w:t>
      </w:r>
    </w:p>
    <w:p>
      <w:pPr>
        <w:spacing w:after="100" w:line="288"/>
      </w:pPr>
      <w:r>
        <w:rPr>
          <w:rFonts w:ascii="Calibri" w:cs="Calibri" w:eastAsia="Calibri" w:hAnsi="Calibri"/>
          <w:color w:val="2B2622"/>
          <w:sz w:val="22"/>
          <w:szCs w:val="22"/>
        </w:rPr>
        <w:t xml:space="preserve">• 8 justice-impacted youth and 3 adults assisted</w:t>
      </w:r>
    </w:p>
    <w:p>
      <w:pPr>
        <w:spacing w:after="100" w:line="288"/>
      </w:pPr>
      <w:r>
        <w:rPr>
          <w:rFonts w:ascii="Calibri" w:cs="Calibri" w:eastAsia="Calibri" w:hAnsi="Calibri"/>
          <w:color w:val="2B2622"/>
          <w:sz w:val="22"/>
          <w:szCs w:val="22"/>
        </w:rPr>
        <w:t xml:space="preserve">• Services included direct mentorship, emergency assistance, mindfulness coaching, Transformative Community Service, and Beyond GED enrollment</w:t>
      </w:r>
    </w:p>
    <w:p>
      <w:pPr>
        <w:spacing w:after="100" w:line="288"/>
      </w:pPr>
      <w:r>
        <w:rPr>
          <w:rFonts w:ascii="Calibri" w:cs="Calibri" w:eastAsia="Calibri" w:hAnsi="Calibri"/>
          <w:color w:val="2B2622"/>
          <w:sz w:val="22"/>
          <w:szCs w:val="22"/>
        </w:rPr>
        <w:t xml:space="preserve">GHP tracks individuals supported, services provided, referrals completed, and reentry outcomes such as housing and employment.</w:t>
      </w:r>
    </w:p>
    <w:p>
      <w:pPr>
        <w:spacing w:after="100" w:line="288"/>
      </w:pPr>
      <w:r>
        <w:rPr>
          <w:rFonts w:ascii="Calibri" w:cs="Calibri" w:eastAsia="Calibri" w:hAnsi="Calibri"/>
          <w:color w:val="2B2622"/>
          <w:sz w:val="22"/>
          <w:szCs w:val="22"/>
        </w:rPr>
        <w:t xml:space="preserve">Overall Performance Indicators</w:t>
      </w:r>
    </w:p>
    <w:p>
      <w:pPr>
        <w:spacing w:after="100" w:line="288"/>
      </w:pPr>
      <w:r>
        <w:rPr>
          <w:rFonts w:ascii="Calibri" w:cs="Calibri" w:eastAsia="Calibri" w:hAnsi="Calibri"/>
          <w:color w:val="2B2622"/>
          <w:sz w:val="22"/>
          <w:szCs w:val="22"/>
        </w:rPr>
        <w:t xml:space="preserve">Program success will continue to be measured through:</w:t>
      </w:r>
    </w:p>
    <w:p>
      <w:pPr>
        <w:spacing w:after="100" w:line="288"/>
      </w:pPr>
      <w:r>
        <w:rPr>
          <w:rFonts w:ascii="Calibri" w:cs="Calibri" w:eastAsia="Calibri" w:hAnsi="Calibri"/>
          <w:color w:val="2B2622"/>
          <w:sz w:val="22"/>
          <w:szCs w:val="22"/>
        </w:rPr>
        <w:t xml:space="preserve">• Families and children served</w:t>
      </w:r>
    </w:p>
    <w:p>
      <w:pPr>
        <w:spacing w:after="100" w:line="288"/>
      </w:pPr>
      <w:r>
        <w:rPr>
          <w:rFonts w:ascii="Calibri" w:cs="Calibri" w:eastAsia="Calibri" w:hAnsi="Calibri"/>
          <w:color w:val="2B2622"/>
          <w:sz w:val="22"/>
          <w:szCs w:val="22"/>
        </w:rPr>
        <w:t xml:space="preserve">• Visits completed</w:t>
      </w:r>
    </w:p>
    <w:p>
      <w:pPr>
        <w:spacing w:after="100" w:line="288"/>
      </w:pPr>
      <w:r>
        <w:rPr>
          <w:rFonts w:ascii="Calibri" w:cs="Calibri" w:eastAsia="Calibri" w:hAnsi="Calibri"/>
          <w:color w:val="2B2622"/>
          <w:sz w:val="22"/>
          <w:szCs w:val="22"/>
        </w:rPr>
        <w:t xml:space="preserve">• Officers and providers trained</w:t>
      </w:r>
    </w:p>
    <w:p>
      <w:pPr>
        <w:spacing w:after="100" w:line="288"/>
      </w:pPr>
      <w:r>
        <w:rPr>
          <w:rFonts w:ascii="Calibri" w:cs="Calibri" w:eastAsia="Calibri" w:hAnsi="Calibri"/>
          <w:color w:val="2B2622"/>
          <w:sz w:val="22"/>
          <w:szCs w:val="22"/>
        </w:rPr>
        <w:t xml:space="preserve">• Justice-impacted adults supported</w:t>
      </w:r>
    </w:p>
    <w:p>
      <w:pPr>
        <w:spacing w:after="100" w:line="288"/>
      </w:pPr>
      <w:r>
        <w:rPr>
          <w:rFonts w:ascii="Calibri" w:cs="Calibri" w:eastAsia="Calibri" w:hAnsi="Calibri"/>
          <w:color w:val="2B2622"/>
          <w:sz w:val="22"/>
          <w:szCs w:val="22"/>
        </w:rPr>
        <w:t xml:space="preserve">• Family and participant satisfaction</w:t>
      </w:r>
    </w:p>
    <w:p>
      <w:pPr>
        <w:keepNext/>
        <w:spacing w:after="120" w:before="320"/>
      </w:pPr>
      <w:r>
        <w:rPr>
          <w:rFonts w:ascii="Georgia" w:cs="Georgia" w:eastAsia="Georgia" w:hAnsi="Georgia"/>
          <w:b/>
          <w:bCs/>
          <w:color w:val="9A3B1F"/>
          <w:sz w:val="22"/>
          <w:szCs w:val="22"/>
        </w:rPr>
        <w:t xml:space="preserve">17.  </w:t>
      </w:r>
      <w:r>
        <w:rPr>
          <w:rFonts w:ascii="Calibri" w:cs="Calibri" w:eastAsia="Calibri" w:hAnsi="Calibri"/>
          <w:b/>
          <w:bCs/>
          <w:color w:val="2B2622"/>
          <w:sz w:val="22"/>
          <w:szCs w:val="22"/>
        </w:rPr>
        <w:t xml:space="preserve">How often do you plan to collect these metrics?</w:t>
      </w:r>
    </w:p>
    <w:p>
      <w:pPr>
        <w:spacing w:after="100" w:line="288"/>
      </w:pPr>
      <w:r>
        <w:rPr>
          <w:rFonts w:ascii="Calibri" w:cs="Calibri" w:eastAsia="Calibri" w:hAnsi="Calibri"/>
          <w:color w:val="2B2622"/>
          <w:sz w:val="22"/>
          <w:szCs w:val="22"/>
        </w:rPr>
        <w:t xml:space="preserve">monthly</w:t>
      </w:r>
    </w:p>
    <w:p>
      <w:pPr>
        <w:spacing w:after="160" w:line="288"/>
      </w:pPr>
      <w:r>
        <w:rPr>
          <w:rFonts w:ascii="Calibri" w:cs="Calibri" w:eastAsia="Calibri" w:hAnsi="Calibri"/>
          <w:i/>
          <w:iCs/>
          <w:color w:val="2B2622"/>
          <w:sz w:val="22"/>
          <w:szCs w:val="22"/>
        </w:rPr>
        <w:t xml:space="preserve">Note: GHP tracks participant progress weekly and will share an impact summary with you.</w:t>
      </w:r>
    </w:p>
    <w:p>
      <w:pPr>
        <w:keepNext/>
        <w:spacing w:after="120" w:before="320"/>
      </w:pPr>
      <w:r>
        <w:rPr>
          <w:rFonts w:ascii="Georgia" w:cs="Georgia" w:eastAsia="Georgia" w:hAnsi="Georgia"/>
          <w:b/>
          <w:bCs/>
          <w:color w:val="9A3B1F"/>
          <w:sz w:val="22"/>
          <w:szCs w:val="22"/>
        </w:rPr>
        <w:t xml:space="preserve">18.  </w:t>
      </w:r>
      <w:r>
        <w:rPr>
          <w:rFonts w:ascii="Calibri" w:cs="Calibri" w:eastAsia="Calibri" w:hAnsi="Calibri"/>
          <w:b/>
          <w:bCs/>
          <w:color w:val="2B2622"/>
          <w:sz w:val="22"/>
          <w:szCs w:val="22"/>
        </w:rPr>
        <w:t xml:space="preserve">Please upload any additional relevant information.</w:t>
      </w:r>
    </w:p>
    <w:p>
      <w:pPr>
        <w:spacing w:after="100" w:line="288"/>
      </w:pPr>
      <w:r>
        <w:rPr>
          <w:rFonts w:ascii="Calibri" w:cs="Calibri" w:eastAsia="Calibri" w:hAnsi="Calibri"/>
          <w:color w:val="2B2622"/>
          <w:sz w:val="22"/>
          <w:szCs w:val="22"/>
        </w:rPr>
        <w:t xml:space="preserve">GHP Overview (PDF)</w:t>
      </w:r>
    </w:p>
    <w:p>
      <w:pPr>
        <w:spacing w:after="160" w:line="288"/>
      </w:pPr>
      <w:r>
        <w:rPr>
          <w:rFonts w:ascii="Calibri" w:cs="Calibri" w:eastAsia="Calibri" w:hAnsi="Calibri"/>
          <w:i/>
          <w:iCs/>
          <w:color w:val="2B2622"/>
          <w:sz w:val="22"/>
          <w:szCs w:val="22"/>
        </w:rPr>
        <w:t xml:space="preserve">Note: Download the GHP overview and upload it here.</w:t>
      </w:r>
    </w:p>
    <w:sectPr>
      <w:pgSz w:w="12240" w:h="15840" w:orient="portrait"/>
      <w:pgMar w:top="1260" w:right="1440" w:bottom="126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Impact Plan — [Licensee Name]</dc:title>
  <dc:creator>GHP Community Impact Partners</dc:creator>
  <cp:lastModifiedBy>Un-named</cp:lastModifiedBy>
  <cp:revision>1</cp:revision>
  <dcterms:created xsi:type="dcterms:W3CDTF">2026-10-19T17:39:45.906Z</dcterms:created>
  <dcterms:modified xsi:type="dcterms:W3CDTF">2026-10-19T17:39:45.906Z</dcterms:modified>
</cp:coreProperties>
</file>

<file path=docProps/custom.xml><?xml version="1.0" encoding="utf-8"?>
<Properties xmlns="http://schemas.openxmlformats.org/officeDocument/2006/custom-properties" xmlns:vt="http://schemas.openxmlformats.org/officeDocument/2006/docPropsVTypes"/>
</file>