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color w:val="2B2622"/>
          <w:sz w:val="44"/>
          <w:szCs w:val="44"/>
        </w:rPr>
        <w:t xml:space="preserve">Community Impact Plan</w:t>
      </w:r>
    </w:p>
    <w:p>
      <w:pPr>
        <w:spacing w:after="280"/>
      </w:pPr>
      <w:r>
        <w:rPr>
          <w:rFonts w:ascii="Calibri" w:cs="Calibri" w:eastAsia="Calibri" w:hAnsi="Calibri"/>
          <w:color w:val="6B5F55"/>
          <w:sz w:val="22"/>
          <w:szCs w:val="22"/>
        </w:rPr>
        <w:t xml:space="preserve">[Licensee Name]  ·  in partnership with Greater Hudson Promise</w:t>
      </w:r>
    </w:p>
    <w:tbl>
      <w:tblPr>
        <w:tblW w:type="pct" w:w="5000"/>
        <w:tblBorders>
          <w:top w:val="none" w:color="FFFFFF" w:sz="0"/>
          <w:left w:val="none" w:color="FFFFFF" w:sz="0"/>
          <w:bottom w:val="none" w:color="FFFFFF" w:sz="0"/>
          <w:right w:val="none" w:color="FFFFFF" w:sz="0"/>
          <w:insideH w:val="single" w:color="E4DCD2" w:sz="2"/>
          <w:insideV w:val="none" w:color="FFFFFF" w:sz="0"/>
        </w:tblBorders>
      </w:tblPr>
      <w:tblGrid>
        <w:gridCol w:w="2995"/>
        <w:gridCol w:w="6365"/>
      </w:tblGrid>
      <w:tr>
        <w:tc>
          <w:tcPr>
            <w:tcW w:type="pct" w:w="1600"/>
            <w:tcMar>
              <w:top w:type="dxa" w:w="60"/>
              <w:bottom w:type="dxa" w:w="60"/>
            </w:tcMar>
          </w:tcPr>
          <w:p>
            <w:r>
              <w:rPr>
                <w:rFonts w:ascii="Calibri" w:cs="Calibri" w:eastAsia="Calibri" w:hAnsi="Calibri"/>
                <w:b/>
                <w:bCs/>
                <w:color w:val="6B5F55"/>
                <w:sz w:val="20"/>
                <w:szCs w:val="20"/>
              </w:rPr>
              <w:t xml:space="preserve">Licensee</w:t>
            </w:r>
          </w:p>
        </w:tc>
        <w:tc>
          <w:tcPr>
            <w:tcW w:type="pct" w:w="3400"/>
            <w:tcMar>
              <w:top w:type="dxa" w:w="60"/>
              <w:bottom w:type="dxa" w:w="60"/>
            </w:tcMar>
          </w:tcPr>
          <w:p>
            <w:r>
              <w:rPr>
                <w:rFonts w:ascii="Calibri" w:cs="Calibri" w:eastAsia="Calibri" w:hAnsi="Calibri"/>
                <w:color w:val="2B2622"/>
                <w:sz w:val="22"/>
                <w:szCs w:val="22"/>
              </w:rPr>
              <w:t xml:space="preserve">[Licensee Name]</w:t>
            </w:r>
          </w:p>
        </w:tc>
      </w:tr>
      <w:tr>
        <w:tc>
          <w:tcPr>
            <w:tcW w:type="pct" w:w="1600"/>
            <w:tcMar>
              <w:top w:type="dxa" w:w="60"/>
              <w:bottom w:type="dxa" w:w="60"/>
            </w:tcMar>
          </w:tcPr>
          <w:p>
            <w:r>
              <w:rPr>
                <w:rFonts w:ascii="Calibri" w:cs="Calibri" w:eastAsia="Calibri" w:hAnsi="Calibri"/>
                <w:b/>
                <w:bCs/>
                <w:color w:val="6B5F55"/>
                <w:sz w:val="20"/>
                <w:szCs w:val="20"/>
              </w:rPr>
              <w:t xml:space="preserve">License</w:t>
            </w:r>
          </w:p>
        </w:tc>
        <w:tc>
          <w:tcPr>
            <w:tcW w:type="pct" w:w="3400"/>
            <w:tcMar>
              <w:top w:type="dxa" w:w="60"/>
              <w:bottom w:type="dxa" w:w="60"/>
            </w:tcMar>
          </w:tcPr>
          <w:p>
            <w:r>
              <w:rPr>
                <w:rFonts w:ascii="Calibri" w:cs="Calibri" w:eastAsia="Calibri" w:hAnsi="Calibri"/>
                <w:color w:val="2B2622"/>
                <w:sz w:val="22"/>
                <w:szCs w:val="22"/>
              </w:rPr>
              <w:t xml:space="preserve">Adult-Use Retail Dispensary · [License #]</w:t>
            </w:r>
          </w:p>
        </w:tc>
      </w:tr>
      <w:tr>
        <w:tc>
          <w:tcPr>
            <w:tcW w:type="pct" w:w="1600"/>
            <w:tcMar>
              <w:top w:type="dxa" w:w="60"/>
              <w:bottom w:type="dxa" w:w="60"/>
            </w:tcMar>
          </w:tcPr>
          <w:p>
            <w:r>
              <w:rPr>
                <w:rFonts w:ascii="Calibri" w:cs="Calibri" w:eastAsia="Calibri" w:hAnsi="Calibri"/>
                <w:b/>
                <w:bCs/>
                <w:color w:val="6B5F55"/>
                <w:sz w:val="20"/>
                <w:szCs w:val="20"/>
              </w:rPr>
              <w:t xml:space="preserve">Location</w:t>
            </w:r>
          </w:p>
        </w:tc>
        <w:tc>
          <w:tcPr>
            <w:tcW w:type="pct" w:w="3400"/>
            <w:tcMar>
              <w:top w:type="dxa" w:w="60"/>
              <w:bottom w:type="dxa" w:w="60"/>
            </w:tcMar>
          </w:tcPr>
          <w:p>
            <w:r>
              <w:rPr>
                <w:rFonts w:ascii="Calibri" w:cs="Calibri" w:eastAsia="Calibri" w:hAnsi="Calibri"/>
                <w:color w:val="2B2622"/>
                <w:sz w:val="22"/>
                <w:szCs w:val="22"/>
              </w:rPr>
              <w:t xml:space="preserve">[Street], [City], [County] County, NY</w:t>
            </w:r>
          </w:p>
        </w:tc>
      </w:tr>
      <w:tr>
        <w:tc>
          <w:tcPr>
            <w:tcW w:type="pct" w:w="1600"/>
            <w:tcMar>
              <w:top w:type="dxa" w:w="60"/>
              <w:bottom w:type="dxa" w:w="60"/>
            </w:tcMar>
          </w:tcPr>
          <w:p>
            <w:r>
              <w:rPr>
                <w:rFonts w:ascii="Calibri" w:cs="Calibri" w:eastAsia="Calibri" w:hAnsi="Calibri"/>
                <w:b/>
                <w:bCs/>
                <w:color w:val="6B5F55"/>
                <w:sz w:val="20"/>
                <w:szCs w:val="20"/>
              </w:rPr>
              <w:t xml:space="preserve">Community partner</w:t>
            </w:r>
          </w:p>
        </w:tc>
        <w:tc>
          <w:tcPr>
            <w:tcW w:type="pct" w:w="3400"/>
            <w:tcMar>
              <w:top w:type="dxa" w:w="60"/>
              <w:bottom w:type="dxa" w:w="60"/>
            </w:tcMar>
          </w:tcPr>
          <w:p>
            <w:r>
              <w:rPr>
                <w:rFonts w:ascii="Calibri" w:cs="Calibri" w:eastAsia="Calibri" w:hAnsi="Calibri"/>
                <w:color w:val="2B2622"/>
                <w:sz w:val="22"/>
                <w:szCs w:val="22"/>
              </w:rPr>
              <w:t xml:space="preserve">Greater Hudson Promise (GHP) — General support for GHP</w:t>
            </w:r>
          </w:p>
        </w:tc>
      </w:tr>
      <w:tr>
        <w:tc>
          <w:tcPr>
            <w:tcW w:type="pct" w:w="1600"/>
            <w:tcMar>
              <w:top w:type="dxa" w:w="60"/>
              <w:bottom w:type="dxa" w:w="60"/>
            </w:tcMar>
          </w:tcPr>
          <w:p>
            <w:r>
              <w:rPr>
                <w:rFonts w:ascii="Calibri" w:cs="Calibri" w:eastAsia="Calibri" w:hAnsi="Calibri"/>
                <w:b/>
                <w:bCs/>
                <w:color w:val="6B5F55"/>
                <w:sz w:val="20"/>
                <w:szCs w:val="20"/>
              </w:rPr>
              <w:t xml:space="preserve">Contact</w:t>
            </w:r>
          </w:p>
        </w:tc>
        <w:tc>
          <w:tcPr>
            <w:tcW w:type="pct" w:w="3400"/>
            <w:tcMar>
              <w:top w:type="dxa" w:w="60"/>
              <w:bottom w:type="dxa" w:w="60"/>
            </w:tcMar>
          </w:tcPr>
          <w:p>
            <w:r>
              <w:rPr>
                <w:rFonts w:ascii="Calibri" w:cs="Calibri" w:eastAsia="Calibri" w:hAnsi="Calibri"/>
                <w:color w:val="2B2622"/>
                <w:sz w:val="22"/>
                <w:szCs w:val="22"/>
              </w:rPr>
              <w:t xml:space="preserve">[Contact Name], [Title] · [email]</w:t>
            </w:r>
          </w:p>
        </w:tc>
      </w:tr>
    </w:tbl>
    <w:p>
      <w:pPr>
        <w:spacing w:after="160" w:before="320"/>
      </w:pPr>
      <w:r>
        <w:rPr>
          <w:rFonts w:ascii="Georgia" w:cs="Georgia" w:eastAsia="Georgia" w:hAnsi="Georgia"/>
          <w:b/>
          <w:bCs/>
          <w:color w:val="9A3B1F"/>
          <w:sz w:val="24"/>
          <w:szCs w:val="24"/>
        </w:rPr>
        <w:t xml:space="preserve">What problem or need does your community impact plan seek to address? Please include any relevant data.</w:t>
      </w:r>
    </w:p>
    <w:p>
      <w:pPr>
        <w:spacing w:after="160" w:line="288"/>
      </w:pPr>
      <w:r>
        <w:rPr>
          <w:rFonts w:ascii="Calibri" w:cs="Calibri" w:eastAsia="Calibri" w:hAnsi="Calibri"/>
          <w:color w:val="2B2622"/>
          <w:sz w:val="22"/>
          <w:szCs w:val="22"/>
        </w:rPr>
        <w:t xml:space="preserve">The [Licensee Name]/Greater Hudson Promise (GHP) partnership addresses the deep and persistent economic disparities facing children and families in the City of Hudson and Columbia County, disparities rooted in decades of state and federal policy, including urban renewal and the enforcement of cannabis prohibition, that fell hardest on Black and Latino residents.</w:t>
      </w:r>
    </w:p>
    <w:p>
      <w:pPr>
        <w:spacing w:after="160" w:line="288"/>
      </w:pPr>
      <w:r>
        <w:rPr>
          <w:rFonts w:ascii="Calibri" w:cs="Calibri" w:eastAsia="Calibri" w:hAnsi="Calibri"/>
          <w:color w:val="2B2622"/>
          <w:sz w:val="22"/>
          <w:szCs w:val="22"/>
        </w:rPr>
        <w:t xml:space="preserve">Hudson’s poverty rate is 28.2 percent, more than double Columbia County’s 12.1 percent, and its median household income of $54,139 trails both the county ($81,528) and New York State ($85,974) (U.S. Census Bureau, American Community Survey 2020–2024). These disparities have deep roots. In the late 1960s and early 1970s, urban renewal demolished 286 buildings near Hudson’s waterfront and displaced more than 200 families, nearly one in ten residents; many of the Black families displaced were rehoused in public housing and were far less likely to go on to own homes or build wealth. Decades of cannabis prohibition compounded that harm: statewide, more than 80 percent of people arrested for marijuana possession were Black or Latino.</w:t>
      </w:r>
    </w:p>
    <w:p>
      <w:pPr>
        <w:spacing w:after="160" w:line="288"/>
      </w:pPr>
      <w:r>
        <w:rPr>
          <w:rFonts w:ascii="Calibri" w:cs="Calibri" w:eastAsia="Calibri" w:hAnsi="Calibri"/>
          <w:color w:val="2B2622"/>
          <w:sz w:val="22"/>
          <w:szCs w:val="22"/>
        </w:rPr>
        <w:t xml:space="preserve">Greater Hudson Promise (GHP) has served Hudson since 2011, when it was selected as one of fifteen communities nationwide for a U.S. Department of Education Promise Neighborhood planning grant. Modeled on the Harlem Children’s Zone, GHP is a place-based, cradle-to-career organization headquartered at 369 Warren Street in Hudson, serving children and families from birth through adulthood. Its programs include free early learning for children ages 0–5, a countywide early literacy network, free after-school programming with hot meals and transportation, the Beyond GED program for Opportunity Youth ages 16–24, emergency assistance for families in crisis, enhanced visiting for children of incarcerated parents at the Columbia County Jail, and court advocacy for justice-impacted residents.</w:t>
      </w:r>
    </w:p>
    <w:p>
      <w:pPr>
        <w:spacing w:after="160" w:line="288"/>
      </w:pPr>
      <w:r>
        <w:rPr>
          <w:rFonts w:ascii="Calibri" w:cs="Calibri" w:eastAsia="Calibri" w:hAnsi="Calibri"/>
          <w:color w:val="2B2622"/>
          <w:sz w:val="22"/>
          <w:szCs w:val="22"/>
        </w:rPr>
        <w:t xml:space="preserve">General operating support allows GHP to direct resources where community need is greatest and to sustain the staff, space, and programs that families rely on at every stage of life. By investing in the full continuum rather than a single program, the [Licensee Name]–GHP partnership helps break cycles of poverty and justice involvement that span generations.</w:t>
      </w:r>
    </w:p>
    <w:p>
      <w:pPr>
        <w:spacing w:after="160" w:before="320"/>
      </w:pPr>
      <w:r>
        <w:rPr>
          <w:rFonts w:ascii="Georgia" w:cs="Georgia" w:eastAsia="Georgia" w:hAnsi="Georgia"/>
          <w:b/>
          <w:bCs/>
          <w:color w:val="9A3B1F"/>
          <w:sz w:val="24"/>
          <w:szCs w:val="24"/>
        </w:rPr>
        <w:t xml:space="preserve">Who are the communities and individuals disproportionately impacted you intend to target?</w:t>
      </w:r>
    </w:p>
    <w:p>
      <w:pPr>
        <w:spacing w:after="160" w:line="288"/>
      </w:pPr>
      <w:r>
        <w:rPr>
          <w:rFonts w:ascii="Calibri" w:cs="Calibri" w:eastAsia="Calibri" w:hAnsi="Calibri"/>
          <w:color w:val="2B2622"/>
          <w:sz w:val="22"/>
          <w:szCs w:val="22"/>
        </w:rPr>
        <w:t xml:space="preserve">The targeted population is children, youth, and families in the City of Hudson and Columbia County who have been disproportionately impacted by poverty, systemic oppression, and the enforcement of cannabis prohibition, including justice-impacted individuals and their families. GHP’s mission is to build an equitable community by providing opportunities and support to individuals and families affected by systemic oppression and failures. Across all GHP programs, 79 percent of participants are BIPOC.</w:t>
      </w:r>
    </w:p>
    <w:p>
      <w:pPr>
        <w:spacing w:after="160" w:before="320"/>
      </w:pPr>
      <w:r>
        <w:rPr>
          <w:rFonts w:ascii="Georgia" w:cs="Georgia" w:eastAsia="Georgia" w:hAnsi="Georgia"/>
          <w:b/>
          <w:bCs/>
          <w:color w:val="9A3B1F"/>
          <w:sz w:val="24"/>
          <w:szCs w:val="24"/>
        </w:rPr>
        <w:t xml:space="preserve">Goals</w:t>
      </w:r>
    </w:p>
    <w:p>
      <w:pPr>
        <w:pStyle w:val="ListParagraph"/>
        <w:numPr>
          <w:ilvl w:val="0"/>
          <w:numId w:val="2"/>
        </w:numPr>
        <w:spacing w:after="120" w:line="288"/>
      </w:pPr>
      <w:r>
        <w:rPr>
          <w:rFonts w:ascii="Calibri" w:cs="Calibri" w:eastAsia="Calibri" w:hAnsi="Calibri"/>
          <w:b/>
          <w:bCs/>
          <w:color w:val="2B2622"/>
          <w:sz w:val="22"/>
          <w:szCs w:val="22"/>
        </w:rPr>
        <w:t xml:space="preserve">Strengthen Early Learning and School Success. </w:t>
      </w:r>
      <w:r>
        <w:rPr>
          <w:rFonts w:ascii="Calibri" w:cs="Calibri" w:eastAsia="Calibri" w:hAnsi="Calibri"/>
          <w:color w:val="2B2622"/>
          <w:sz w:val="22"/>
          <w:szCs w:val="22"/>
        </w:rPr>
        <w:t xml:space="preserve">Provide free, play-based early learning for children ages 0–5 and free after-school programming with homework help, daily reading, hot meals, and transportation, so children enter and stay in school ready to learn. Measured by the number of children served in early learning and after-school programs (2025: 31 children enrolled in Promise Early Learning, serving 30 families; 2022: 30+ students enrolled in after-school and 143+ children reached through the Traveling Early Learning Program).</w:t>
      </w:r>
    </w:p>
    <w:p>
      <w:pPr>
        <w:pStyle w:val="ListParagraph"/>
        <w:numPr>
          <w:ilvl w:val="0"/>
          <w:numId w:val="2"/>
        </w:numPr>
        <w:spacing w:after="120" w:line="288"/>
      </w:pPr>
      <w:r>
        <w:rPr>
          <w:rFonts w:ascii="Calibri" w:cs="Calibri" w:eastAsia="Calibri" w:hAnsi="Calibri"/>
          <w:b/>
          <w:bCs/>
          <w:color w:val="2B2622"/>
          <w:sz w:val="22"/>
          <w:szCs w:val="22"/>
        </w:rPr>
        <w:t xml:space="preserve">Expand Pathways to Education and Employment. </w:t>
      </w:r>
      <w:r>
        <w:rPr>
          <w:rFonts w:ascii="Calibri" w:cs="Calibri" w:eastAsia="Calibri" w:hAnsi="Calibri"/>
          <w:color w:val="2B2622"/>
          <w:sz w:val="22"/>
          <w:szCs w:val="22"/>
        </w:rPr>
        <w:t xml:space="preserve">Through Beyond GED, help Opportunity Youth ages 16–24 earn a high school equivalency credential and move into employment, training, or college, with stipends, meals, and individualized support. Measured by GED credentials earned and participants gaining employment (2025: 6 GEDs earned and 16 participants employed; 11 GEDs earned since program inception).</w:t>
      </w:r>
    </w:p>
    <w:p>
      <w:pPr>
        <w:pStyle w:val="ListParagraph"/>
        <w:numPr>
          <w:ilvl w:val="0"/>
          <w:numId w:val="2"/>
        </w:numPr>
        <w:spacing w:after="120" w:line="288"/>
      </w:pPr>
      <w:r>
        <w:rPr>
          <w:rFonts w:ascii="Calibri" w:cs="Calibri" w:eastAsia="Calibri" w:hAnsi="Calibri"/>
          <w:b/>
          <w:bCs/>
          <w:color w:val="2B2622"/>
          <w:sz w:val="22"/>
          <w:szCs w:val="22"/>
        </w:rPr>
        <w:t xml:space="preserve">Increase Family Stability and Reduce Justice-System Harm. </w:t>
      </w:r>
      <w:r>
        <w:rPr>
          <w:rFonts w:ascii="Calibri" w:cs="Calibri" w:eastAsia="Calibri" w:hAnsi="Calibri"/>
          <w:color w:val="2B2622"/>
          <w:sz w:val="22"/>
          <w:szCs w:val="22"/>
        </w:rPr>
        <w:t xml:space="preserve">Provide emergency assistance to families in crisis and keep children connected to incarcerated parents through enhanced, child-friendly jail visits. Measured by individuals receiving emergency support, evictions diverted, and dollars distributed (2025: $350,170 in emergency assistance; rent assistance reaching 482 individuals, including 220 children, and diverting 90 evictions; grocery relief for 760+ residents during the SNAP lapse), and by families and visits served through enhanced visiting (90+ families and 750+ visits, August 2016–August 2025).</w:t>
      </w:r>
    </w:p>
    <w:p>
      <w:pPr>
        <w:spacing w:after="160" w:before="320"/>
      </w:pPr>
      <w:r>
        <w:rPr>
          <w:rFonts w:ascii="Georgia" w:cs="Georgia" w:eastAsia="Georgia" w:hAnsi="Georgia"/>
          <w:b/>
          <w:bCs/>
          <w:color w:val="9A3B1F"/>
          <w:sz w:val="24"/>
          <w:szCs w:val="24"/>
        </w:rPr>
        <w:t xml:space="preserve">Partnership Commitment</w:t>
      </w:r>
    </w:p>
    <w:p>
      <w:pPr>
        <w:spacing w:after="160" w:line="288"/>
      </w:pPr>
      <w:r>
        <w:rPr>
          <w:rFonts w:ascii="Calibri" w:cs="Calibri" w:eastAsia="Calibri" w:hAnsi="Calibri"/>
          <w:color w:val="2B2622"/>
          <w:sz w:val="22"/>
          <w:szCs w:val="22"/>
        </w:rPr>
        <w:t xml:space="preserve">[Licensee Name] commits $5,000 per year to Greater Hudson Promise to provide general operating support for GHP’s cradle-to-career programs in Hudson and Columbia County, for a term of 2 years, beginning Upon plan approval. Total commitment over the term: $10,000.</w:t>
      </w:r>
    </w:p>
    <w:p>
      <w:pPr>
        <w:spacing w:after="160" w:line="288"/>
      </w:pPr>
      <w:r>
        <w:rPr>
          <w:rFonts w:ascii="Calibri" w:cs="Calibri" w:eastAsia="Calibri" w:hAnsi="Calibri"/>
          <w:color w:val="2B2622"/>
          <w:sz w:val="22"/>
          <w:szCs w:val="22"/>
        </w:rPr>
        <w:t xml:space="preserve">The Year 1 contribution is made upon signing this pledge; the Year 2 contribution is due on the one-year anniversary.</w:t>
      </w:r>
    </w:p>
    <w:p>
      <w:pPr>
        <w:spacing w:after="160" w:line="288"/>
      </w:pPr>
      <w:r>
        <w:rPr>
          <w:rFonts w:ascii="Calibri" w:cs="Calibri" w:eastAsia="Calibri" w:hAnsi="Calibri"/>
          <w:color w:val="2B2622"/>
          <w:sz w:val="22"/>
          <w:szCs w:val="22"/>
        </w:rPr>
        <w:t xml:space="preserve">Funds sustain the staff, space, and programs GHP families rely on, from early learning and after-school to Beyond GED, emergency assistance, and support for families affected by incarceration, directed where community need is greatest.</w:t>
      </w:r>
    </w:p>
    <w:p>
      <w:pPr>
        <w:spacing w:after="100" w:before="200"/>
      </w:pPr>
      <w:r>
        <w:rPr>
          <w:rFonts w:ascii="Calibri" w:cs="Calibri" w:eastAsia="Calibri" w:hAnsi="Calibri"/>
          <w:b/>
          <w:bCs/>
          <w:color w:val="2B2622"/>
          <w:sz w:val="22"/>
          <w:szCs w:val="22"/>
        </w:rPr>
        <w:t xml:space="preserve">Additional engagement</w:t>
      </w:r>
    </w:p>
    <w:p>
      <w:pPr>
        <w:pStyle w:val="ListParagraph"/>
        <w:numPr>
          <w:ilvl w:val="0"/>
          <w:numId w:val="3"/>
        </w:numPr>
        <w:spacing w:after="60" w:line="276"/>
      </w:pPr>
      <w:r>
        <w:rPr>
          <w:rFonts w:ascii="Calibri" w:cs="Calibri" w:eastAsia="Calibri" w:hAnsi="Calibri"/>
          <w:color w:val="2B2622"/>
          <w:sz w:val="22"/>
          <w:szCs w:val="22"/>
        </w:rPr>
        <w:t xml:space="preserve">[Licensee Name] will display information about GHP's programs and refer eligible young adults and families to GHP.</w:t>
      </w:r>
    </w:p>
    <w:p>
      <w:pPr>
        <w:pStyle w:val="ListParagraph"/>
        <w:numPr>
          <w:ilvl w:val="0"/>
          <w:numId w:val="3"/>
        </w:numPr>
        <w:spacing w:after="60" w:line="276"/>
      </w:pPr>
      <w:r>
        <w:rPr>
          <w:rFonts w:ascii="Calibri" w:cs="Calibri" w:eastAsia="Calibri" w:hAnsi="Calibri"/>
          <w:color w:val="2B2622"/>
          <w:sz w:val="22"/>
          <w:szCs w:val="22"/>
        </w:rPr>
        <w:t xml:space="preserve">[Licensee Name] will offer customers an optional round-up or donation prompt at checkout, with all proceeds directed to GHP.</w:t>
      </w:r>
    </w:p>
    <w:p>
      <w:pPr>
        <w:pStyle w:val="ListParagraph"/>
        <w:numPr>
          <w:ilvl w:val="0"/>
          <w:numId w:val="3"/>
        </w:numPr>
        <w:spacing w:after="60" w:line="276"/>
      </w:pPr>
      <w:r>
        <w:rPr>
          <w:rFonts w:ascii="Calibri" w:cs="Calibri" w:eastAsia="Calibri" w:hAnsi="Calibri"/>
          <w:color w:val="2B2622"/>
          <w:sz w:val="22"/>
          <w:szCs w:val="22"/>
        </w:rPr>
        <w:t xml:space="preserve">[Licensee Name] staff will contribute volunteer hours to GHP, including mock interviews, résumé support, and event assistance.</w:t>
      </w:r>
    </w:p>
    <w:p>
      <w:pPr>
        <w:pStyle w:val="ListParagraph"/>
        <w:numPr>
          <w:ilvl w:val="0"/>
          <w:numId w:val="3"/>
        </w:numPr>
        <w:spacing w:after="60" w:line="276"/>
      </w:pPr>
      <w:r>
        <w:rPr>
          <w:rFonts w:ascii="Calibri" w:cs="Calibri" w:eastAsia="Calibri" w:hAnsi="Calibri"/>
          <w:color w:val="2B2622"/>
          <w:sz w:val="22"/>
          <w:szCs w:val="22"/>
        </w:rPr>
        <w:t xml:space="preserve">[Licensee Name] will host or deliver career-readiness and small-business workshops for Beyond GED participants, with any on-premises activity limited to participants aged 21 and over in compliance with OCM rules.</w:t>
      </w:r>
    </w:p>
    <w:p>
      <w:pPr>
        <w:pStyle w:val="ListParagraph"/>
        <w:numPr>
          <w:ilvl w:val="0"/>
          <w:numId w:val="3"/>
        </w:numPr>
        <w:spacing w:after="60" w:line="276"/>
      </w:pPr>
      <w:r>
        <w:rPr>
          <w:rFonts w:ascii="Calibri" w:cs="Calibri" w:eastAsia="Calibri" w:hAnsi="Calibri"/>
          <w:color w:val="2B2622"/>
          <w:sz w:val="22"/>
          <w:szCs w:val="22"/>
        </w:rPr>
        <w:t xml:space="preserve">[Licensee Name] will designate a portion of its contribution to driving lessons and identification costs, removing transportation and documentation barriers to employment.</w:t>
      </w:r>
    </w:p>
    <w:p>
      <w:pPr>
        <w:spacing w:after="160" w:before="320"/>
      </w:pPr>
      <w:r>
        <w:rPr>
          <w:rFonts w:ascii="Georgia" w:cs="Georgia" w:eastAsia="Georgia" w:hAnsi="Georgia"/>
          <w:b/>
          <w:bCs/>
          <w:color w:val="9A3B1F"/>
          <w:sz w:val="24"/>
          <w:szCs w:val="24"/>
        </w:rPr>
        <w:t xml:space="preserve">How will you measure your program's success? Please describe both the qualitative and quantitative metrics you plan to use and how you'll gather this information.</w:t>
      </w:r>
    </w:p>
    <w:p>
      <w:pPr>
        <w:spacing w:after="100" w:before="200"/>
      </w:pPr>
      <w:r>
        <w:rPr>
          <w:rFonts w:ascii="Calibri" w:cs="Calibri" w:eastAsia="Calibri" w:hAnsi="Calibri"/>
          <w:b/>
          <w:bCs/>
          <w:color w:val="2B2622"/>
          <w:sz w:val="22"/>
          <w:szCs w:val="22"/>
        </w:rPr>
        <w:t xml:space="preserve">Qualitative</w:t>
      </w:r>
    </w:p>
    <w:p>
      <w:pPr>
        <w:spacing w:after="160" w:line="288"/>
      </w:pPr>
      <w:r>
        <w:rPr>
          <w:rFonts w:ascii="Calibri" w:cs="Calibri" w:eastAsia="Calibri" w:hAnsi="Calibri"/>
          <w:color w:val="2B2622"/>
          <w:sz w:val="22"/>
          <w:szCs w:val="22"/>
        </w:rPr>
        <w:t xml:space="preserve">Qualitative success will be measured through participant and family feedback, interviews, and stories that show growth in stability, confidence, and connection. GHP staff build trusted, individualized relationships with participants across programs, and its court advocacy team includes staff with lived experience of the justice system.</w:t>
      </w:r>
    </w:p>
    <w:p>
      <w:pPr>
        <w:spacing w:after="160" w:line="288"/>
      </w:pPr>
      <w:r>
        <w:rPr>
          <w:rFonts w:ascii="Calibri" w:cs="Calibri" w:eastAsia="Calibri" w:hAnsi="Calibri"/>
          <w:color w:val="2B2622"/>
          <w:sz w:val="22"/>
          <w:szCs w:val="22"/>
        </w:rPr>
        <w:t xml:space="preserve">Participants describe the difference this makes. A Beyond GED student called the program “one of the best decisions I’ve made for my future,” and a parent said, “It’s been heaven sent for my child, and without this program I am not sure where my son would be.” In surveys from GHP’s enhanced jail visiting program, incarcerated parents reported improved behavior and fewer disciplinary issues, and children reported reduced anxiety about their parent’s well-being.</w:t>
      </w:r>
    </w:p>
    <w:p>
      <w:pPr>
        <w:spacing w:after="160" w:line="288"/>
      </w:pPr>
      <w:r>
        <w:rPr>
          <w:rFonts w:ascii="Calibri" w:cs="Calibri" w:eastAsia="Calibri" w:hAnsi="Calibri"/>
          <w:color w:val="2B2622"/>
          <w:sz w:val="22"/>
          <w:szCs w:val="22"/>
        </w:rPr>
        <w:t xml:space="preserve">A parent of a Promise Early Learner wrote in 2025: “It’s been wonderful to see how much confidence and independence he has gained… I’ve especially noticed growth in his social skills and willingness to try new things.”</w:t>
      </w:r>
    </w:p>
    <w:p>
      <w:pPr>
        <w:spacing w:after="160" w:line="288"/>
      </w:pPr>
      <w:r>
        <w:rPr>
          <w:rFonts w:ascii="Calibri" w:cs="Calibri" w:eastAsia="Calibri" w:hAnsi="Calibri"/>
          <w:color w:val="2B2622"/>
          <w:sz w:val="22"/>
          <w:szCs w:val="22"/>
        </w:rPr>
        <w:t xml:space="preserve">These qualitative measures, gathered through surveys, interviews, and ongoing staff contact, show not only whether programs are reaching families, but whether families feel more stable, supported, and hopeful about their future.</w:t>
      </w:r>
    </w:p>
    <w:p>
      <w:pPr>
        <w:spacing w:after="100" w:before="200"/>
      </w:pPr>
      <w:r>
        <w:rPr>
          <w:rFonts w:ascii="Calibri" w:cs="Calibri" w:eastAsia="Calibri" w:hAnsi="Calibri"/>
          <w:b/>
          <w:bCs/>
          <w:color w:val="2B2622"/>
          <w:sz w:val="22"/>
          <w:szCs w:val="22"/>
        </w:rPr>
        <w:t xml:space="preserve">Quantitative</w:t>
      </w:r>
    </w:p>
    <w:p>
      <w:pPr>
        <w:spacing w:after="160" w:line="288"/>
      </w:pPr>
      <w:r>
        <w:rPr>
          <w:rFonts w:ascii="Calibri" w:cs="Calibri" w:eastAsia="Calibri" w:hAnsi="Calibri"/>
          <w:color w:val="2B2622"/>
          <w:sz w:val="22"/>
          <w:szCs w:val="22"/>
        </w:rPr>
        <w:t xml:space="preserve">Success will be measured through clear, quantitative outcomes across GHP’s cradle-to-career continuum, tracked by program staff and reported in GHP’s annual impact summary.</w:t>
      </w:r>
    </w:p>
    <w:p>
      <w:pPr>
        <w:spacing w:after="100" w:before="200"/>
      </w:pPr>
      <w:r>
        <w:rPr>
          <w:rFonts w:ascii="Calibri" w:cs="Calibri" w:eastAsia="Calibri" w:hAnsi="Calibri"/>
          <w:b/>
          <w:bCs/>
          <w:color w:val="2B2622"/>
          <w:sz w:val="22"/>
          <w:szCs w:val="22"/>
        </w:rPr>
        <w:t xml:space="preserve">Early Childhood and Youth</w:t>
      </w:r>
    </w:p>
    <w:p>
      <w:pPr>
        <w:pStyle w:val="ListParagraph"/>
        <w:numPr>
          <w:ilvl w:val="0"/>
          <w:numId w:val="3"/>
        </w:numPr>
        <w:spacing w:after="60" w:line="276"/>
      </w:pPr>
      <w:r>
        <w:rPr>
          <w:rFonts w:ascii="Calibri" w:cs="Calibri" w:eastAsia="Calibri" w:hAnsi="Calibri"/>
          <w:color w:val="2B2622"/>
          <w:sz w:val="22"/>
          <w:szCs w:val="22"/>
        </w:rPr>
        <w:t xml:space="preserve">31 children enrolled in free Promise Early Learning, serving 30 families, in the program’s fourth year (2025)</w:t>
      </w:r>
    </w:p>
    <w:p>
      <w:pPr>
        <w:pStyle w:val="ListParagraph"/>
        <w:numPr>
          <w:ilvl w:val="0"/>
          <w:numId w:val="3"/>
        </w:numPr>
        <w:spacing w:after="60" w:line="276"/>
      </w:pPr>
      <w:r>
        <w:rPr>
          <w:rFonts w:ascii="Calibri" w:cs="Calibri" w:eastAsia="Calibri" w:hAnsi="Calibri"/>
          <w:color w:val="2B2622"/>
          <w:sz w:val="22"/>
          <w:szCs w:val="22"/>
        </w:rPr>
        <w:t xml:space="preserve">143+ children were reached through the Traveling Early Learning Program (2022)</w:t>
      </w:r>
    </w:p>
    <w:p>
      <w:pPr>
        <w:pStyle w:val="ListParagraph"/>
        <w:numPr>
          <w:ilvl w:val="0"/>
          <w:numId w:val="3"/>
        </w:numPr>
        <w:spacing w:after="60" w:line="276"/>
      </w:pPr>
      <w:r>
        <w:rPr>
          <w:rFonts w:ascii="Calibri" w:cs="Calibri" w:eastAsia="Calibri" w:hAnsi="Calibri"/>
          <w:color w:val="2B2622"/>
          <w:sz w:val="22"/>
          <w:szCs w:val="22"/>
        </w:rPr>
        <w:t xml:space="preserve">30+ students enrolled in free after-school programming (2022)</w:t>
      </w:r>
    </w:p>
    <w:p>
      <w:pPr>
        <w:spacing w:after="160" w:line="288"/>
      </w:pPr>
      <w:r>
        <w:rPr>
          <w:rFonts w:ascii="Calibri" w:cs="Calibri" w:eastAsia="Calibri" w:hAnsi="Calibri"/>
          <w:color w:val="2B2622"/>
          <w:sz w:val="22"/>
          <w:szCs w:val="22"/>
        </w:rPr>
        <w:t xml:space="preserve">GHP also convenes CO-HOST, a network of 24 youth-serving partner organizations that met monthly in 2025; its 2025 retreat provided free professional development to 36 people from youth-serving organizations. Tracking includes enrollment, daily attendance, and reading time, as every after-school scholar reads a minimum of twenty minutes per day.</w:t>
      </w:r>
    </w:p>
    <w:p>
      <w:pPr>
        <w:spacing w:after="100" w:before="200"/>
      </w:pPr>
      <w:r>
        <w:rPr>
          <w:rFonts w:ascii="Calibri" w:cs="Calibri" w:eastAsia="Calibri" w:hAnsi="Calibri"/>
          <w:b/>
          <w:bCs/>
          <w:color w:val="2B2622"/>
          <w:sz w:val="22"/>
          <w:szCs w:val="22"/>
        </w:rPr>
        <w:t xml:space="preserve">Young Adults (Beyond GED)</w:t>
      </w:r>
    </w:p>
    <w:p>
      <w:pPr>
        <w:spacing w:after="160" w:line="288"/>
      </w:pPr>
      <w:r>
        <w:rPr>
          <w:rFonts w:ascii="Calibri" w:cs="Calibri" w:eastAsia="Calibri" w:hAnsi="Calibri"/>
          <w:color w:val="2B2622"/>
          <w:sz w:val="22"/>
          <w:szCs w:val="22"/>
        </w:rPr>
        <w:t xml:space="preserve">In 2025:</w:t>
      </w:r>
    </w:p>
    <w:p>
      <w:pPr>
        <w:pStyle w:val="ListParagraph"/>
        <w:numPr>
          <w:ilvl w:val="0"/>
          <w:numId w:val="3"/>
        </w:numPr>
        <w:spacing w:after="60" w:line="276"/>
      </w:pPr>
      <w:r>
        <w:rPr>
          <w:rFonts w:ascii="Calibri" w:cs="Calibri" w:eastAsia="Calibri" w:hAnsi="Calibri"/>
          <w:color w:val="2B2622"/>
          <w:sz w:val="22"/>
          <w:szCs w:val="22"/>
        </w:rPr>
        <w:t xml:space="preserve">20 Opportunity Youth enrolled</w:t>
      </w:r>
    </w:p>
    <w:p>
      <w:pPr>
        <w:pStyle w:val="ListParagraph"/>
        <w:numPr>
          <w:ilvl w:val="0"/>
          <w:numId w:val="3"/>
        </w:numPr>
        <w:spacing w:after="60" w:line="276"/>
      </w:pPr>
      <w:r>
        <w:rPr>
          <w:rFonts w:ascii="Calibri" w:cs="Calibri" w:eastAsia="Calibri" w:hAnsi="Calibri"/>
          <w:color w:val="2B2622"/>
          <w:sz w:val="22"/>
          <w:szCs w:val="22"/>
        </w:rPr>
        <w:t xml:space="preserve">34 GED tests were taken</w:t>
      </w:r>
    </w:p>
    <w:p>
      <w:pPr>
        <w:pStyle w:val="ListParagraph"/>
        <w:numPr>
          <w:ilvl w:val="0"/>
          <w:numId w:val="3"/>
        </w:numPr>
        <w:spacing w:after="60" w:line="276"/>
      </w:pPr>
      <w:r>
        <w:rPr>
          <w:rFonts w:ascii="Calibri" w:cs="Calibri" w:eastAsia="Calibri" w:hAnsi="Calibri"/>
          <w:color w:val="2B2622"/>
          <w:sz w:val="22"/>
          <w:szCs w:val="22"/>
        </w:rPr>
        <w:t xml:space="preserve">6 participants earned their GED (11 since program inception)</w:t>
      </w:r>
    </w:p>
    <w:p>
      <w:pPr>
        <w:pStyle w:val="ListParagraph"/>
        <w:numPr>
          <w:ilvl w:val="0"/>
          <w:numId w:val="3"/>
        </w:numPr>
        <w:spacing w:after="60" w:line="276"/>
      </w:pPr>
      <w:r>
        <w:rPr>
          <w:rFonts w:ascii="Calibri" w:cs="Calibri" w:eastAsia="Calibri" w:hAnsi="Calibri"/>
          <w:color w:val="2B2622"/>
          <w:sz w:val="22"/>
          <w:szCs w:val="22"/>
        </w:rPr>
        <w:t xml:space="preserve">16 participants gained employment</w:t>
      </w:r>
    </w:p>
    <w:p>
      <w:pPr>
        <w:pStyle w:val="ListParagraph"/>
        <w:numPr>
          <w:ilvl w:val="0"/>
          <w:numId w:val="3"/>
        </w:numPr>
        <w:spacing w:after="60" w:line="276"/>
      </w:pPr>
      <w:r>
        <w:rPr>
          <w:rFonts w:ascii="Calibri" w:cs="Calibri" w:eastAsia="Calibri" w:hAnsi="Calibri"/>
          <w:color w:val="2B2622"/>
          <w:sz w:val="22"/>
          <w:szCs w:val="22"/>
        </w:rPr>
        <w:t xml:space="preserve">20 participants received DMV identification cards</w:t>
      </w:r>
    </w:p>
    <w:p>
      <w:pPr>
        <w:pStyle w:val="ListParagraph"/>
        <w:numPr>
          <w:ilvl w:val="0"/>
          <w:numId w:val="3"/>
        </w:numPr>
        <w:spacing w:after="60" w:line="276"/>
      </w:pPr>
      <w:r>
        <w:rPr>
          <w:rFonts w:ascii="Calibri" w:cs="Calibri" w:eastAsia="Calibri" w:hAnsi="Calibri"/>
          <w:color w:val="2B2622"/>
          <w:sz w:val="22"/>
          <w:szCs w:val="22"/>
        </w:rPr>
        <w:t xml:space="preserve">4 participants opened bank accounts</w:t>
      </w:r>
    </w:p>
    <w:p>
      <w:pPr>
        <w:spacing w:after="100" w:before="200"/>
      </w:pPr>
      <w:r>
        <w:rPr>
          <w:rFonts w:ascii="Calibri" w:cs="Calibri" w:eastAsia="Calibri" w:hAnsi="Calibri"/>
          <w:b/>
          <w:bCs/>
          <w:color w:val="2B2622"/>
          <w:sz w:val="22"/>
          <w:szCs w:val="22"/>
        </w:rPr>
        <w:t xml:space="preserve">Family Stability</w:t>
      </w:r>
    </w:p>
    <w:p>
      <w:pPr>
        <w:pStyle w:val="ListParagraph"/>
        <w:numPr>
          <w:ilvl w:val="0"/>
          <w:numId w:val="3"/>
        </w:numPr>
        <w:spacing w:after="60" w:line="276"/>
      </w:pPr>
      <w:r>
        <w:rPr>
          <w:rFonts w:ascii="Calibri" w:cs="Calibri" w:eastAsia="Calibri" w:hAnsi="Calibri"/>
          <w:color w:val="2B2622"/>
          <w:sz w:val="22"/>
          <w:szCs w:val="22"/>
        </w:rPr>
        <w:t xml:space="preserve">$350,170 in total emergency assistance provided directly to Columbia County residents in 2025</w:t>
      </w:r>
    </w:p>
    <w:p>
      <w:pPr>
        <w:pStyle w:val="ListParagraph"/>
        <w:numPr>
          <w:ilvl w:val="0"/>
          <w:numId w:val="3"/>
        </w:numPr>
        <w:spacing w:after="60" w:line="276"/>
      </w:pPr>
      <w:r>
        <w:rPr>
          <w:rFonts w:ascii="Calibri" w:cs="Calibri" w:eastAsia="Calibri" w:hAnsi="Calibri"/>
          <w:color w:val="2B2622"/>
          <w:sz w:val="22"/>
          <w:szCs w:val="22"/>
        </w:rPr>
        <w:t xml:space="preserve">Rent assistance reaching 482 individuals (262 adults and 220 children), diverting 90 evictions (2025)</w:t>
      </w:r>
    </w:p>
    <w:p>
      <w:pPr>
        <w:pStyle w:val="ListParagraph"/>
        <w:numPr>
          <w:ilvl w:val="0"/>
          <w:numId w:val="3"/>
        </w:numPr>
        <w:spacing w:after="60" w:line="276"/>
      </w:pPr>
      <w:r>
        <w:rPr>
          <w:rFonts w:ascii="Calibri" w:cs="Calibri" w:eastAsia="Calibri" w:hAnsi="Calibri"/>
          <w:color w:val="2B2622"/>
          <w:sz w:val="22"/>
          <w:szCs w:val="22"/>
        </w:rPr>
        <w:t xml:space="preserve">$28,600 in discretionary emergency support (utilities, car repairs, groceries) for 166 additional individuals (2025)</w:t>
      </w:r>
    </w:p>
    <w:p>
      <w:pPr>
        <w:pStyle w:val="ListParagraph"/>
        <w:numPr>
          <w:ilvl w:val="0"/>
          <w:numId w:val="3"/>
        </w:numPr>
        <w:spacing w:after="60" w:line="276"/>
      </w:pPr>
      <w:r>
        <w:rPr>
          <w:rFonts w:ascii="Calibri" w:cs="Calibri" w:eastAsia="Calibri" w:hAnsi="Calibri"/>
          <w:color w:val="2B2622"/>
          <w:sz w:val="22"/>
          <w:szCs w:val="22"/>
        </w:rPr>
        <w:t xml:space="preserve">Grocery relief for 760+ residents during the November 2025 SNAP lapse, delivered in under ten days, with all eligible requests fulfilled</w:t>
      </w:r>
    </w:p>
    <w:p>
      <w:pPr>
        <w:pStyle w:val="ListParagraph"/>
        <w:numPr>
          <w:ilvl w:val="0"/>
          <w:numId w:val="3"/>
        </w:numPr>
        <w:spacing w:after="60" w:line="276"/>
      </w:pPr>
      <w:r>
        <w:rPr>
          <w:rFonts w:ascii="Calibri" w:cs="Calibri" w:eastAsia="Calibri" w:hAnsi="Calibri"/>
          <w:color w:val="2B2622"/>
          <w:sz w:val="22"/>
          <w:szCs w:val="22"/>
        </w:rPr>
        <w:t xml:space="preserve">189 air conditioners delivered to residents of the Hudson City School District, summers 2021–2024</w:t>
      </w:r>
    </w:p>
    <w:p>
      <w:pPr>
        <w:spacing w:after="160" w:line="288"/>
      </w:pPr>
      <w:r>
        <w:rPr>
          <w:rFonts w:ascii="Calibri" w:cs="Calibri" w:eastAsia="Calibri" w:hAnsi="Calibri"/>
          <w:color w:val="2B2622"/>
          <w:sz w:val="22"/>
          <w:szCs w:val="22"/>
        </w:rPr>
        <w:t xml:space="preserve">GHP also helps administer HudsonUP, a guaranteed income pilot for 128 Hudson residents. In independent research by the Jain Family Institute, employment among the pilot’s first cohort rose from 33 percent at enrollment to as high as 85.7 percent, and stood at 66.7 percent in the most recent survey reported.</w:t>
      </w:r>
    </w:p>
    <w:p>
      <w:pPr>
        <w:spacing w:after="100" w:before="200"/>
      </w:pPr>
      <w:r>
        <w:rPr>
          <w:rFonts w:ascii="Calibri" w:cs="Calibri" w:eastAsia="Calibri" w:hAnsi="Calibri"/>
          <w:b/>
          <w:bCs/>
          <w:color w:val="2B2622"/>
          <w:sz w:val="22"/>
          <w:szCs w:val="22"/>
        </w:rPr>
        <w:t xml:space="preserve">Families Impacted by Incarceration</w:t>
      </w:r>
    </w:p>
    <w:p>
      <w:pPr>
        <w:spacing w:after="160" w:line="288"/>
      </w:pPr>
      <w:r>
        <w:rPr>
          <w:rFonts w:ascii="Calibri" w:cs="Calibri" w:eastAsia="Calibri" w:hAnsi="Calibri"/>
          <w:color w:val="2B2622"/>
          <w:sz w:val="22"/>
          <w:szCs w:val="22"/>
        </w:rPr>
        <w:t xml:space="preserve">August 2016–August 2025:</w:t>
      </w:r>
    </w:p>
    <w:p>
      <w:pPr>
        <w:pStyle w:val="ListParagraph"/>
        <w:numPr>
          <w:ilvl w:val="0"/>
          <w:numId w:val="3"/>
        </w:numPr>
        <w:spacing w:after="60" w:line="276"/>
      </w:pPr>
      <w:r>
        <w:rPr>
          <w:rFonts w:ascii="Calibri" w:cs="Calibri" w:eastAsia="Calibri" w:hAnsi="Calibri"/>
          <w:color w:val="2B2622"/>
          <w:sz w:val="22"/>
          <w:szCs w:val="22"/>
        </w:rPr>
        <w:t xml:space="preserve">90+ families served through enhanced visiting at the Columbia County Jail</w:t>
      </w:r>
    </w:p>
    <w:p>
      <w:pPr>
        <w:pStyle w:val="ListParagraph"/>
        <w:numPr>
          <w:ilvl w:val="0"/>
          <w:numId w:val="3"/>
        </w:numPr>
        <w:spacing w:after="60" w:line="276"/>
      </w:pPr>
      <w:r>
        <w:rPr>
          <w:rFonts w:ascii="Calibri" w:cs="Calibri" w:eastAsia="Calibri" w:hAnsi="Calibri"/>
          <w:color w:val="2B2622"/>
          <w:sz w:val="22"/>
          <w:szCs w:val="22"/>
        </w:rPr>
        <w:t xml:space="preserve">750+ enhanced visits, 87 percent in person</w:t>
      </w:r>
    </w:p>
    <w:p>
      <w:pPr>
        <w:spacing w:after="100" w:before="200"/>
      </w:pPr>
      <w:r>
        <w:rPr>
          <w:rFonts w:ascii="Calibri" w:cs="Calibri" w:eastAsia="Calibri" w:hAnsi="Calibri"/>
          <w:b/>
          <w:bCs/>
          <w:color w:val="2B2622"/>
          <w:sz w:val="22"/>
          <w:szCs w:val="22"/>
        </w:rPr>
        <w:t xml:space="preserve">Overall Performance Indicators</w:t>
      </w:r>
    </w:p>
    <w:p>
      <w:pPr>
        <w:spacing w:after="160" w:line="288"/>
      </w:pPr>
      <w:r>
        <w:rPr>
          <w:rFonts w:ascii="Calibri" w:cs="Calibri" w:eastAsia="Calibri" w:hAnsi="Calibri"/>
          <w:color w:val="2B2622"/>
          <w:sz w:val="22"/>
          <w:szCs w:val="22"/>
        </w:rPr>
        <w:t xml:space="preserve">Program success will continue to be measured through:</w:t>
      </w:r>
    </w:p>
    <w:p>
      <w:pPr>
        <w:pStyle w:val="ListParagraph"/>
        <w:numPr>
          <w:ilvl w:val="0"/>
          <w:numId w:val="3"/>
        </w:numPr>
        <w:spacing w:after="60" w:line="276"/>
      </w:pPr>
      <w:r>
        <w:rPr>
          <w:rFonts w:ascii="Calibri" w:cs="Calibri" w:eastAsia="Calibri" w:hAnsi="Calibri"/>
          <w:color w:val="2B2622"/>
          <w:sz w:val="22"/>
          <w:szCs w:val="22"/>
        </w:rPr>
        <w:t xml:space="preserve">Children and youth served and attendance rates</w:t>
      </w:r>
    </w:p>
    <w:p>
      <w:pPr>
        <w:pStyle w:val="ListParagraph"/>
        <w:numPr>
          <w:ilvl w:val="0"/>
          <w:numId w:val="3"/>
        </w:numPr>
        <w:spacing w:after="60" w:line="276"/>
      </w:pPr>
      <w:r>
        <w:rPr>
          <w:rFonts w:ascii="Calibri" w:cs="Calibri" w:eastAsia="Calibri" w:hAnsi="Calibri"/>
          <w:color w:val="2B2622"/>
          <w:sz w:val="22"/>
          <w:szCs w:val="22"/>
        </w:rPr>
        <w:t xml:space="preserve">GED completion and employment placement rates</w:t>
      </w:r>
    </w:p>
    <w:p>
      <w:pPr>
        <w:pStyle w:val="ListParagraph"/>
        <w:numPr>
          <w:ilvl w:val="0"/>
          <w:numId w:val="3"/>
        </w:numPr>
        <w:spacing w:after="60" w:line="276"/>
      </w:pPr>
      <w:r>
        <w:rPr>
          <w:rFonts w:ascii="Calibri" w:cs="Calibri" w:eastAsia="Calibri" w:hAnsi="Calibri"/>
          <w:color w:val="2B2622"/>
          <w:sz w:val="22"/>
          <w:szCs w:val="22"/>
        </w:rPr>
        <w:t xml:space="preserve">Households receiving emergency assistance and dollars distributed</w:t>
      </w:r>
    </w:p>
    <w:p>
      <w:pPr>
        <w:pStyle w:val="ListParagraph"/>
        <w:numPr>
          <w:ilvl w:val="0"/>
          <w:numId w:val="3"/>
        </w:numPr>
        <w:spacing w:after="60" w:line="276"/>
      </w:pPr>
      <w:r>
        <w:rPr>
          <w:rFonts w:ascii="Calibri" w:cs="Calibri" w:eastAsia="Calibri" w:hAnsi="Calibri"/>
          <w:color w:val="2B2622"/>
          <w:sz w:val="22"/>
          <w:szCs w:val="22"/>
        </w:rPr>
        <w:t xml:space="preserve">Families and visits served through enhanced visiting</w:t>
      </w:r>
    </w:p>
    <w:p>
      <w:pPr>
        <w:pStyle w:val="ListParagraph"/>
        <w:numPr>
          <w:ilvl w:val="0"/>
          <w:numId w:val="3"/>
        </w:numPr>
        <w:spacing w:after="60" w:line="276"/>
      </w:pPr>
      <w:r>
        <w:rPr>
          <w:rFonts w:ascii="Calibri" w:cs="Calibri" w:eastAsia="Calibri" w:hAnsi="Calibri"/>
          <w:color w:val="2B2622"/>
          <w:sz w:val="22"/>
          <w:szCs w:val="22"/>
        </w:rPr>
        <w:t xml:space="preserve">Participant and family satisfaction</w:t>
      </w:r>
    </w:p>
    <w:p>
      <w:pPr>
        <w:spacing w:after="160" w:before="320"/>
      </w:pPr>
      <w:r>
        <w:rPr>
          <w:rFonts w:ascii="Georgia" w:cs="Georgia" w:eastAsia="Georgia" w:hAnsi="Georgia"/>
          <w:b/>
          <w:bCs/>
          <w:color w:val="9A3B1F"/>
          <w:sz w:val="24"/>
          <w:szCs w:val="24"/>
        </w:rPr>
        <w:t xml:space="preserve">Reporting and Accountability</w:t>
      </w:r>
    </w:p>
    <w:p>
      <w:pPr>
        <w:spacing w:after="160" w:line="288"/>
      </w:pPr>
      <w:r>
        <w:rPr>
          <w:rFonts w:ascii="Calibri" w:cs="Calibri" w:eastAsia="Calibri" w:hAnsi="Calibri"/>
          <w:color w:val="2B2622"/>
          <w:sz w:val="22"/>
          <w:szCs w:val="22"/>
        </w:rPr>
        <w:t xml:space="preserve">GHP will provide [Licensee Name] with an annual impact summary covering the metrics above, along with acknowledgment of contributions received. [Licensee Name] will retain these records, together with proof of each contribution, to document plan implementation at license renewal.</w:t>
      </w:r>
    </w:p>
    <w:p>
      <w:pPr>
        <w:spacing w:before="480"/>
      </w:pPr>
    </w:p>
    <w:tbl>
      <w:tblPr>
        <w:tblW w:type="pct" w:w="5000"/>
        <w:tblBorders>
          <w:top w:val="none" w:color="FFFFFF" w:sz="0"/>
          <w:left w:val="none" w:color="FFFFFF" w:sz="0"/>
          <w:bottom w:val="none" w:color="FFFFFF" w:sz="0"/>
          <w:right w:val="none" w:color="FFFFFF" w:sz="0"/>
          <w:insideH w:val="single" w:color="E4DCD2" w:sz="2"/>
          <w:insideV w:val="none" w:color="FFFFFF" w:sz="0"/>
        </w:tblBorders>
      </w:tblPr>
      <w:tblGrid>
        <w:gridCol w:w="2995"/>
        <w:gridCol w:w="6365"/>
      </w:tblGrid>
      <w:tr>
        <w:tc>
          <w:tcPr>
            <w:tcW w:type="pct" w:w="1600"/>
            <w:tcMar>
              <w:top w:type="dxa" w:w="60"/>
              <w:bottom w:type="dxa" w:w="60"/>
            </w:tcMar>
          </w:tcPr>
          <w:p>
            <w:r>
              <w:rPr>
                <w:rFonts w:ascii="Calibri" w:cs="Calibri" w:eastAsia="Calibri" w:hAnsi="Calibri"/>
                <w:b/>
                <w:bCs/>
                <w:color w:val="6B5F55"/>
                <w:sz w:val="20"/>
                <w:szCs w:val="20"/>
              </w:rPr>
              <w:t xml:space="preserve">Submitted by</w:t>
            </w:r>
          </w:p>
        </w:tc>
        <w:tc>
          <w:tcPr>
            <w:tcW w:type="pct" w:w="3400"/>
            <w:tcMar>
              <w:top w:type="dxa" w:w="60"/>
              <w:bottom w:type="dxa" w:w="60"/>
            </w:tcMar>
          </w:tcPr>
          <w:p>
            <w:r>
              <w:rPr>
                <w:rFonts w:ascii="Calibri" w:cs="Calibri" w:eastAsia="Calibri" w:hAnsi="Calibri"/>
                <w:color w:val="2B2622"/>
                <w:sz w:val="22"/>
                <w:szCs w:val="22"/>
              </w:rPr>
              <w:t xml:space="preserve">[Signer Name], [Signer Title]</w:t>
            </w:r>
          </w:p>
        </w:tc>
      </w:tr>
      <w:tr>
        <w:tc>
          <w:tcPr>
            <w:tcW w:type="pct" w:w="1600"/>
            <w:tcMar>
              <w:top w:type="dxa" w:w="60"/>
              <w:bottom w:type="dxa" w:w="60"/>
            </w:tcMar>
          </w:tcPr>
          <w:p>
            <w:r>
              <w:rPr>
                <w:rFonts w:ascii="Calibri" w:cs="Calibri" w:eastAsia="Calibri" w:hAnsi="Calibri"/>
                <w:b/>
                <w:bCs/>
                <w:color w:val="6B5F55"/>
                <w:sz w:val="20"/>
                <w:szCs w:val="20"/>
              </w:rPr>
              <w:t xml:space="preserve">For</w:t>
            </w:r>
          </w:p>
        </w:tc>
        <w:tc>
          <w:tcPr>
            <w:tcW w:type="pct" w:w="3400"/>
            <w:tcMar>
              <w:top w:type="dxa" w:w="60"/>
              <w:bottom w:type="dxa" w:w="60"/>
            </w:tcMar>
          </w:tcPr>
          <w:p>
            <w:r>
              <w:rPr>
                <w:rFonts w:ascii="Calibri" w:cs="Calibri" w:eastAsia="Calibri" w:hAnsi="Calibri"/>
                <w:color w:val="2B2622"/>
                <w:sz w:val="22"/>
                <w:szCs w:val="22"/>
              </w:rPr>
              <w:t xml:space="preserve">[Licensee Name]</w:t>
            </w:r>
          </w:p>
        </w:tc>
      </w:tr>
      <w:tr>
        <w:tc>
          <w:tcPr>
            <w:tcW w:type="pct" w:w="1600"/>
            <w:tcMar>
              <w:top w:type="dxa" w:w="60"/>
              <w:bottom w:type="dxa" w:w="60"/>
            </w:tcMar>
          </w:tcPr>
          <w:p>
            <w:r>
              <w:rPr>
                <w:rFonts w:ascii="Calibri" w:cs="Calibri" w:eastAsia="Calibri" w:hAnsi="Calibri"/>
                <w:b/>
                <w:bCs/>
                <w:color w:val="6B5F55"/>
                <w:sz w:val="20"/>
                <w:szCs w:val="20"/>
              </w:rPr>
              <w:t xml:space="preserve">Date</w:t>
            </w:r>
          </w:p>
        </w:tc>
        <w:tc>
          <w:tcPr>
            <w:tcW w:type="pct" w:w="3400"/>
            <w:tcMar>
              <w:top w:type="dxa" w:w="60"/>
              <w:bottom w:type="dxa" w:w="60"/>
            </w:tcMar>
          </w:tcPr>
          <w:p>
            <w:r>
              <w:rPr>
                <w:rFonts w:ascii="Calibri" w:cs="Calibri" w:eastAsia="Calibri" w:hAnsi="Calibri"/>
                <w:color w:val="2B2622"/>
                <w:sz w:val="22"/>
                <w:szCs w:val="22"/>
              </w:rPr>
              <w:t xml:space="preserve">October 19, 2026</w:t>
            </w:r>
          </w:p>
        </w:tc>
      </w:tr>
    </w:tbl>
    <w:p>
      <w:pPr>
        <w:pageBreakBefore/>
        <w:spacing w:after="80"/>
      </w:pPr>
      <w:r>
        <w:rPr>
          <w:rFonts w:ascii="Georgia" w:cs="Georgia" w:eastAsia="Georgia" w:hAnsi="Georgia"/>
          <w:color w:val="2B2622"/>
          <w:sz w:val="40"/>
          <w:szCs w:val="40"/>
        </w:rPr>
        <w:t xml:space="preserve">Renewal Application Guide</w:t>
      </w:r>
    </w:p>
    <w:p>
      <w:pPr>
        <w:spacing w:after="240"/>
      </w:pPr>
      <w:r>
        <w:rPr>
          <w:rFonts w:ascii="Calibri" w:cs="Calibri" w:eastAsia="Calibri" w:hAnsi="Calibri"/>
          <w:color w:val="6B5F55"/>
          <w:sz w:val="22"/>
          <w:szCs w:val="22"/>
        </w:rPr>
        <w:t xml:space="preserve">Community Impact Plan section  ·  [Licensee Name]</w:t>
      </w:r>
    </w:p>
    <w:p>
      <w:pPr>
        <w:spacing w:after="160" w:line="288"/>
      </w:pPr>
      <w:r>
        <w:rPr>
          <w:rFonts w:ascii="Calibri" w:cs="Calibri" w:eastAsia="Calibri" w:hAnsi="Calibri"/>
          <w:i/>
          <w:iCs/>
          <w:color w:val="2B2622"/>
          <w:sz w:val="22"/>
          <w:szCs w:val="22"/>
        </w:rPr>
        <w:t xml:space="preserve">Your OCM renewal application includes a Community Impact Plan section with the questions below. We’ve drafted suggested responses based on your partnership with Greater Hudson Promise. Review each one, adjust anything that doesn’t reflect your business, and paste it into the portal yourself.</w:t>
      </w:r>
    </w:p>
    <w:p>
      <w:pPr>
        <w:spacing w:after="160" w:line="288"/>
      </w:pPr>
      <w:r>
        <w:rPr>
          <w:rFonts w:ascii="Calibri" w:cs="Calibri" w:eastAsia="Calibri" w:hAnsi="Calibri"/>
          <w:i/>
          <w:iCs/>
          <w:color w:val="2B2622"/>
          <w:sz w:val="22"/>
          <w:szCs w:val="22"/>
        </w:rPr>
        <w:t xml:space="preserve">OCM Community Impact Plan guidance (PDF): https://cannabis.ny.gov/system/files/documents/2026/03/3.27.26-community-impact-plan-guidance.pdf</w:t>
      </w:r>
    </w:p>
    <w:p>
      <w:pPr>
        <w:spacing w:after="160" w:line="288"/>
      </w:pPr>
      <w:r>
        <w:rPr>
          <w:rFonts w:ascii="Calibri" w:cs="Calibri" w:eastAsia="Calibri" w:hAnsi="Calibri"/>
          <w:b/>
          <w:bCs/>
          <w:color w:val="2B2622"/>
          <w:sz w:val="22"/>
          <w:szCs w:val="22"/>
        </w:rPr>
        <w:t xml:space="preserve">Please review before submitting. The Community Impact Plan and renewal application responses provided here are a suggested draft for your review. Each licensee is solely responsible for reviewing, editing, and approving its own submission to the Office of Cannabis Management, and for the accuracy and completeness of everything it submits. Greater Hudson Promise and its volunteers do not provide legal or tax advice.</w:t>
      </w:r>
    </w:p>
    <w:p>
      <w:pPr>
        <w:keepNext/>
        <w:spacing w:after="120" w:before="320"/>
      </w:pPr>
      <w:r>
        <w:rPr>
          <w:rFonts w:ascii="Georgia" w:cs="Georgia" w:eastAsia="Georgia" w:hAnsi="Georgia"/>
          <w:b/>
          <w:bCs/>
          <w:color w:val="9A3B1F"/>
          <w:sz w:val="22"/>
          <w:szCs w:val="22"/>
        </w:rPr>
        <w:t xml:space="preserve">1.  </w:t>
      </w:r>
      <w:r>
        <w:rPr>
          <w:rFonts w:ascii="Calibri" w:cs="Calibri" w:eastAsia="Calibri" w:hAnsi="Calibri"/>
          <w:b/>
          <w:bCs/>
          <w:color w:val="2B2622"/>
          <w:sz w:val="22"/>
          <w:szCs w:val="22"/>
        </w:rPr>
        <w:t xml:space="preserve">Please provide high level summary of your plan. What problem or need does your community impact plan seek to address? Please include any relevant data.</w:t>
      </w:r>
    </w:p>
    <w:p>
      <w:pPr>
        <w:spacing w:after="100" w:line="288"/>
      </w:pPr>
      <w:r>
        <w:rPr>
          <w:rFonts w:ascii="Calibri" w:cs="Calibri" w:eastAsia="Calibri" w:hAnsi="Calibri"/>
          <w:color w:val="2B2622"/>
          <w:sz w:val="22"/>
          <w:szCs w:val="22"/>
        </w:rPr>
        <w:t xml:space="preserve">The [Licensee Name]/Greater Hudson Promise (GHP) partnership addresses the deep and persistent economic disparities facing children and families in the City of Hudson and Columbia County, disparities rooted in decades of state and federal policy, including urban renewal and the enforcement of cannabis prohibition, that fell hardest on Black and Latino residents.</w:t>
      </w:r>
    </w:p>
    <w:p>
      <w:pPr>
        <w:spacing w:after="100" w:line="288"/>
      </w:pPr>
      <w:r>
        <w:rPr>
          <w:rFonts w:ascii="Calibri" w:cs="Calibri" w:eastAsia="Calibri" w:hAnsi="Calibri"/>
          <w:color w:val="2B2622"/>
          <w:sz w:val="22"/>
          <w:szCs w:val="22"/>
        </w:rPr>
        <w:t xml:space="preserve">Hudson’s poverty rate is 28.2 percent, more than double Columbia County’s 12.1 percent, and its median household income of $54,139 trails both the county ($81,528) and New York State ($85,974) (U.S. Census Bureau, American Community Survey 2020–2024). These disparities have deep roots. In the late 1960s and early 1970s, urban renewal demolished 286 buildings near Hudson’s waterfront and displaced more than 200 families, nearly one in ten residents; many of the Black families displaced were rehoused in public housing and were far less likely to go on to own homes or build wealth. Decades of cannabis prohibition compounded that harm: statewide, more than 80 percent of people arrested for marijuana possession were Black or Latino.</w:t>
      </w:r>
    </w:p>
    <w:p>
      <w:pPr>
        <w:spacing w:after="100" w:line="288"/>
      </w:pPr>
      <w:r>
        <w:rPr>
          <w:rFonts w:ascii="Calibri" w:cs="Calibri" w:eastAsia="Calibri" w:hAnsi="Calibri"/>
          <w:color w:val="2B2622"/>
          <w:sz w:val="22"/>
          <w:szCs w:val="22"/>
        </w:rPr>
        <w:t xml:space="preserve">Greater Hudson Promise (GHP) has served Hudson since 2011, when it was selected as one of fifteen communities nationwide for a U.S. Department of Education Promise Neighborhood planning grant. Modeled on the Harlem Children’s Zone, GHP is a place-based, cradle-to-career organization headquartered at 369 Warren Street in Hudson, serving children and families from birth through adulthood. Its programs include free early learning for children ages 0–5, a countywide early literacy network, free after-school programming with hot meals and transportation, the Beyond GED program for Opportunity Youth ages 16–24, emergency assistance for families in crisis, enhanced visiting for children of incarcerated parents at the Columbia County Jail, and court advocacy for justice-impacted residents.</w:t>
      </w:r>
    </w:p>
    <w:p>
      <w:pPr>
        <w:spacing w:after="100" w:line="288"/>
      </w:pPr>
      <w:r>
        <w:rPr>
          <w:rFonts w:ascii="Calibri" w:cs="Calibri" w:eastAsia="Calibri" w:hAnsi="Calibri"/>
          <w:color w:val="2B2622"/>
          <w:sz w:val="22"/>
          <w:szCs w:val="22"/>
        </w:rPr>
        <w:t xml:space="preserve">General operating support allows GHP to direct resources where community need is greatest and to sustain the staff, space, and programs that families rely on at every stage of life. By investing in the full continuum rather than a single program, the [Licensee Name]–GHP partnership helps break cycles of poverty and justice involvement that span generations.</w:t>
      </w:r>
    </w:p>
    <w:p>
      <w:pPr>
        <w:keepNext/>
        <w:spacing w:after="120" w:before="320"/>
      </w:pPr>
      <w:r>
        <w:rPr>
          <w:rFonts w:ascii="Georgia" w:cs="Georgia" w:eastAsia="Georgia" w:hAnsi="Georgia"/>
          <w:b/>
          <w:bCs/>
          <w:color w:val="9A3B1F"/>
          <w:sz w:val="22"/>
          <w:szCs w:val="22"/>
        </w:rPr>
        <w:t xml:space="preserve">2.  </w:t>
      </w:r>
      <w:r>
        <w:rPr>
          <w:rFonts w:ascii="Calibri" w:cs="Calibri" w:eastAsia="Calibri" w:hAnsi="Calibri"/>
          <w:b/>
          <w:bCs/>
          <w:color w:val="2B2622"/>
          <w:sz w:val="22"/>
          <w:szCs w:val="22"/>
        </w:rPr>
        <w:t xml:space="preserve">Who are the communities and individuals disproportionately impacted you intend to target?</w:t>
      </w:r>
    </w:p>
    <w:p>
      <w:pPr>
        <w:spacing w:after="100" w:line="288"/>
      </w:pPr>
      <w:r>
        <w:rPr>
          <w:rFonts w:ascii="Calibri" w:cs="Calibri" w:eastAsia="Calibri" w:hAnsi="Calibri"/>
          <w:color w:val="2B2622"/>
          <w:sz w:val="22"/>
          <w:szCs w:val="22"/>
        </w:rPr>
        <w:t xml:space="preserve">The targeted population is children, youth, and families in the City of Hudson and Columbia County who have been disproportionately impacted by poverty, systemic oppression, and the enforcement of cannabis prohibition, including justice-impacted individuals and their families. GHP’s mission is to build an equitable community by providing opportunities and support to individuals and families affected by systemic oppression and failures. Across all GHP programs, 79 percent of participants are BIPOC.</w:t>
      </w:r>
    </w:p>
    <w:p>
      <w:pPr>
        <w:keepNext/>
        <w:spacing w:after="120" w:before="320"/>
      </w:pPr>
      <w:r>
        <w:rPr>
          <w:rFonts w:ascii="Georgia" w:cs="Georgia" w:eastAsia="Georgia" w:hAnsi="Georgia"/>
          <w:b/>
          <w:bCs/>
          <w:color w:val="9A3B1F"/>
          <w:sz w:val="22"/>
          <w:szCs w:val="22"/>
        </w:rPr>
        <w:t xml:space="preserve">3.  </w:t>
      </w:r>
      <w:r>
        <w:rPr>
          <w:rFonts w:ascii="Calibri" w:cs="Calibri" w:eastAsia="Calibri" w:hAnsi="Calibri"/>
          <w:b/>
          <w:bCs/>
          <w:color w:val="2B2622"/>
          <w:sz w:val="22"/>
          <w:szCs w:val="22"/>
        </w:rPr>
        <w:t xml:space="preserve">In what region is the target population based?</w:t>
      </w:r>
    </w:p>
    <w:p>
      <w:pPr>
        <w:spacing w:after="100" w:line="288"/>
      </w:pPr>
      <w:r>
        <w:rPr>
          <w:rFonts w:ascii="Calibri" w:cs="Calibri" w:eastAsia="Calibri" w:hAnsi="Calibri"/>
          <w:color w:val="2B2622"/>
          <w:sz w:val="22"/>
          <w:szCs w:val="22"/>
        </w:rPr>
        <w:t xml:space="preserve">Capital</w:t>
      </w:r>
    </w:p>
    <w:p>
      <w:pPr>
        <w:keepNext/>
        <w:spacing w:after="120" w:before="320"/>
      </w:pPr>
      <w:r>
        <w:rPr>
          <w:rFonts w:ascii="Georgia" w:cs="Georgia" w:eastAsia="Georgia" w:hAnsi="Georgia"/>
          <w:b/>
          <w:bCs/>
          <w:color w:val="9A3B1F"/>
          <w:sz w:val="22"/>
          <w:szCs w:val="22"/>
        </w:rPr>
        <w:t xml:space="preserve">4.  </w:t>
      </w:r>
      <w:r>
        <w:rPr>
          <w:rFonts w:ascii="Calibri" w:cs="Calibri" w:eastAsia="Calibri" w:hAnsi="Calibri"/>
          <w:b/>
          <w:bCs/>
          <w:color w:val="2B2622"/>
          <w:sz w:val="22"/>
          <w:szCs w:val="22"/>
        </w:rPr>
        <w:t xml:space="preserve">What zip codes do you intend to target?</w:t>
      </w:r>
    </w:p>
    <w:p>
      <w:pPr>
        <w:spacing w:after="100" w:line="288"/>
      </w:pPr>
      <w:r>
        <w:rPr>
          <w:rFonts w:ascii="Calibri" w:cs="Calibri" w:eastAsia="Calibri" w:hAnsi="Calibri"/>
          <w:color w:val="2B2622"/>
          <w:sz w:val="22"/>
          <w:szCs w:val="22"/>
        </w:rPr>
        <w:t xml:space="preserve">Primarily 12534 (City of Hudson), and throughout Columbia County.</w:t>
      </w:r>
    </w:p>
    <w:p>
      <w:pPr>
        <w:keepNext/>
        <w:spacing w:after="120" w:before="320"/>
      </w:pPr>
      <w:r>
        <w:rPr>
          <w:rFonts w:ascii="Georgia" w:cs="Georgia" w:eastAsia="Georgia" w:hAnsi="Georgia"/>
          <w:b/>
          <w:bCs/>
          <w:color w:val="9A3B1F"/>
          <w:sz w:val="22"/>
          <w:szCs w:val="22"/>
        </w:rPr>
        <w:t xml:space="preserve">5.  </w:t>
      </w:r>
      <w:r>
        <w:rPr>
          <w:rFonts w:ascii="Calibri" w:cs="Calibri" w:eastAsia="Calibri" w:hAnsi="Calibri"/>
          <w:b/>
          <w:bCs/>
          <w:color w:val="2B2622"/>
          <w:sz w:val="22"/>
          <w:szCs w:val="22"/>
        </w:rPr>
        <w:t xml:space="preserve">Estimated number of individuals within target population you intend to impact.</w:t>
      </w:r>
    </w:p>
    <w:p>
      <w:pPr>
        <w:spacing w:after="100" w:line="288"/>
      </w:pPr>
      <w:r>
        <w:rPr>
          <w:rFonts w:ascii="Calibri" w:cs="Calibri" w:eastAsia="Calibri" w:hAnsi="Calibri"/>
          <w:color w:val="2B2622"/>
          <w:sz w:val="22"/>
          <w:szCs w:val="22"/>
        </w:rPr>
        <w:t xml:space="preserve">500+</w:t>
      </w:r>
    </w:p>
    <w:p>
      <w:pPr>
        <w:spacing w:after="160" w:line="288"/>
      </w:pPr>
      <w:r>
        <w:rPr>
          <w:rFonts w:ascii="Calibri" w:cs="Calibri" w:eastAsia="Calibri" w:hAnsi="Calibri"/>
          <w:i/>
          <w:iCs/>
          <w:color w:val="2B2622"/>
          <w:sz w:val="22"/>
          <w:szCs w:val="22"/>
        </w:rPr>
        <w:t xml:space="preserve">Note: GHP reached 760+ residents through emergency grocery support alone in November 2025. Select the closest range the portal offers.</w:t>
      </w:r>
    </w:p>
    <w:p>
      <w:pPr>
        <w:keepNext/>
        <w:spacing w:after="120" w:before="320"/>
      </w:pPr>
      <w:r>
        <w:rPr>
          <w:rFonts w:ascii="Georgia" w:cs="Georgia" w:eastAsia="Georgia" w:hAnsi="Georgia"/>
          <w:b/>
          <w:bCs/>
          <w:color w:val="9A3B1F"/>
          <w:sz w:val="22"/>
          <w:szCs w:val="22"/>
        </w:rPr>
        <w:t xml:space="preserve">6.  </w:t>
      </w:r>
      <w:r>
        <w:rPr>
          <w:rFonts w:ascii="Calibri" w:cs="Calibri" w:eastAsia="Calibri" w:hAnsi="Calibri"/>
          <w:b/>
          <w:bCs/>
          <w:color w:val="2B2622"/>
          <w:sz w:val="22"/>
          <w:szCs w:val="22"/>
        </w:rPr>
        <w:t xml:space="preserve">What research have you done to understand the needs of your target population? Select all that apply.</w:t>
      </w:r>
    </w:p>
    <w:p>
      <w:pPr>
        <w:spacing w:after="100" w:line="288"/>
      </w:pPr>
      <w:r>
        <w:rPr>
          <w:rFonts w:ascii="Calibri" w:cs="Calibri" w:eastAsia="Calibri" w:hAnsi="Calibri"/>
          <w:color w:val="2B2622"/>
          <w:sz w:val="22"/>
          <w:szCs w:val="22"/>
        </w:rPr>
        <w:t xml:space="preserve">Community conversations</w:t>
      </w:r>
    </w:p>
    <w:p>
      <w:pPr>
        <w:spacing w:after="160" w:line="288"/>
      </w:pPr>
      <w:r>
        <w:rPr>
          <w:rFonts w:ascii="Calibri" w:cs="Calibri" w:eastAsia="Calibri" w:hAnsi="Calibri"/>
          <w:i/>
          <w:iCs/>
          <w:color w:val="2B2622"/>
          <w:sz w:val="22"/>
          <w:szCs w:val="22"/>
        </w:rPr>
        <w:t xml:space="preserve">Note: Select the options that are true for your business. GHP’s work began with a federally funded community planning process in 2011 and is shaped by ongoing conversations with Hudson families; GHP can walk you through that research.</w:t>
      </w:r>
    </w:p>
    <w:p>
      <w:pPr>
        <w:keepNext/>
        <w:spacing w:after="120" w:before="320"/>
      </w:pPr>
      <w:r>
        <w:rPr>
          <w:rFonts w:ascii="Georgia" w:cs="Georgia" w:eastAsia="Georgia" w:hAnsi="Georgia"/>
          <w:b/>
          <w:bCs/>
          <w:color w:val="9A3B1F"/>
          <w:sz w:val="22"/>
          <w:szCs w:val="22"/>
        </w:rPr>
        <w:t xml:space="preserve">7.  </w:t>
      </w:r>
      <w:r>
        <w:rPr>
          <w:rFonts w:ascii="Calibri" w:cs="Calibri" w:eastAsia="Calibri" w:hAnsi="Calibri"/>
          <w:b/>
          <w:bCs/>
          <w:color w:val="2B2622"/>
          <w:sz w:val="22"/>
          <w:szCs w:val="22"/>
        </w:rPr>
        <w:t xml:space="preserve">Are you partnering or collaborating with any community-based organizations, local institutions, and/or subject matter experts?</w:t>
      </w:r>
    </w:p>
    <w:p>
      <w:pPr>
        <w:spacing w:after="100" w:line="288"/>
      </w:pPr>
      <w:r>
        <w:rPr>
          <w:rFonts w:ascii="Calibri" w:cs="Calibri" w:eastAsia="Calibri" w:hAnsi="Calibri"/>
          <w:color w:val="2B2622"/>
          <w:sz w:val="22"/>
          <w:szCs w:val="22"/>
        </w:rPr>
        <w:t xml:space="preserve">Yes</w:t>
      </w:r>
    </w:p>
    <w:p>
      <w:pPr>
        <w:keepNext/>
        <w:spacing w:after="120" w:before="320"/>
      </w:pPr>
      <w:r>
        <w:rPr>
          <w:rFonts w:ascii="Georgia" w:cs="Georgia" w:eastAsia="Georgia" w:hAnsi="Georgia"/>
          <w:b/>
          <w:bCs/>
          <w:color w:val="9A3B1F"/>
          <w:sz w:val="22"/>
          <w:szCs w:val="22"/>
        </w:rPr>
        <w:t xml:space="preserve">8.  </w:t>
      </w:r>
      <w:r>
        <w:rPr>
          <w:rFonts w:ascii="Calibri" w:cs="Calibri" w:eastAsia="Calibri" w:hAnsi="Calibri"/>
          <w:b/>
          <w:bCs/>
          <w:color w:val="2B2622"/>
          <w:sz w:val="22"/>
          <w:szCs w:val="22"/>
        </w:rPr>
        <w:t xml:space="preserve">Please provide the name of the organization(s) and/or institution(s) and describe the nature of your partnership(s).</w:t>
      </w:r>
    </w:p>
    <w:p>
      <w:pPr>
        <w:spacing w:after="100" w:line="288"/>
      </w:pPr>
      <w:r>
        <w:rPr>
          <w:rFonts w:ascii="Calibri" w:cs="Calibri" w:eastAsia="Calibri" w:hAnsi="Calibri"/>
          <w:color w:val="2B2622"/>
          <w:sz w:val="22"/>
          <w:szCs w:val="22"/>
        </w:rPr>
        <w:t xml:space="preserve">Greater Hudson Promise. [Licensee Name] will provide financial support of $5,000 per year ($10,000 over 2 years) to provide general operating support for GHP’s cradle-to-career programs in Hudson and Columbia County. [Licensee Name] will display information about GHP's programs and refer eligible young adults and families to GHP. [Licensee Name] will offer customers an optional round-up or donation prompt at checkout, with all proceeds directed to GHP. [Licensee Name] staff will contribute volunteer hours to GHP, including mock interviews, résumé support, and event assistance. [Licensee Name] will host or deliver career-readiness and small-business workshops for Beyond GED participants, with any on-premises activity limited to participants aged 21 and over in compliance with OCM rules. [Licensee Name] will designate a portion of its contribution to driving lessons and identification costs, removing transportation and documentation barriers to employment. https://greaterhudsonpromise.org/</w:t>
      </w:r>
    </w:p>
    <w:p>
      <w:pPr>
        <w:keepNext/>
        <w:spacing w:after="120" w:before="320"/>
      </w:pPr>
      <w:r>
        <w:rPr>
          <w:rFonts w:ascii="Georgia" w:cs="Georgia" w:eastAsia="Georgia" w:hAnsi="Georgia"/>
          <w:b/>
          <w:bCs/>
          <w:color w:val="9A3B1F"/>
          <w:sz w:val="22"/>
          <w:szCs w:val="22"/>
        </w:rPr>
        <w:t xml:space="preserve">9.  </w:t>
      </w:r>
      <w:r>
        <w:rPr>
          <w:rFonts w:ascii="Calibri" w:cs="Calibri" w:eastAsia="Calibri" w:hAnsi="Calibri"/>
          <w:b/>
          <w:bCs/>
          <w:color w:val="2B2622"/>
          <w:sz w:val="22"/>
          <w:szCs w:val="22"/>
        </w:rPr>
        <w:t xml:space="preserve">Do you have any written agreements with your partners related to your community impact plan?</w:t>
      </w:r>
    </w:p>
    <w:p>
      <w:pPr>
        <w:spacing w:after="100" w:line="288"/>
      </w:pPr>
      <w:r>
        <w:rPr>
          <w:rFonts w:ascii="Calibri" w:cs="Calibri" w:eastAsia="Calibri" w:hAnsi="Calibri"/>
          <w:color w:val="2B2622"/>
          <w:sz w:val="22"/>
          <w:szCs w:val="22"/>
        </w:rPr>
        <w:t xml:space="preserve">No</w:t>
      </w:r>
    </w:p>
    <w:p>
      <w:pPr>
        <w:spacing w:after="160" w:line="288"/>
      </w:pPr>
      <w:r>
        <w:rPr>
          <w:rFonts w:ascii="Calibri" w:cs="Calibri" w:eastAsia="Calibri" w:hAnsi="Calibri"/>
          <w:i/>
          <w:iCs/>
          <w:color w:val="2B2622"/>
          <w:sz w:val="22"/>
          <w:szCs w:val="22"/>
        </w:rPr>
        <w:t xml:space="preserve">Note: Change to Yes if you have a signed partnership letter or agreement with GHP.</w:t>
      </w:r>
    </w:p>
    <w:p>
      <w:pPr>
        <w:keepNext/>
        <w:spacing w:after="120" w:before="320"/>
      </w:pPr>
      <w:r>
        <w:rPr>
          <w:rFonts w:ascii="Georgia" w:cs="Georgia" w:eastAsia="Georgia" w:hAnsi="Georgia"/>
          <w:b/>
          <w:bCs/>
          <w:color w:val="9A3B1F"/>
          <w:sz w:val="22"/>
          <w:szCs w:val="22"/>
        </w:rPr>
        <w:t xml:space="preserve">10.  </w:t>
      </w:r>
      <w:r>
        <w:rPr>
          <w:rFonts w:ascii="Calibri" w:cs="Calibri" w:eastAsia="Calibri" w:hAnsi="Calibri"/>
          <w:b/>
          <w:bCs/>
          <w:color w:val="2B2622"/>
          <w:sz w:val="22"/>
          <w:szCs w:val="22"/>
        </w:rPr>
        <w:t xml:space="preserve">What types of activities do you plan to implement in order to address the needs of the target population?</w:t>
      </w:r>
    </w:p>
    <w:p>
      <w:pPr>
        <w:spacing w:after="100" w:line="288"/>
      </w:pPr>
      <w:r>
        <w:rPr>
          <w:rFonts w:ascii="Calibri" w:cs="Calibri" w:eastAsia="Calibri" w:hAnsi="Calibri"/>
          <w:color w:val="2B2622"/>
          <w:sz w:val="22"/>
          <w:szCs w:val="22"/>
        </w:rPr>
        <w:t xml:space="preserve">adult education</w:t>
      </w:r>
    </w:p>
    <w:p>
      <w:pPr>
        <w:spacing w:after="100" w:line="288"/>
      </w:pPr>
      <w:r>
        <w:rPr>
          <w:rFonts w:ascii="Calibri" w:cs="Calibri" w:eastAsia="Calibri" w:hAnsi="Calibri"/>
          <w:color w:val="2B2622"/>
          <w:sz w:val="22"/>
          <w:szCs w:val="22"/>
        </w:rPr>
        <w:t xml:space="preserve">job placement</w:t>
      </w:r>
    </w:p>
    <w:p>
      <w:pPr>
        <w:spacing w:after="100" w:line="288"/>
      </w:pPr>
      <w:r>
        <w:rPr>
          <w:rFonts w:ascii="Calibri" w:cs="Calibri" w:eastAsia="Calibri" w:hAnsi="Calibri"/>
          <w:color w:val="2B2622"/>
          <w:sz w:val="22"/>
          <w:szCs w:val="22"/>
        </w:rPr>
        <w:t xml:space="preserve">job skills services</w:t>
      </w:r>
    </w:p>
    <w:p>
      <w:pPr>
        <w:spacing w:after="100" w:line="288"/>
      </w:pPr>
      <w:r>
        <w:rPr>
          <w:rFonts w:ascii="Calibri" w:cs="Calibri" w:eastAsia="Calibri" w:hAnsi="Calibri"/>
          <w:color w:val="2B2622"/>
          <w:sz w:val="22"/>
          <w:szCs w:val="22"/>
        </w:rPr>
        <w:t xml:space="preserve">system navigation services</w:t>
      </w:r>
    </w:p>
    <w:p>
      <w:pPr>
        <w:spacing w:after="160" w:line="288"/>
      </w:pPr>
      <w:r>
        <w:rPr>
          <w:rFonts w:ascii="Calibri" w:cs="Calibri" w:eastAsia="Calibri" w:hAnsi="Calibri"/>
          <w:i/>
          <w:iCs/>
          <w:color w:val="2B2622"/>
          <w:sz w:val="22"/>
          <w:szCs w:val="22"/>
        </w:rPr>
        <w:t xml:space="preserve">Note: Select each of these. If the portal also lists early childhood education, youth programming, or emergency or basic-needs assistance, select those too.</w:t>
      </w:r>
    </w:p>
    <w:p>
      <w:pPr>
        <w:keepNext/>
        <w:spacing w:after="120" w:before="320"/>
      </w:pPr>
      <w:r>
        <w:rPr>
          <w:rFonts w:ascii="Georgia" w:cs="Georgia" w:eastAsia="Georgia" w:hAnsi="Georgia"/>
          <w:b/>
          <w:bCs/>
          <w:color w:val="9A3B1F"/>
          <w:sz w:val="22"/>
          <w:szCs w:val="22"/>
        </w:rPr>
        <w:t xml:space="preserve">11.  </w:t>
      </w:r>
      <w:r>
        <w:rPr>
          <w:rFonts w:ascii="Calibri" w:cs="Calibri" w:eastAsia="Calibri" w:hAnsi="Calibri"/>
          <w:b/>
          <w:bCs/>
          <w:color w:val="2B2622"/>
          <w:sz w:val="22"/>
          <w:szCs w:val="22"/>
        </w:rPr>
        <w:t xml:space="preserve">What is the anticipated benefit you will provide to the target population? Please provide at least 3 goals. Goals must be measurable.</w:t>
      </w:r>
    </w:p>
    <w:p>
      <w:pPr>
        <w:spacing w:after="100" w:line="288"/>
      </w:pPr>
      <w:r>
        <w:rPr>
          <w:rFonts w:ascii="Calibri" w:cs="Calibri" w:eastAsia="Calibri" w:hAnsi="Calibri"/>
          <w:b/>
          <w:bCs/>
          <w:color w:val="2B2622"/>
          <w:sz w:val="22"/>
          <w:szCs w:val="22"/>
        </w:rPr>
        <w:t xml:space="preserve">Goal 1:  </w:t>
      </w:r>
      <w:r>
        <w:rPr>
          <w:rFonts w:ascii="Calibri" w:cs="Calibri" w:eastAsia="Calibri" w:hAnsi="Calibri"/>
          <w:color w:val="2B2622"/>
          <w:sz w:val="22"/>
          <w:szCs w:val="22"/>
        </w:rPr>
        <w:t xml:space="preserve">Strengthen Early Learning and School Success. Provide free, play-based early learning for children ages 0–5 and free after-school programming with homework help, daily reading, hot meals, and transportation, so children enter and stay in school ready to learn. Measured by the number of children served in early learning and after-school programs (2025: 31 children enrolled in Promise Early Learning, serving 30 families; 2022: 30+ students enrolled in after-school and 143+ children reached through the Traveling Early Learning Program).</w:t>
      </w:r>
    </w:p>
    <w:p>
      <w:pPr>
        <w:spacing w:after="100" w:line="288"/>
      </w:pPr>
      <w:r>
        <w:rPr>
          <w:rFonts w:ascii="Calibri" w:cs="Calibri" w:eastAsia="Calibri" w:hAnsi="Calibri"/>
          <w:b/>
          <w:bCs/>
          <w:color w:val="2B2622"/>
          <w:sz w:val="22"/>
          <w:szCs w:val="22"/>
        </w:rPr>
        <w:t xml:space="preserve">Goal 2:  </w:t>
      </w:r>
      <w:r>
        <w:rPr>
          <w:rFonts w:ascii="Calibri" w:cs="Calibri" w:eastAsia="Calibri" w:hAnsi="Calibri"/>
          <w:color w:val="2B2622"/>
          <w:sz w:val="22"/>
          <w:szCs w:val="22"/>
        </w:rPr>
        <w:t xml:space="preserve">Expand Pathways to Education and Employment. Through Beyond GED, help Opportunity Youth ages 16–24 earn a high school equivalency credential and move into employment, training, or college, with stipends, meals, and individualized support. Measured by GED credentials earned and participants gaining employment (2025: 6 GEDs earned and 16 participants employed; 11 GEDs earned since program inception).</w:t>
      </w:r>
    </w:p>
    <w:p>
      <w:pPr>
        <w:spacing w:after="100" w:line="288"/>
      </w:pPr>
      <w:r>
        <w:rPr>
          <w:rFonts w:ascii="Calibri" w:cs="Calibri" w:eastAsia="Calibri" w:hAnsi="Calibri"/>
          <w:b/>
          <w:bCs/>
          <w:color w:val="2B2622"/>
          <w:sz w:val="22"/>
          <w:szCs w:val="22"/>
        </w:rPr>
        <w:t xml:space="preserve">Goal 3:  </w:t>
      </w:r>
      <w:r>
        <w:rPr>
          <w:rFonts w:ascii="Calibri" w:cs="Calibri" w:eastAsia="Calibri" w:hAnsi="Calibri"/>
          <w:color w:val="2B2622"/>
          <w:sz w:val="22"/>
          <w:szCs w:val="22"/>
        </w:rPr>
        <w:t xml:space="preserve">Increase Family Stability and Reduce Justice-System Harm. Provide emergency assistance to families in crisis and keep children connected to incarcerated parents through enhanced, child-friendly jail visits. Measured by individuals receiving emergency support, evictions diverted, and dollars distributed (2025: $350,170 in emergency assistance; rent assistance reaching 482 individuals, including 220 children, and diverting 90 evictions; grocery relief for 760+ residents during the SNAP lapse), and by families and visits served through enhanced visiting (90+ families and 750+ visits, August 2016–August 2025).</w:t>
      </w:r>
    </w:p>
    <w:p>
      <w:pPr>
        <w:keepNext/>
        <w:spacing w:after="120" w:before="320"/>
      </w:pPr>
      <w:r>
        <w:rPr>
          <w:rFonts w:ascii="Georgia" w:cs="Georgia" w:eastAsia="Georgia" w:hAnsi="Georgia"/>
          <w:b/>
          <w:bCs/>
          <w:color w:val="9A3B1F"/>
          <w:sz w:val="22"/>
          <w:szCs w:val="22"/>
        </w:rPr>
        <w:t xml:space="preserve">12.  </w:t>
      </w:r>
      <w:r>
        <w:rPr>
          <w:rFonts w:ascii="Calibri" w:cs="Calibri" w:eastAsia="Calibri" w:hAnsi="Calibri"/>
          <w:b/>
          <w:bCs/>
          <w:color w:val="2B2622"/>
          <w:sz w:val="22"/>
          <w:szCs w:val="22"/>
        </w:rPr>
        <w:t xml:space="preserve">How often do you plan to host activities and engage with the target population?</w:t>
      </w:r>
    </w:p>
    <w:p>
      <w:pPr>
        <w:spacing w:after="100" w:line="288"/>
      </w:pPr>
      <w:r>
        <w:rPr>
          <w:rFonts w:ascii="Calibri" w:cs="Calibri" w:eastAsia="Calibri" w:hAnsi="Calibri"/>
          <w:color w:val="2B2622"/>
          <w:sz w:val="22"/>
          <w:szCs w:val="22"/>
        </w:rPr>
        <w:t xml:space="preserve">annually</w:t>
      </w:r>
    </w:p>
    <w:p>
      <w:pPr>
        <w:spacing w:after="160" w:line="288"/>
      </w:pPr>
      <w:r>
        <w:rPr>
          <w:rFonts w:ascii="Calibri" w:cs="Calibri" w:eastAsia="Calibri" w:hAnsi="Calibri"/>
          <w:i/>
          <w:iCs/>
          <w:color w:val="2B2622"/>
          <w:sz w:val="22"/>
          <w:szCs w:val="22"/>
        </w:rPr>
        <w:t xml:space="preserve">Note: This matches your annual contribution. Choose a more frequent option if you’ve committed to volunteer hours or in-store activities.</w:t>
      </w:r>
    </w:p>
    <w:p>
      <w:pPr>
        <w:keepNext/>
        <w:spacing w:after="120" w:before="320"/>
      </w:pPr>
      <w:r>
        <w:rPr>
          <w:rFonts w:ascii="Georgia" w:cs="Georgia" w:eastAsia="Georgia" w:hAnsi="Georgia"/>
          <w:b/>
          <w:bCs/>
          <w:color w:val="9A3B1F"/>
          <w:sz w:val="22"/>
          <w:szCs w:val="22"/>
        </w:rPr>
        <w:t xml:space="preserve">13.  </w:t>
      </w:r>
      <w:r>
        <w:rPr>
          <w:rFonts w:ascii="Calibri" w:cs="Calibri" w:eastAsia="Calibri" w:hAnsi="Calibri"/>
          <w:b/>
          <w:bCs/>
          <w:color w:val="2B2622"/>
          <w:sz w:val="22"/>
          <w:szCs w:val="22"/>
        </w:rPr>
        <w:t xml:space="preserve">When do you intend on implementing community impact plan activities during this renewal period?</w:t>
      </w:r>
    </w:p>
    <w:p>
      <w:pPr>
        <w:spacing w:after="100" w:line="288"/>
      </w:pPr>
      <w:r>
        <w:rPr>
          <w:rFonts w:ascii="Calibri" w:cs="Calibri" w:eastAsia="Calibri" w:hAnsi="Calibri"/>
          <w:color w:val="2B2622"/>
          <w:sz w:val="22"/>
          <w:szCs w:val="22"/>
        </w:rPr>
        <w:t xml:space="preserve">Beginning upon renewal approval and continuing throughout the renewal period.</w:t>
      </w:r>
    </w:p>
    <w:p>
      <w:pPr>
        <w:keepNext/>
        <w:spacing w:after="120" w:before="320"/>
      </w:pPr>
      <w:r>
        <w:rPr>
          <w:rFonts w:ascii="Georgia" w:cs="Georgia" w:eastAsia="Georgia" w:hAnsi="Georgia"/>
          <w:b/>
          <w:bCs/>
          <w:color w:val="9A3B1F"/>
          <w:sz w:val="22"/>
          <w:szCs w:val="22"/>
        </w:rPr>
        <w:t xml:space="preserve">14.  </w:t>
      </w:r>
      <w:r>
        <w:rPr>
          <w:rFonts w:ascii="Calibri" w:cs="Calibri" w:eastAsia="Calibri" w:hAnsi="Calibri"/>
          <w:b/>
          <w:bCs/>
          <w:color w:val="2B2622"/>
          <w:sz w:val="22"/>
          <w:szCs w:val="22"/>
        </w:rPr>
        <w:t xml:space="preserve">What is your estimated 2-year budget for the community impact plan?</w:t>
      </w:r>
    </w:p>
    <w:p>
      <w:pPr>
        <w:spacing w:after="100" w:line="288"/>
      </w:pPr>
      <w:r>
        <w:rPr>
          <w:rFonts w:ascii="Calibri" w:cs="Calibri" w:eastAsia="Calibri" w:hAnsi="Calibri"/>
          <w:b/>
          <w:bCs/>
          <w:color w:val="2B2622"/>
          <w:sz w:val="22"/>
          <w:szCs w:val="22"/>
        </w:rPr>
        <w:t xml:space="preserve">Personnel: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Contractual Services: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Donations and sponsorships:  </w:t>
      </w:r>
      <w:r>
        <w:rPr>
          <w:rFonts w:ascii="Calibri" w:cs="Calibri" w:eastAsia="Calibri" w:hAnsi="Calibri"/>
          <w:color w:val="2B2622"/>
          <w:sz w:val="22"/>
          <w:szCs w:val="22"/>
        </w:rPr>
        <w:t xml:space="preserve">$10,000</w:t>
      </w:r>
    </w:p>
    <w:p>
      <w:pPr>
        <w:spacing w:after="100" w:line="288"/>
      </w:pPr>
      <w:r>
        <w:rPr>
          <w:rFonts w:ascii="Calibri" w:cs="Calibri" w:eastAsia="Calibri" w:hAnsi="Calibri"/>
          <w:b/>
          <w:bCs/>
          <w:color w:val="2B2622"/>
          <w:sz w:val="22"/>
          <w:szCs w:val="22"/>
        </w:rPr>
        <w:t xml:space="preserve">Travel: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Equipment: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Space/Property &amp; Utilities: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Operating Expenses: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Other Costs:  </w:t>
      </w:r>
      <w:r>
        <w:rPr>
          <w:rFonts w:ascii="Calibri" w:cs="Calibri" w:eastAsia="Calibri" w:hAnsi="Calibri"/>
          <w:color w:val="2B2622"/>
          <w:sz w:val="22"/>
          <w:szCs w:val="22"/>
        </w:rPr>
        <w:t xml:space="preserve">$0</w:t>
      </w:r>
    </w:p>
    <w:p>
      <w:pPr>
        <w:spacing w:after="160" w:line="288"/>
      </w:pPr>
      <w:r>
        <w:rPr>
          <w:rFonts w:ascii="Calibri" w:cs="Calibri" w:eastAsia="Calibri" w:hAnsi="Calibri"/>
          <w:i/>
          <w:iCs/>
          <w:color w:val="2B2622"/>
          <w:sz w:val="22"/>
          <w:szCs w:val="22"/>
        </w:rPr>
        <w:t xml:space="preserve">Note: Your contribution to GHP belongs under Donations and sponsorships.</w:t>
      </w:r>
    </w:p>
    <w:p>
      <w:pPr>
        <w:keepNext/>
        <w:spacing w:after="120" w:before="320"/>
      </w:pPr>
      <w:r>
        <w:rPr>
          <w:rFonts w:ascii="Georgia" w:cs="Georgia" w:eastAsia="Georgia" w:hAnsi="Georgia"/>
          <w:b/>
          <w:bCs/>
          <w:color w:val="9A3B1F"/>
          <w:sz w:val="22"/>
          <w:szCs w:val="22"/>
        </w:rPr>
        <w:t xml:space="preserve">15.  </w:t>
      </w:r>
      <w:r>
        <w:rPr>
          <w:rFonts w:ascii="Calibri" w:cs="Calibri" w:eastAsia="Calibri" w:hAnsi="Calibri"/>
          <w:b/>
          <w:bCs/>
          <w:color w:val="2B2622"/>
          <w:sz w:val="22"/>
          <w:szCs w:val="22"/>
        </w:rPr>
        <w:t xml:space="preserve">How will you measure your program’s success? Qualitative (i.e. participant satisfaction via survey)</w:t>
      </w:r>
    </w:p>
    <w:p>
      <w:pPr>
        <w:spacing w:after="100" w:line="288"/>
      </w:pPr>
      <w:r>
        <w:rPr>
          <w:rFonts w:ascii="Calibri" w:cs="Calibri" w:eastAsia="Calibri" w:hAnsi="Calibri"/>
          <w:color w:val="2B2622"/>
          <w:sz w:val="22"/>
          <w:szCs w:val="22"/>
        </w:rPr>
        <w:t xml:space="preserve">Qualitative success will be measured through participant and family feedback, interviews, and stories that show growth in stability, confidence, and connection. GHP staff build trusted, individualized relationships with participants across programs, and its court advocacy team includes staff with lived experience of the justice system.</w:t>
      </w:r>
    </w:p>
    <w:p>
      <w:pPr>
        <w:spacing w:after="100" w:line="288"/>
      </w:pPr>
      <w:r>
        <w:rPr>
          <w:rFonts w:ascii="Calibri" w:cs="Calibri" w:eastAsia="Calibri" w:hAnsi="Calibri"/>
          <w:color w:val="2B2622"/>
          <w:sz w:val="22"/>
          <w:szCs w:val="22"/>
        </w:rPr>
        <w:t xml:space="preserve">Participants describe the difference this makes. A Beyond GED student called the program “one of the best decisions I’ve made for my future,” and a parent said, “It’s been heaven sent for my child, and without this program I am not sure where my son would be.” In surveys from GHP’s enhanced jail visiting program, incarcerated parents reported improved behavior and fewer disciplinary issues, and children reported reduced anxiety about their parent’s well-being.</w:t>
      </w:r>
    </w:p>
    <w:p>
      <w:pPr>
        <w:spacing w:after="100" w:line="288"/>
      </w:pPr>
      <w:r>
        <w:rPr>
          <w:rFonts w:ascii="Calibri" w:cs="Calibri" w:eastAsia="Calibri" w:hAnsi="Calibri"/>
          <w:color w:val="2B2622"/>
          <w:sz w:val="22"/>
          <w:szCs w:val="22"/>
        </w:rPr>
        <w:t xml:space="preserve">A parent of a Promise Early Learner wrote in 2025: “It’s been wonderful to see how much confidence and independence he has gained… I’ve especially noticed growth in his social skills and willingness to try new things.”</w:t>
      </w:r>
    </w:p>
    <w:p>
      <w:pPr>
        <w:spacing w:after="100" w:line="288"/>
      </w:pPr>
      <w:r>
        <w:rPr>
          <w:rFonts w:ascii="Calibri" w:cs="Calibri" w:eastAsia="Calibri" w:hAnsi="Calibri"/>
          <w:color w:val="2B2622"/>
          <w:sz w:val="22"/>
          <w:szCs w:val="22"/>
        </w:rPr>
        <w:t xml:space="preserve">These qualitative measures, gathered through surveys, interviews, and ongoing staff contact, show not only whether programs are reaching families, but whether families feel more stable, supported, and hopeful about their future.</w:t>
      </w:r>
    </w:p>
    <w:p>
      <w:pPr>
        <w:keepNext/>
        <w:spacing w:after="120" w:before="320"/>
      </w:pPr>
      <w:r>
        <w:rPr>
          <w:rFonts w:ascii="Georgia" w:cs="Georgia" w:eastAsia="Georgia" w:hAnsi="Georgia"/>
          <w:b/>
          <w:bCs/>
          <w:color w:val="9A3B1F"/>
          <w:sz w:val="22"/>
          <w:szCs w:val="22"/>
        </w:rPr>
        <w:t xml:space="preserve">16.  </w:t>
      </w:r>
      <w:r>
        <w:rPr>
          <w:rFonts w:ascii="Calibri" w:cs="Calibri" w:eastAsia="Calibri" w:hAnsi="Calibri"/>
          <w:b/>
          <w:bCs/>
          <w:color w:val="2B2622"/>
          <w:sz w:val="22"/>
          <w:szCs w:val="22"/>
        </w:rPr>
        <w:t xml:space="preserve">Quantitative (i.e. participant attendance records)</w:t>
      </w:r>
    </w:p>
    <w:p>
      <w:pPr>
        <w:spacing w:after="100" w:line="288"/>
      </w:pPr>
      <w:r>
        <w:rPr>
          <w:rFonts w:ascii="Calibri" w:cs="Calibri" w:eastAsia="Calibri" w:hAnsi="Calibri"/>
          <w:color w:val="2B2622"/>
          <w:sz w:val="22"/>
          <w:szCs w:val="22"/>
        </w:rPr>
        <w:t xml:space="preserve">Success will be measured through clear, quantitative outcomes across GHP’s cradle-to-career continuum, tracked by program staff and reported in GHP’s annual impact summary.</w:t>
      </w:r>
    </w:p>
    <w:p>
      <w:pPr>
        <w:spacing w:after="100" w:line="288"/>
      </w:pPr>
      <w:r>
        <w:rPr>
          <w:rFonts w:ascii="Calibri" w:cs="Calibri" w:eastAsia="Calibri" w:hAnsi="Calibri"/>
          <w:color w:val="2B2622"/>
          <w:sz w:val="22"/>
          <w:szCs w:val="22"/>
        </w:rPr>
        <w:t xml:space="preserve">Early Childhood and Youth</w:t>
      </w:r>
    </w:p>
    <w:p>
      <w:pPr>
        <w:spacing w:after="100" w:line="288"/>
      </w:pPr>
      <w:r>
        <w:rPr>
          <w:rFonts w:ascii="Calibri" w:cs="Calibri" w:eastAsia="Calibri" w:hAnsi="Calibri"/>
          <w:color w:val="2B2622"/>
          <w:sz w:val="22"/>
          <w:szCs w:val="22"/>
        </w:rPr>
        <w:t xml:space="preserve">• 31 children enrolled in free Promise Early Learning, serving 30 families, in the program’s fourth year (2025)</w:t>
      </w:r>
    </w:p>
    <w:p>
      <w:pPr>
        <w:spacing w:after="100" w:line="288"/>
      </w:pPr>
      <w:r>
        <w:rPr>
          <w:rFonts w:ascii="Calibri" w:cs="Calibri" w:eastAsia="Calibri" w:hAnsi="Calibri"/>
          <w:color w:val="2B2622"/>
          <w:sz w:val="22"/>
          <w:szCs w:val="22"/>
        </w:rPr>
        <w:t xml:space="preserve">• 143+ children were reached through the Traveling Early Learning Program (2022)</w:t>
      </w:r>
    </w:p>
    <w:p>
      <w:pPr>
        <w:spacing w:after="100" w:line="288"/>
      </w:pPr>
      <w:r>
        <w:rPr>
          <w:rFonts w:ascii="Calibri" w:cs="Calibri" w:eastAsia="Calibri" w:hAnsi="Calibri"/>
          <w:color w:val="2B2622"/>
          <w:sz w:val="22"/>
          <w:szCs w:val="22"/>
        </w:rPr>
        <w:t xml:space="preserve">• 30+ students enrolled in free after-school programming (2022)</w:t>
      </w:r>
    </w:p>
    <w:p>
      <w:pPr>
        <w:spacing w:after="100" w:line="288"/>
      </w:pPr>
      <w:r>
        <w:rPr>
          <w:rFonts w:ascii="Calibri" w:cs="Calibri" w:eastAsia="Calibri" w:hAnsi="Calibri"/>
          <w:color w:val="2B2622"/>
          <w:sz w:val="22"/>
          <w:szCs w:val="22"/>
        </w:rPr>
        <w:t xml:space="preserve">GHP also convenes CO-HOST, a network of 24 youth-serving partner organizations that met monthly in 2025; its 2025 retreat provided free professional development to 36 people from youth-serving organizations. Tracking includes enrollment, daily attendance, and reading time, as every after-school scholar reads a minimum of twenty minutes per day.</w:t>
      </w:r>
    </w:p>
    <w:p>
      <w:pPr>
        <w:spacing w:after="100" w:line="288"/>
      </w:pPr>
      <w:r>
        <w:rPr>
          <w:rFonts w:ascii="Calibri" w:cs="Calibri" w:eastAsia="Calibri" w:hAnsi="Calibri"/>
          <w:color w:val="2B2622"/>
          <w:sz w:val="22"/>
          <w:szCs w:val="22"/>
        </w:rPr>
        <w:t xml:space="preserve">Young Adults (Beyond GED)</w:t>
      </w:r>
    </w:p>
    <w:p>
      <w:pPr>
        <w:spacing w:after="100" w:line="288"/>
      </w:pPr>
      <w:r>
        <w:rPr>
          <w:rFonts w:ascii="Calibri" w:cs="Calibri" w:eastAsia="Calibri" w:hAnsi="Calibri"/>
          <w:color w:val="2B2622"/>
          <w:sz w:val="22"/>
          <w:szCs w:val="22"/>
        </w:rPr>
        <w:t xml:space="preserve">In 2025:</w:t>
      </w:r>
    </w:p>
    <w:p>
      <w:pPr>
        <w:spacing w:after="100" w:line="288"/>
      </w:pPr>
      <w:r>
        <w:rPr>
          <w:rFonts w:ascii="Calibri" w:cs="Calibri" w:eastAsia="Calibri" w:hAnsi="Calibri"/>
          <w:color w:val="2B2622"/>
          <w:sz w:val="22"/>
          <w:szCs w:val="22"/>
        </w:rPr>
        <w:t xml:space="preserve">• 20 Opportunity Youth enrolled</w:t>
      </w:r>
    </w:p>
    <w:p>
      <w:pPr>
        <w:spacing w:after="100" w:line="288"/>
      </w:pPr>
      <w:r>
        <w:rPr>
          <w:rFonts w:ascii="Calibri" w:cs="Calibri" w:eastAsia="Calibri" w:hAnsi="Calibri"/>
          <w:color w:val="2B2622"/>
          <w:sz w:val="22"/>
          <w:szCs w:val="22"/>
        </w:rPr>
        <w:t xml:space="preserve">• 34 GED tests were taken</w:t>
      </w:r>
    </w:p>
    <w:p>
      <w:pPr>
        <w:spacing w:after="100" w:line="288"/>
      </w:pPr>
      <w:r>
        <w:rPr>
          <w:rFonts w:ascii="Calibri" w:cs="Calibri" w:eastAsia="Calibri" w:hAnsi="Calibri"/>
          <w:color w:val="2B2622"/>
          <w:sz w:val="22"/>
          <w:szCs w:val="22"/>
        </w:rPr>
        <w:t xml:space="preserve">• 6 participants earned their GED (11 since program inception)</w:t>
      </w:r>
    </w:p>
    <w:p>
      <w:pPr>
        <w:spacing w:after="100" w:line="288"/>
      </w:pPr>
      <w:r>
        <w:rPr>
          <w:rFonts w:ascii="Calibri" w:cs="Calibri" w:eastAsia="Calibri" w:hAnsi="Calibri"/>
          <w:color w:val="2B2622"/>
          <w:sz w:val="22"/>
          <w:szCs w:val="22"/>
        </w:rPr>
        <w:t xml:space="preserve">• 16 participants gained employment</w:t>
      </w:r>
    </w:p>
    <w:p>
      <w:pPr>
        <w:spacing w:after="100" w:line="288"/>
      </w:pPr>
      <w:r>
        <w:rPr>
          <w:rFonts w:ascii="Calibri" w:cs="Calibri" w:eastAsia="Calibri" w:hAnsi="Calibri"/>
          <w:color w:val="2B2622"/>
          <w:sz w:val="22"/>
          <w:szCs w:val="22"/>
        </w:rPr>
        <w:t xml:space="preserve">• 20 participants received DMV identification cards</w:t>
      </w:r>
    </w:p>
    <w:p>
      <w:pPr>
        <w:spacing w:after="100" w:line="288"/>
      </w:pPr>
      <w:r>
        <w:rPr>
          <w:rFonts w:ascii="Calibri" w:cs="Calibri" w:eastAsia="Calibri" w:hAnsi="Calibri"/>
          <w:color w:val="2B2622"/>
          <w:sz w:val="22"/>
          <w:szCs w:val="22"/>
        </w:rPr>
        <w:t xml:space="preserve">• 4 participants opened bank accounts</w:t>
      </w:r>
    </w:p>
    <w:p>
      <w:pPr>
        <w:spacing w:after="100" w:line="288"/>
      </w:pPr>
      <w:r>
        <w:rPr>
          <w:rFonts w:ascii="Calibri" w:cs="Calibri" w:eastAsia="Calibri" w:hAnsi="Calibri"/>
          <w:color w:val="2B2622"/>
          <w:sz w:val="22"/>
          <w:szCs w:val="22"/>
        </w:rPr>
        <w:t xml:space="preserve">Family Stability</w:t>
      </w:r>
    </w:p>
    <w:p>
      <w:pPr>
        <w:spacing w:after="100" w:line="288"/>
      </w:pPr>
      <w:r>
        <w:rPr>
          <w:rFonts w:ascii="Calibri" w:cs="Calibri" w:eastAsia="Calibri" w:hAnsi="Calibri"/>
          <w:color w:val="2B2622"/>
          <w:sz w:val="22"/>
          <w:szCs w:val="22"/>
        </w:rPr>
        <w:t xml:space="preserve">• $350,170 in total emergency assistance provided directly to Columbia County residents in 2025</w:t>
      </w:r>
    </w:p>
    <w:p>
      <w:pPr>
        <w:spacing w:after="100" w:line="288"/>
      </w:pPr>
      <w:r>
        <w:rPr>
          <w:rFonts w:ascii="Calibri" w:cs="Calibri" w:eastAsia="Calibri" w:hAnsi="Calibri"/>
          <w:color w:val="2B2622"/>
          <w:sz w:val="22"/>
          <w:szCs w:val="22"/>
        </w:rPr>
        <w:t xml:space="preserve">• Rent assistance reaching 482 individuals (262 adults and 220 children), diverting 90 evictions (2025)</w:t>
      </w:r>
    </w:p>
    <w:p>
      <w:pPr>
        <w:spacing w:after="100" w:line="288"/>
      </w:pPr>
      <w:r>
        <w:rPr>
          <w:rFonts w:ascii="Calibri" w:cs="Calibri" w:eastAsia="Calibri" w:hAnsi="Calibri"/>
          <w:color w:val="2B2622"/>
          <w:sz w:val="22"/>
          <w:szCs w:val="22"/>
        </w:rPr>
        <w:t xml:space="preserve">• $28,600 in discretionary emergency support (utilities, car repairs, groceries) for 166 additional individuals (2025)</w:t>
      </w:r>
    </w:p>
    <w:p>
      <w:pPr>
        <w:spacing w:after="100" w:line="288"/>
      </w:pPr>
      <w:r>
        <w:rPr>
          <w:rFonts w:ascii="Calibri" w:cs="Calibri" w:eastAsia="Calibri" w:hAnsi="Calibri"/>
          <w:color w:val="2B2622"/>
          <w:sz w:val="22"/>
          <w:szCs w:val="22"/>
        </w:rPr>
        <w:t xml:space="preserve">• Grocery relief for 760+ residents during the November 2025 SNAP lapse, delivered in under ten days, with all eligible requests fulfilled</w:t>
      </w:r>
    </w:p>
    <w:p>
      <w:pPr>
        <w:spacing w:after="100" w:line="288"/>
      </w:pPr>
      <w:r>
        <w:rPr>
          <w:rFonts w:ascii="Calibri" w:cs="Calibri" w:eastAsia="Calibri" w:hAnsi="Calibri"/>
          <w:color w:val="2B2622"/>
          <w:sz w:val="22"/>
          <w:szCs w:val="22"/>
        </w:rPr>
        <w:t xml:space="preserve">• 189 air conditioners delivered to residents of the Hudson City School District, summers 2021–2024</w:t>
      </w:r>
    </w:p>
    <w:p>
      <w:pPr>
        <w:spacing w:after="100" w:line="288"/>
      </w:pPr>
      <w:r>
        <w:rPr>
          <w:rFonts w:ascii="Calibri" w:cs="Calibri" w:eastAsia="Calibri" w:hAnsi="Calibri"/>
          <w:color w:val="2B2622"/>
          <w:sz w:val="22"/>
          <w:szCs w:val="22"/>
        </w:rPr>
        <w:t xml:space="preserve">GHP also helps administer HudsonUP, a guaranteed income pilot for 128 Hudson residents. In independent research by the Jain Family Institute, employment among the pilot’s first cohort rose from 33 percent at enrollment to as high as 85.7 percent, and stood at 66.7 percent in the most recent survey reported.</w:t>
      </w:r>
    </w:p>
    <w:p>
      <w:pPr>
        <w:spacing w:after="100" w:line="288"/>
      </w:pPr>
      <w:r>
        <w:rPr>
          <w:rFonts w:ascii="Calibri" w:cs="Calibri" w:eastAsia="Calibri" w:hAnsi="Calibri"/>
          <w:color w:val="2B2622"/>
          <w:sz w:val="22"/>
          <w:szCs w:val="22"/>
        </w:rPr>
        <w:t xml:space="preserve">Families Impacted by Incarceration</w:t>
      </w:r>
    </w:p>
    <w:p>
      <w:pPr>
        <w:spacing w:after="100" w:line="288"/>
      </w:pPr>
      <w:r>
        <w:rPr>
          <w:rFonts w:ascii="Calibri" w:cs="Calibri" w:eastAsia="Calibri" w:hAnsi="Calibri"/>
          <w:color w:val="2B2622"/>
          <w:sz w:val="22"/>
          <w:szCs w:val="22"/>
        </w:rPr>
        <w:t xml:space="preserve">August 2016–August 2025:</w:t>
      </w:r>
    </w:p>
    <w:p>
      <w:pPr>
        <w:spacing w:after="100" w:line="288"/>
      </w:pPr>
      <w:r>
        <w:rPr>
          <w:rFonts w:ascii="Calibri" w:cs="Calibri" w:eastAsia="Calibri" w:hAnsi="Calibri"/>
          <w:color w:val="2B2622"/>
          <w:sz w:val="22"/>
          <w:szCs w:val="22"/>
        </w:rPr>
        <w:t xml:space="preserve">• 90+ families served through enhanced visiting at the Columbia County Jail</w:t>
      </w:r>
    </w:p>
    <w:p>
      <w:pPr>
        <w:spacing w:after="100" w:line="288"/>
      </w:pPr>
      <w:r>
        <w:rPr>
          <w:rFonts w:ascii="Calibri" w:cs="Calibri" w:eastAsia="Calibri" w:hAnsi="Calibri"/>
          <w:color w:val="2B2622"/>
          <w:sz w:val="22"/>
          <w:szCs w:val="22"/>
        </w:rPr>
        <w:t xml:space="preserve">• 750+ enhanced visits, 87 percent in person</w:t>
      </w:r>
    </w:p>
    <w:p>
      <w:pPr>
        <w:spacing w:after="100" w:line="288"/>
      </w:pPr>
      <w:r>
        <w:rPr>
          <w:rFonts w:ascii="Calibri" w:cs="Calibri" w:eastAsia="Calibri" w:hAnsi="Calibri"/>
          <w:color w:val="2B2622"/>
          <w:sz w:val="22"/>
          <w:szCs w:val="22"/>
        </w:rPr>
        <w:t xml:space="preserve">Overall Performance Indicators</w:t>
      </w:r>
    </w:p>
    <w:p>
      <w:pPr>
        <w:spacing w:after="100" w:line="288"/>
      </w:pPr>
      <w:r>
        <w:rPr>
          <w:rFonts w:ascii="Calibri" w:cs="Calibri" w:eastAsia="Calibri" w:hAnsi="Calibri"/>
          <w:color w:val="2B2622"/>
          <w:sz w:val="22"/>
          <w:szCs w:val="22"/>
        </w:rPr>
        <w:t xml:space="preserve">Program success will continue to be measured through:</w:t>
      </w:r>
    </w:p>
    <w:p>
      <w:pPr>
        <w:spacing w:after="100" w:line="288"/>
      </w:pPr>
      <w:r>
        <w:rPr>
          <w:rFonts w:ascii="Calibri" w:cs="Calibri" w:eastAsia="Calibri" w:hAnsi="Calibri"/>
          <w:color w:val="2B2622"/>
          <w:sz w:val="22"/>
          <w:szCs w:val="22"/>
        </w:rPr>
        <w:t xml:space="preserve">• Children and youth served and attendance rates</w:t>
      </w:r>
    </w:p>
    <w:p>
      <w:pPr>
        <w:spacing w:after="100" w:line="288"/>
      </w:pPr>
      <w:r>
        <w:rPr>
          <w:rFonts w:ascii="Calibri" w:cs="Calibri" w:eastAsia="Calibri" w:hAnsi="Calibri"/>
          <w:color w:val="2B2622"/>
          <w:sz w:val="22"/>
          <w:szCs w:val="22"/>
        </w:rPr>
        <w:t xml:space="preserve">• GED completion and employment placement rates</w:t>
      </w:r>
    </w:p>
    <w:p>
      <w:pPr>
        <w:spacing w:after="100" w:line="288"/>
      </w:pPr>
      <w:r>
        <w:rPr>
          <w:rFonts w:ascii="Calibri" w:cs="Calibri" w:eastAsia="Calibri" w:hAnsi="Calibri"/>
          <w:color w:val="2B2622"/>
          <w:sz w:val="22"/>
          <w:szCs w:val="22"/>
        </w:rPr>
        <w:t xml:space="preserve">• Households receiving emergency assistance and dollars distributed</w:t>
      </w:r>
    </w:p>
    <w:p>
      <w:pPr>
        <w:spacing w:after="100" w:line="288"/>
      </w:pPr>
      <w:r>
        <w:rPr>
          <w:rFonts w:ascii="Calibri" w:cs="Calibri" w:eastAsia="Calibri" w:hAnsi="Calibri"/>
          <w:color w:val="2B2622"/>
          <w:sz w:val="22"/>
          <w:szCs w:val="22"/>
        </w:rPr>
        <w:t xml:space="preserve">• Families and visits served through enhanced visiting</w:t>
      </w:r>
    </w:p>
    <w:p>
      <w:pPr>
        <w:spacing w:after="100" w:line="288"/>
      </w:pPr>
      <w:r>
        <w:rPr>
          <w:rFonts w:ascii="Calibri" w:cs="Calibri" w:eastAsia="Calibri" w:hAnsi="Calibri"/>
          <w:color w:val="2B2622"/>
          <w:sz w:val="22"/>
          <w:szCs w:val="22"/>
        </w:rPr>
        <w:t xml:space="preserve">• Participant and family satisfaction</w:t>
      </w:r>
    </w:p>
    <w:p>
      <w:pPr>
        <w:keepNext/>
        <w:spacing w:after="120" w:before="320"/>
      </w:pPr>
      <w:r>
        <w:rPr>
          <w:rFonts w:ascii="Georgia" w:cs="Georgia" w:eastAsia="Georgia" w:hAnsi="Georgia"/>
          <w:b/>
          <w:bCs/>
          <w:color w:val="9A3B1F"/>
          <w:sz w:val="22"/>
          <w:szCs w:val="22"/>
        </w:rPr>
        <w:t xml:space="preserve">17.  </w:t>
      </w:r>
      <w:r>
        <w:rPr>
          <w:rFonts w:ascii="Calibri" w:cs="Calibri" w:eastAsia="Calibri" w:hAnsi="Calibri"/>
          <w:b/>
          <w:bCs/>
          <w:color w:val="2B2622"/>
          <w:sz w:val="22"/>
          <w:szCs w:val="22"/>
        </w:rPr>
        <w:t xml:space="preserve">How often do you plan to collect these metrics?</w:t>
      </w:r>
    </w:p>
    <w:p>
      <w:pPr>
        <w:spacing w:after="100" w:line="288"/>
      </w:pPr>
      <w:r>
        <w:rPr>
          <w:rFonts w:ascii="Calibri" w:cs="Calibri" w:eastAsia="Calibri" w:hAnsi="Calibri"/>
          <w:color w:val="2B2622"/>
          <w:sz w:val="22"/>
          <w:szCs w:val="22"/>
        </w:rPr>
        <w:t xml:space="preserve">monthly</w:t>
      </w:r>
    </w:p>
    <w:p>
      <w:pPr>
        <w:spacing w:after="160" w:line="288"/>
      </w:pPr>
      <w:r>
        <w:rPr>
          <w:rFonts w:ascii="Calibri" w:cs="Calibri" w:eastAsia="Calibri" w:hAnsi="Calibri"/>
          <w:i/>
          <w:iCs/>
          <w:color w:val="2B2622"/>
          <w:sz w:val="22"/>
          <w:szCs w:val="22"/>
        </w:rPr>
        <w:t xml:space="preserve">Note: GHP tracks participant progress weekly and will share an impact summary with you.</w:t>
      </w:r>
    </w:p>
    <w:p>
      <w:pPr>
        <w:keepNext/>
        <w:spacing w:after="120" w:before="320"/>
      </w:pPr>
      <w:r>
        <w:rPr>
          <w:rFonts w:ascii="Georgia" w:cs="Georgia" w:eastAsia="Georgia" w:hAnsi="Georgia"/>
          <w:b/>
          <w:bCs/>
          <w:color w:val="9A3B1F"/>
          <w:sz w:val="22"/>
          <w:szCs w:val="22"/>
        </w:rPr>
        <w:t xml:space="preserve">18.  </w:t>
      </w:r>
      <w:r>
        <w:rPr>
          <w:rFonts w:ascii="Calibri" w:cs="Calibri" w:eastAsia="Calibri" w:hAnsi="Calibri"/>
          <w:b/>
          <w:bCs/>
          <w:color w:val="2B2622"/>
          <w:sz w:val="22"/>
          <w:szCs w:val="22"/>
        </w:rPr>
        <w:t xml:space="preserve">Please upload any additional relevant information.</w:t>
      </w:r>
    </w:p>
    <w:p>
      <w:pPr>
        <w:spacing w:after="100" w:line="288"/>
      </w:pPr>
      <w:r>
        <w:rPr>
          <w:rFonts w:ascii="Calibri" w:cs="Calibri" w:eastAsia="Calibri" w:hAnsi="Calibri"/>
          <w:color w:val="2B2622"/>
          <w:sz w:val="22"/>
          <w:szCs w:val="22"/>
        </w:rPr>
        <w:t xml:space="preserve">GHP Overview (PDF)</w:t>
      </w:r>
    </w:p>
    <w:p>
      <w:pPr>
        <w:spacing w:after="160" w:line="288"/>
      </w:pPr>
      <w:r>
        <w:rPr>
          <w:rFonts w:ascii="Calibri" w:cs="Calibri" w:eastAsia="Calibri" w:hAnsi="Calibri"/>
          <w:i/>
          <w:iCs/>
          <w:color w:val="2B2622"/>
          <w:sz w:val="22"/>
          <w:szCs w:val="22"/>
        </w:rPr>
        <w:t xml:space="preserve">Note: Download the GHP overview and upload it here.</w:t>
      </w:r>
    </w:p>
    <w:sectPr>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Plan — [Licensee Name]</dc:title>
  <dc:creator>GHP Community Impact Partners</dc:creator>
  <cp:lastModifiedBy>Un-named</cp:lastModifiedBy>
  <cp:revision>1</cp:revision>
  <dcterms:created xsi:type="dcterms:W3CDTF">2026-10-19T17:39:45.699Z</dcterms:created>
  <dcterms:modified xsi:type="dcterms:W3CDTF">2026-10-19T17:39:45.699Z</dcterms:modified>
</cp:coreProperties>
</file>

<file path=docProps/custom.xml><?xml version="1.0" encoding="utf-8"?>
<Properties xmlns="http://schemas.openxmlformats.org/officeDocument/2006/custom-properties" xmlns:vt="http://schemas.openxmlformats.org/officeDocument/2006/docPropsVTypes"/>
</file>