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0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1"/>
        <w:gridCol w:w="7341"/>
      </w:tblGrid>
      <w:tr>
        <w:trPr>
          <w:trHeight w:val="1" w:hRule="atLeast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UC 1: Opret tilbud</w:t>
            </w:r>
          </w:p>
        </w:tc>
      </w:tr>
      <w:tr>
        <w:trPr>
          <w:trHeight w:val="1" w:hRule="atLeast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Bilsælger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 xml:space="preserve">Bilsælgeren angiver kundens informationer. </w:t>
            </w:r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 xml:space="preserve">Systemet oplyser sagsnummer, beregner rentesats og opretter tilbudet. 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2015-04-30T10:17:52Z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