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9664F" w14:textId="3B3554CE" w:rsidR="00CE5849" w:rsidRDefault="00DC44F8" w:rsidP="00392F2D">
      <w:pPr>
        <w:jc w:val="both"/>
        <w:rPr>
          <w:rFonts w:ascii="Arial" w:hAnsi="Arial" w:cs="Arial"/>
          <w:b/>
        </w:rPr>
      </w:pPr>
      <w:r>
        <w:rPr>
          <w:rFonts w:ascii="Arial" w:hAnsi="Arial" w:cs="Arial"/>
          <w:b/>
        </w:rPr>
        <w:t>Gene-for-gene interactions in plant-microbe interactions</w:t>
      </w:r>
    </w:p>
    <w:p w14:paraId="4D7559AF" w14:textId="60F5B455" w:rsidR="00B52E28" w:rsidRDefault="00FD67A6" w:rsidP="00392F2D">
      <w:pPr>
        <w:jc w:val="both"/>
        <w:rPr>
          <w:rFonts w:ascii="Arial" w:hAnsi="Arial" w:cs="Arial"/>
        </w:rPr>
      </w:pPr>
      <w:r w:rsidRPr="00DB79FD">
        <w:rPr>
          <w:rFonts w:ascii="Arial" w:hAnsi="Arial" w:cs="Arial"/>
        </w:rPr>
        <w:t>Jones</w:t>
      </w:r>
      <w:r w:rsidR="00201B88">
        <w:rPr>
          <w:rFonts w:ascii="Arial" w:hAnsi="Arial" w:cs="Arial"/>
          <w:vertAlign w:val="superscript"/>
        </w:rPr>
        <w:t xml:space="preserve"> </w:t>
      </w:r>
      <w:r w:rsidR="00201B88">
        <w:rPr>
          <w:rFonts w:ascii="Arial" w:hAnsi="Arial" w:cs="Arial"/>
        </w:rPr>
        <w:t>Lab –The Sainsbury Laboratory</w:t>
      </w:r>
    </w:p>
    <w:p w14:paraId="4D140595" w14:textId="2734EA1E" w:rsidR="00A33392" w:rsidRDefault="00A33392" w:rsidP="00392F2D">
      <w:pPr>
        <w:jc w:val="both"/>
        <w:rPr>
          <w:rFonts w:ascii="Arial" w:hAnsi="Arial" w:cs="Arial"/>
        </w:rPr>
      </w:pPr>
      <w:r>
        <w:rPr>
          <w:rFonts w:ascii="Arial" w:hAnsi="Arial" w:cs="Arial"/>
        </w:rPr>
        <w:t>Dr Pingtao Ding (</w:t>
      </w:r>
      <w:hyperlink r:id="rId8" w:history="1">
        <w:r w:rsidRPr="00633829">
          <w:rPr>
            <w:rStyle w:val="Hyperlink"/>
            <w:rFonts w:ascii="Arial" w:hAnsi="Arial" w:cs="Arial"/>
          </w:rPr>
          <w:t>pingtao.ding@tsl.ac.uk</w:t>
        </w:r>
      </w:hyperlink>
      <w:r>
        <w:rPr>
          <w:rFonts w:ascii="Arial" w:hAnsi="Arial" w:cs="Arial"/>
        </w:rPr>
        <w:t>)</w:t>
      </w:r>
    </w:p>
    <w:p w14:paraId="3C952EDD" w14:textId="2669D209" w:rsidR="00A33392" w:rsidRDefault="00A33392" w:rsidP="00392F2D">
      <w:pPr>
        <w:jc w:val="both"/>
        <w:rPr>
          <w:rFonts w:ascii="Arial" w:hAnsi="Arial" w:cs="Arial"/>
        </w:rPr>
      </w:pPr>
      <w:r>
        <w:rPr>
          <w:rFonts w:ascii="Arial" w:hAnsi="Arial" w:cs="Arial"/>
        </w:rPr>
        <w:t>Bruno Ngou (</w:t>
      </w:r>
      <w:hyperlink r:id="rId9" w:history="1">
        <w:r w:rsidRPr="00633829">
          <w:rPr>
            <w:rStyle w:val="Hyperlink"/>
            <w:rFonts w:ascii="Arial" w:hAnsi="Arial" w:cs="Arial"/>
          </w:rPr>
          <w:t>bruno.ngou@tsl.ac.uk</w:t>
        </w:r>
      </w:hyperlink>
      <w:r>
        <w:rPr>
          <w:rFonts w:ascii="Arial" w:hAnsi="Arial" w:cs="Arial"/>
        </w:rPr>
        <w:t>)</w:t>
      </w:r>
    </w:p>
    <w:p w14:paraId="75CFF743" w14:textId="28459C70" w:rsidR="00A33392" w:rsidRDefault="00A33392" w:rsidP="00392F2D">
      <w:pPr>
        <w:jc w:val="both"/>
        <w:rPr>
          <w:rFonts w:ascii="Arial" w:hAnsi="Arial" w:cs="Arial"/>
        </w:rPr>
      </w:pPr>
      <w:r>
        <w:rPr>
          <w:rFonts w:ascii="Arial" w:hAnsi="Arial" w:cs="Arial"/>
        </w:rPr>
        <w:t>Dr Yan Ma (</w:t>
      </w:r>
      <w:hyperlink r:id="rId10" w:history="1">
        <w:r w:rsidRPr="00633829">
          <w:rPr>
            <w:rStyle w:val="Hyperlink"/>
            <w:rFonts w:ascii="Arial" w:hAnsi="Arial" w:cs="Arial"/>
          </w:rPr>
          <w:t>yan.ma@tsl.ac.uk</w:t>
        </w:r>
      </w:hyperlink>
      <w:r>
        <w:rPr>
          <w:rFonts w:ascii="Arial" w:hAnsi="Arial" w:cs="Arial"/>
        </w:rPr>
        <w:t>)</w:t>
      </w:r>
    </w:p>
    <w:p w14:paraId="30B3604A" w14:textId="3B7A0AAF" w:rsidR="00A33392" w:rsidRDefault="00A33392" w:rsidP="00392F2D">
      <w:pPr>
        <w:jc w:val="both"/>
        <w:rPr>
          <w:rFonts w:ascii="Arial" w:hAnsi="Arial" w:cs="Arial"/>
        </w:rPr>
      </w:pPr>
      <w:r>
        <w:rPr>
          <w:rFonts w:ascii="Arial" w:hAnsi="Arial" w:cs="Arial"/>
        </w:rPr>
        <w:t>Hannah Brown (</w:t>
      </w:r>
      <w:hyperlink r:id="rId11" w:history="1">
        <w:r w:rsidRPr="00633829">
          <w:rPr>
            <w:rStyle w:val="Hyperlink"/>
            <w:rFonts w:ascii="Arial" w:hAnsi="Arial" w:cs="Arial"/>
          </w:rPr>
          <w:t>hannah.brown@tsl.ac.uk</w:t>
        </w:r>
      </w:hyperlink>
      <w:r>
        <w:rPr>
          <w:rFonts w:ascii="Arial" w:hAnsi="Arial" w:cs="Arial"/>
        </w:rPr>
        <w:t>)</w:t>
      </w:r>
    </w:p>
    <w:p w14:paraId="28A1B19D" w14:textId="10F5D268" w:rsidR="00B817A7" w:rsidRDefault="00201B88" w:rsidP="007D2F79">
      <w:pPr>
        <w:jc w:val="both"/>
        <w:rPr>
          <w:rFonts w:ascii="Arial" w:hAnsi="Arial" w:cs="Arial"/>
          <w:b/>
        </w:rPr>
      </w:pPr>
      <w:bookmarkStart w:id="0" w:name="_GoBack"/>
      <w:bookmarkEnd w:id="0"/>
      <w:r>
        <w:rPr>
          <w:rFonts w:ascii="Arial" w:hAnsi="Arial" w:cs="Arial"/>
          <w:b/>
        </w:rPr>
        <w:t>Summary of the practical</w:t>
      </w:r>
      <w:r w:rsidR="00CC7D1E" w:rsidRPr="00DB79FD">
        <w:rPr>
          <w:rFonts w:ascii="Arial" w:hAnsi="Arial" w:cs="Arial"/>
          <w:b/>
        </w:rPr>
        <w:t>:</w:t>
      </w:r>
    </w:p>
    <w:p w14:paraId="05CDC616" w14:textId="08A8B863" w:rsidR="009D654D" w:rsidRDefault="0023297B" w:rsidP="0023297B">
      <w:pPr>
        <w:jc w:val="both"/>
        <w:rPr>
          <w:rFonts w:ascii="Arial" w:hAnsi="Arial" w:cs="Arial"/>
        </w:rPr>
      </w:pPr>
      <w:r w:rsidRPr="0023297B">
        <w:rPr>
          <w:rFonts w:ascii="Arial" w:hAnsi="Arial" w:cs="Arial"/>
        </w:rPr>
        <w:t xml:space="preserve">The aim of this practical session </w:t>
      </w:r>
      <w:r w:rsidR="00C9516F">
        <w:rPr>
          <w:rFonts w:ascii="Arial" w:hAnsi="Arial" w:cs="Arial"/>
        </w:rPr>
        <w:t>is</w:t>
      </w:r>
      <w:r w:rsidRPr="0023297B">
        <w:rPr>
          <w:rFonts w:ascii="Arial" w:hAnsi="Arial" w:cs="Arial"/>
        </w:rPr>
        <w:t xml:space="preserve"> to familiarise you with the use of model organisms to </w:t>
      </w:r>
      <w:r w:rsidR="00B90958">
        <w:rPr>
          <w:rFonts w:ascii="Arial" w:hAnsi="Arial" w:cs="Arial"/>
        </w:rPr>
        <w:t>investigate</w:t>
      </w:r>
      <w:r w:rsidRPr="0023297B">
        <w:rPr>
          <w:rFonts w:ascii="Arial" w:hAnsi="Arial" w:cs="Arial"/>
        </w:rPr>
        <w:t xml:space="preserve"> the plant immune system. </w:t>
      </w:r>
      <w:r w:rsidR="0050212A">
        <w:rPr>
          <w:rFonts w:ascii="Arial" w:hAnsi="Arial" w:cs="Arial"/>
        </w:rPr>
        <w:t xml:space="preserve">The bacterium </w:t>
      </w:r>
      <w:r w:rsidR="0050212A">
        <w:rPr>
          <w:rFonts w:ascii="Arial" w:hAnsi="Arial" w:cs="Arial"/>
          <w:i/>
        </w:rPr>
        <w:t xml:space="preserve">Pseudomonas syringae </w:t>
      </w:r>
      <w:r w:rsidR="0050212A">
        <w:rPr>
          <w:rFonts w:ascii="Arial" w:hAnsi="Arial" w:cs="Arial"/>
        </w:rPr>
        <w:t xml:space="preserve">pv. </w:t>
      </w:r>
      <w:r w:rsidR="0050212A">
        <w:rPr>
          <w:rFonts w:ascii="Arial" w:hAnsi="Arial" w:cs="Arial"/>
          <w:i/>
        </w:rPr>
        <w:t xml:space="preserve">tomato </w:t>
      </w:r>
      <w:r w:rsidR="0050212A">
        <w:rPr>
          <w:rFonts w:ascii="Arial" w:hAnsi="Arial" w:cs="Arial"/>
        </w:rPr>
        <w:t>DC300</w:t>
      </w:r>
      <w:r w:rsidR="009D654D">
        <w:rPr>
          <w:rFonts w:ascii="Arial" w:hAnsi="Arial" w:cs="Arial"/>
        </w:rPr>
        <w:t>0</w:t>
      </w:r>
      <w:r w:rsidR="00A34315">
        <w:rPr>
          <w:rFonts w:ascii="Arial" w:hAnsi="Arial" w:cs="Arial"/>
        </w:rPr>
        <w:t xml:space="preserve"> (</w:t>
      </w:r>
      <w:r w:rsidR="00A34315">
        <w:rPr>
          <w:rFonts w:ascii="Arial" w:hAnsi="Arial" w:cs="Arial"/>
          <w:i/>
        </w:rPr>
        <w:t xml:space="preserve">Pst </w:t>
      </w:r>
      <w:r w:rsidR="00A34315">
        <w:rPr>
          <w:rFonts w:ascii="Arial" w:hAnsi="Arial" w:cs="Arial"/>
        </w:rPr>
        <w:t>DC3000)</w:t>
      </w:r>
      <w:r w:rsidR="009D654D">
        <w:rPr>
          <w:rFonts w:ascii="Arial" w:hAnsi="Arial" w:cs="Arial"/>
        </w:rPr>
        <w:t xml:space="preserve"> infects </w:t>
      </w:r>
      <w:r w:rsidR="009D654D">
        <w:rPr>
          <w:rFonts w:ascii="Arial" w:hAnsi="Arial" w:cs="Arial"/>
          <w:i/>
        </w:rPr>
        <w:t>Arabidopsis thaliana</w:t>
      </w:r>
      <w:r w:rsidR="009D654D">
        <w:rPr>
          <w:rFonts w:ascii="Arial" w:hAnsi="Arial" w:cs="Arial"/>
        </w:rPr>
        <w:t xml:space="preserve"> and causes disease. To promote virulence, DC3000 maintains a large repertoire of effector proteins that are injected into plant cells via the type </w:t>
      </w:r>
      <w:r w:rsidR="006D50BF">
        <w:rPr>
          <w:rFonts w:ascii="Arial" w:hAnsi="Arial" w:cs="Arial"/>
        </w:rPr>
        <w:t>I</w:t>
      </w:r>
      <w:r w:rsidR="009D654D">
        <w:rPr>
          <w:rFonts w:ascii="Arial" w:hAnsi="Arial" w:cs="Arial"/>
        </w:rPr>
        <w:t>II secretion system</w:t>
      </w:r>
      <w:r w:rsidR="006D50BF">
        <w:rPr>
          <w:rFonts w:ascii="Arial" w:hAnsi="Arial" w:cs="Arial"/>
        </w:rPr>
        <w:t xml:space="preserve"> (T3SS)</w:t>
      </w:r>
      <w:r w:rsidR="009D654D">
        <w:rPr>
          <w:rFonts w:ascii="Arial" w:hAnsi="Arial" w:cs="Arial"/>
        </w:rPr>
        <w:t xml:space="preserve">. Another important virulence factor utilized by </w:t>
      </w:r>
      <w:r w:rsidR="00A34315">
        <w:rPr>
          <w:rFonts w:ascii="Arial" w:hAnsi="Arial" w:cs="Arial"/>
          <w:i/>
        </w:rPr>
        <w:t xml:space="preserve">Pst </w:t>
      </w:r>
      <w:r w:rsidR="009D654D">
        <w:rPr>
          <w:rFonts w:ascii="Arial" w:hAnsi="Arial" w:cs="Arial"/>
        </w:rPr>
        <w:t xml:space="preserve">DC3000 is the polyketide phytotoxin coronatine, which mimics the plant hormone jasmonate to antagonize salicylic acid immune signaling. Plant pathologists can manipulate this pathosystem to understand key components of the plant immune system and bacterial pathogen virulence. </w:t>
      </w:r>
    </w:p>
    <w:p w14:paraId="04A9F113" w14:textId="4F6959C1" w:rsidR="00117F25" w:rsidRPr="006D50BF" w:rsidRDefault="006D50BF" w:rsidP="0023297B">
      <w:pPr>
        <w:jc w:val="both"/>
        <w:rPr>
          <w:rFonts w:ascii="Arial" w:hAnsi="Arial" w:cs="Arial"/>
        </w:rPr>
      </w:pPr>
      <w:r>
        <w:rPr>
          <w:rFonts w:ascii="Arial" w:hAnsi="Arial" w:cs="Arial"/>
        </w:rPr>
        <w:t xml:space="preserve">Studying the function of individual effectors on the plant immune system in </w:t>
      </w:r>
      <w:r w:rsidR="00A34315">
        <w:rPr>
          <w:rFonts w:ascii="Arial" w:hAnsi="Arial" w:cs="Arial"/>
          <w:i/>
        </w:rPr>
        <w:t xml:space="preserve">Pst </w:t>
      </w:r>
      <w:r>
        <w:rPr>
          <w:rFonts w:ascii="Arial" w:hAnsi="Arial" w:cs="Arial"/>
        </w:rPr>
        <w:t xml:space="preserve">DC3000, because the large repertoire of effectors can obfuscate the influence of a single effector. The Pf0-1 strain of the soil bacterium </w:t>
      </w:r>
      <w:r>
        <w:rPr>
          <w:rFonts w:ascii="Arial" w:hAnsi="Arial" w:cs="Arial"/>
          <w:i/>
        </w:rPr>
        <w:t xml:space="preserve">Pseudomonas fluorescens </w:t>
      </w:r>
      <w:r>
        <w:rPr>
          <w:rFonts w:ascii="Arial" w:hAnsi="Arial" w:cs="Arial"/>
        </w:rPr>
        <w:t xml:space="preserve">does not cause disease on </w:t>
      </w:r>
      <w:r>
        <w:rPr>
          <w:rFonts w:ascii="Arial" w:hAnsi="Arial" w:cs="Arial"/>
          <w:i/>
        </w:rPr>
        <w:t>Arabidopsis</w:t>
      </w:r>
      <w:r>
        <w:rPr>
          <w:rFonts w:ascii="Arial" w:hAnsi="Arial" w:cs="Arial"/>
        </w:rPr>
        <w:t>; it lacks a</w:t>
      </w:r>
      <w:r>
        <w:rPr>
          <w:rFonts w:ascii="Arial" w:hAnsi="Arial" w:cs="Arial"/>
          <w:i/>
        </w:rPr>
        <w:t xml:space="preserve"> </w:t>
      </w:r>
      <w:r>
        <w:rPr>
          <w:rFonts w:ascii="Arial" w:hAnsi="Arial" w:cs="Arial"/>
        </w:rPr>
        <w:t>T3SS and effectors. Researchers have exploited this ch</w:t>
      </w:r>
      <w:r w:rsidR="00F909FC">
        <w:rPr>
          <w:rFonts w:ascii="Arial" w:hAnsi="Arial" w:cs="Arial"/>
        </w:rPr>
        <w:t xml:space="preserve">aracteristic by engineering a </w:t>
      </w:r>
      <w:r>
        <w:rPr>
          <w:rFonts w:ascii="Arial" w:hAnsi="Arial" w:cs="Arial"/>
        </w:rPr>
        <w:t>T3SS into Pf0-1 to create the Effector-to-Host-Analyzer (EtHAn) strain</w:t>
      </w:r>
      <w:r w:rsidR="00194B88">
        <w:rPr>
          <w:rFonts w:ascii="Arial" w:hAnsi="Arial" w:cs="Arial"/>
        </w:rPr>
        <w:t xml:space="preserve"> (Thomas et al. 2009 Plant J 60(5):919)</w:t>
      </w:r>
      <w:r>
        <w:rPr>
          <w:rFonts w:ascii="Arial" w:hAnsi="Arial" w:cs="Arial"/>
        </w:rPr>
        <w:t xml:space="preserve">. </w:t>
      </w:r>
      <w:r w:rsidR="00194B88">
        <w:rPr>
          <w:rFonts w:ascii="Arial" w:hAnsi="Arial" w:cs="Arial"/>
        </w:rPr>
        <w:t xml:space="preserve">Plasmids encoding individual or multiple effectors can be transformed into EtHAn, which will deliver the encoded effectors into plant cells. </w:t>
      </w:r>
    </w:p>
    <w:p w14:paraId="49ADC2A7" w14:textId="26CE096A" w:rsidR="009D654D" w:rsidRDefault="009D654D" w:rsidP="0023297B">
      <w:pPr>
        <w:jc w:val="both"/>
        <w:rPr>
          <w:rFonts w:ascii="Arial" w:hAnsi="Arial" w:cs="Arial"/>
          <w:b/>
        </w:rPr>
      </w:pPr>
      <w:r>
        <w:rPr>
          <w:rFonts w:ascii="Arial" w:hAnsi="Arial" w:cs="Arial"/>
          <w:b/>
        </w:rPr>
        <w:t xml:space="preserve">Part I: Overview of the use of </w:t>
      </w:r>
      <w:r>
        <w:rPr>
          <w:rFonts w:ascii="Arial" w:hAnsi="Arial" w:cs="Arial"/>
          <w:b/>
          <w:i/>
        </w:rPr>
        <w:t xml:space="preserve">Pseudomonas </w:t>
      </w:r>
      <w:r>
        <w:rPr>
          <w:rFonts w:ascii="Arial" w:hAnsi="Arial" w:cs="Arial"/>
          <w:b/>
        </w:rPr>
        <w:t xml:space="preserve">– </w:t>
      </w:r>
      <w:r w:rsidRPr="00A34315">
        <w:rPr>
          <w:rFonts w:ascii="Arial" w:hAnsi="Arial" w:cs="Arial"/>
          <w:b/>
          <w:i/>
        </w:rPr>
        <w:t>Arabidopsis</w:t>
      </w:r>
      <w:r>
        <w:rPr>
          <w:rFonts w:ascii="Arial" w:hAnsi="Arial" w:cs="Arial"/>
          <w:b/>
        </w:rPr>
        <w:t xml:space="preserve"> pathosystems to study plant immunity.</w:t>
      </w:r>
    </w:p>
    <w:p w14:paraId="494BFC54" w14:textId="6943F786" w:rsidR="00A34315" w:rsidRPr="003003AF" w:rsidRDefault="00A34315" w:rsidP="0023297B">
      <w:pPr>
        <w:jc w:val="both"/>
        <w:rPr>
          <w:rFonts w:ascii="Arial" w:hAnsi="Arial" w:cs="Arial"/>
          <w:b/>
        </w:rPr>
      </w:pPr>
      <w:r>
        <w:rPr>
          <w:rFonts w:ascii="Arial" w:hAnsi="Arial" w:cs="Arial"/>
        </w:rPr>
        <w:t xml:space="preserve">We will present several ways we can use </w:t>
      </w:r>
      <w:r w:rsidR="00112B2A">
        <w:rPr>
          <w:rFonts w:ascii="Arial" w:hAnsi="Arial" w:cs="Arial"/>
          <w:i/>
        </w:rPr>
        <w:t xml:space="preserve">Pst </w:t>
      </w:r>
      <w:r w:rsidR="00112B2A">
        <w:rPr>
          <w:rFonts w:ascii="Arial" w:hAnsi="Arial" w:cs="Arial"/>
        </w:rPr>
        <w:t xml:space="preserve">DC3000 and </w:t>
      </w:r>
      <w:r w:rsidR="00112B2A">
        <w:rPr>
          <w:rFonts w:ascii="Arial" w:hAnsi="Arial" w:cs="Arial"/>
          <w:i/>
        </w:rPr>
        <w:t xml:space="preserve">Pf0-1 </w:t>
      </w:r>
      <w:r w:rsidR="00112B2A">
        <w:rPr>
          <w:rFonts w:ascii="Arial" w:hAnsi="Arial" w:cs="Arial"/>
        </w:rPr>
        <w:t xml:space="preserve">(EtHAn) to study the role of pathogen secreted effectors in </w:t>
      </w:r>
      <w:r w:rsidR="003003AF">
        <w:rPr>
          <w:rFonts w:ascii="Arial" w:hAnsi="Arial" w:cs="Arial"/>
        </w:rPr>
        <w:t xml:space="preserve">virulence, and the role of the plant immune system in suppressing pathogen growth. You will learn the advantages of different techniques and will be challenged to consider the use of the </w:t>
      </w:r>
      <w:r w:rsidR="003003AF">
        <w:rPr>
          <w:rFonts w:ascii="Arial" w:hAnsi="Arial" w:cs="Arial"/>
          <w:i/>
        </w:rPr>
        <w:t xml:space="preserve">Pseudomonas </w:t>
      </w:r>
      <w:r w:rsidR="003003AF">
        <w:rPr>
          <w:rFonts w:ascii="Arial" w:hAnsi="Arial" w:cs="Arial"/>
        </w:rPr>
        <w:t xml:space="preserve">– </w:t>
      </w:r>
      <w:r w:rsidR="003003AF">
        <w:rPr>
          <w:rFonts w:ascii="Arial" w:hAnsi="Arial" w:cs="Arial"/>
          <w:i/>
        </w:rPr>
        <w:t xml:space="preserve">Arabidopsis </w:t>
      </w:r>
      <w:r w:rsidR="003003AF">
        <w:rPr>
          <w:rFonts w:ascii="Arial" w:hAnsi="Arial" w:cs="Arial"/>
        </w:rPr>
        <w:t>pathosystem in your own research.</w:t>
      </w:r>
    </w:p>
    <w:p w14:paraId="0527B7B5" w14:textId="1D520D1D" w:rsidR="009D654D" w:rsidRDefault="009D654D" w:rsidP="0023297B">
      <w:pPr>
        <w:jc w:val="both"/>
        <w:rPr>
          <w:rFonts w:ascii="Arial" w:hAnsi="Arial" w:cs="Arial"/>
          <w:b/>
        </w:rPr>
      </w:pPr>
      <w:r>
        <w:rPr>
          <w:rFonts w:ascii="Arial" w:hAnsi="Arial" w:cs="Arial"/>
          <w:b/>
        </w:rPr>
        <w:t xml:space="preserve">Part II: Practical. </w:t>
      </w:r>
    </w:p>
    <w:p w14:paraId="29ACDDF9" w14:textId="46088B1E" w:rsidR="009D654D" w:rsidRPr="009D654D" w:rsidRDefault="00A34315" w:rsidP="0023297B">
      <w:pPr>
        <w:jc w:val="both"/>
        <w:rPr>
          <w:rFonts w:ascii="Arial" w:hAnsi="Arial" w:cs="Arial"/>
        </w:rPr>
      </w:pPr>
      <w:r>
        <w:rPr>
          <w:rFonts w:ascii="Arial" w:hAnsi="Arial" w:cs="Arial"/>
        </w:rPr>
        <w:t xml:space="preserve">A crucial component of the plant immune system is the repertoire of NLR (Nucleotide binding domain and Leucine-rich Repeat containing) intracellular immune receptors encoded by </w:t>
      </w:r>
      <w:r>
        <w:rPr>
          <w:rFonts w:ascii="Arial" w:hAnsi="Arial" w:cs="Arial"/>
          <w:i/>
        </w:rPr>
        <w:t xml:space="preserve">Resistance </w:t>
      </w:r>
      <w:r>
        <w:rPr>
          <w:rFonts w:ascii="Arial" w:hAnsi="Arial" w:cs="Arial"/>
        </w:rPr>
        <w:t xml:space="preserve">genes. NLRs confer recognition of effector proteins in a gene-for-gene relationship: the presence of an NLR gene in the host confers recognition to a specific effector gene in the pathogen. In this part, we will showcase this gene-for-gene relationship in the </w:t>
      </w:r>
      <w:r w:rsidRPr="00A34315">
        <w:rPr>
          <w:rFonts w:ascii="Arial" w:hAnsi="Arial" w:cs="Arial"/>
          <w:i/>
        </w:rPr>
        <w:t>Pseudomonas</w:t>
      </w:r>
      <w:r>
        <w:rPr>
          <w:rFonts w:ascii="Arial" w:hAnsi="Arial" w:cs="Arial"/>
        </w:rPr>
        <w:t xml:space="preserve"> – </w:t>
      </w:r>
      <w:r>
        <w:rPr>
          <w:rFonts w:ascii="Arial" w:hAnsi="Arial" w:cs="Arial"/>
          <w:i/>
        </w:rPr>
        <w:t xml:space="preserve">Arabidopsis </w:t>
      </w:r>
      <w:r>
        <w:rPr>
          <w:rFonts w:ascii="Arial" w:hAnsi="Arial" w:cs="Arial"/>
        </w:rPr>
        <w:t xml:space="preserve">pathosystem. We will infiltrate Pf0-1 (EtHAn) carrying different effectors into different </w:t>
      </w:r>
      <w:r>
        <w:rPr>
          <w:rFonts w:ascii="Arial" w:hAnsi="Arial" w:cs="Arial"/>
          <w:i/>
        </w:rPr>
        <w:t xml:space="preserve">Arabidopsis thaliana </w:t>
      </w:r>
      <w:r>
        <w:rPr>
          <w:rFonts w:ascii="Arial" w:hAnsi="Arial" w:cs="Arial"/>
        </w:rPr>
        <w:t xml:space="preserve">accessions or mutants. The following day, a hypersensitive cell death response will be observed where a gene-for-gene relationship exists. </w:t>
      </w:r>
    </w:p>
    <w:p w14:paraId="32016AA9" w14:textId="77777777" w:rsidR="003341D2" w:rsidRPr="00DB79FD" w:rsidRDefault="003341D2" w:rsidP="003341D2">
      <w:pPr>
        <w:autoSpaceDE w:val="0"/>
        <w:autoSpaceDN w:val="0"/>
        <w:adjustRightInd w:val="0"/>
        <w:spacing w:after="0" w:line="360" w:lineRule="auto"/>
        <w:jc w:val="both"/>
        <w:rPr>
          <w:rFonts w:ascii="Arial" w:hAnsi="Arial" w:cs="Arial"/>
        </w:rPr>
      </w:pPr>
    </w:p>
    <w:p w14:paraId="7B65B41A" w14:textId="77777777" w:rsidR="00B817A7" w:rsidRPr="00DB79FD" w:rsidRDefault="00AE73FF" w:rsidP="00AE73FF">
      <w:pPr>
        <w:tabs>
          <w:tab w:val="left" w:pos="6899"/>
        </w:tabs>
        <w:rPr>
          <w:rFonts w:ascii="Arial" w:hAnsi="Arial" w:cs="Arial"/>
        </w:rPr>
      </w:pPr>
      <w:r w:rsidRPr="00DB79FD">
        <w:rPr>
          <w:rFonts w:ascii="Arial" w:hAnsi="Arial" w:cs="Arial"/>
        </w:rPr>
        <w:tab/>
      </w:r>
    </w:p>
    <w:sectPr w:rsidR="00B817A7" w:rsidRPr="00DB79FD" w:rsidSect="0024578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C049C" w14:textId="77777777" w:rsidR="00EA3163" w:rsidRDefault="00EA3163" w:rsidP="003E77B2">
      <w:pPr>
        <w:spacing w:after="0" w:line="240" w:lineRule="auto"/>
      </w:pPr>
      <w:r>
        <w:separator/>
      </w:r>
    </w:p>
  </w:endnote>
  <w:endnote w:type="continuationSeparator" w:id="0">
    <w:p w14:paraId="65085864" w14:textId="77777777" w:rsidR="00EA3163" w:rsidRDefault="00EA3163" w:rsidP="003E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7DA7F" w14:textId="77777777" w:rsidR="00EA3163" w:rsidRDefault="00EA3163" w:rsidP="003E77B2">
      <w:pPr>
        <w:spacing w:after="0" w:line="240" w:lineRule="auto"/>
      </w:pPr>
      <w:r>
        <w:separator/>
      </w:r>
    </w:p>
  </w:footnote>
  <w:footnote w:type="continuationSeparator" w:id="0">
    <w:p w14:paraId="7C5DF679" w14:textId="77777777" w:rsidR="00EA3163" w:rsidRDefault="00EA3163" w:rsidP="003E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754"/>
    <w:multiLevelType w:val="hybridMultilevel"/>
    <w:tmpl w:val="9B4E82A0"/>
    <w:lvl w:ilvl="0" w:tplc="258A6AE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457E"/>
    <w:multiLevelType w:val="hybridMultilevel"/>
    <w:tmpl w:val="0410186E"/>
    <w:lvl w:ilvl="0" w:tplc="9B64F030">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2429"/>
    <w:multiLevelType w:val="hybridMultilevel"/>
    <w:tmpl w:val="8468F7C6"/>
    <w:lvl w:ilvl="0" w:tplc="9A4E158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E4008"/>
    <w:multiLevelType w:val="hybridMultilevel"/>
    <w:tmpl w:val="4A24AAD8"/>
    <w:lvl w:ilvl="0" w:tplc="C788678E">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1E"/>
    <w:rsid w:val="00011E78"/>
    <w:rsid w:val="00055922"/>
    <w:rsid w:val="000744BE"/>
    <w:rsid w:val="000778B5"/>
    <w:rsid w:val="00081920"/>
    <w:rsid w:val="000B4254"/>
    <w:rsid w:val="000B7C6A"/>
    <w:rsid w:val="000C323E"/>
    <w:rsid w:val="000F5339"/>
    <w:rsid w:val="0010651F"/>
    <w:rsid w:val="00112B2A"/>
    <w:rsid w:val="00117F25"/>
    <w:rsid w:val="00142E4A"/>
    <w:rsid w:val="0015122A"/>
    <w:rsid w:val="00153907"/>
    <w:rsid w:val="00194B88"/>
    <w:rsid w:val="00197ADF"/>
    <w:rsid w:val="001A0208"/>
    <w:rsid w:val="001B29F3"/>
    <w:rsid w:val="001D4350"/>
    <w:rsid w:val="001F7263"/>
    <w:rsid w:val="00201B88"/>
    <w:rsid w:val="0021312B"/>
    <w:rsid w:val="0021316C"/>
    <w:rsid w:val="00217021"/>
    <w:rsid w:val="0023297B"/>
    <w:rsid w:val="002349EF"/>
    <w:rsid w:val="0024578D"/>
    <w:rsid w:val="002542BF"/>
    <w:rsid w:val="0028290E"/>
    <w:rsid w:val="00285A6C"/>
    <w:rsid w:val="00287AEA"/>
    <w:rsid w:val="00297355"/>
    <w:rsid w:val="002A5188"/>
    <w:rsid w:val="002B49DD"/>
    <w:rsid w:val="002C7AD6"/>
    <w:rsid w:val="002E22AF"/>
    <w:rsid w:val="002E7381"/>
    <w:rsid w:val="003003AF"/>
    <w:rsid w:val="003341D2"/>
    <w:rsid w:val="00342CFB"/>
    <w:rsid w:val="00362447"/>
    <w:rsid w:val="0037291B"/>
    <w:rsid w:val="00383374"/>
    <w:rsid w:val="00390797"/>
    <w:rsid w:val="00392F2D"/>
    <w:rsid w:val="003A0DA1"/>
    <w:rsid w:val="003B0A9A"/>
    <w:rsid w:val="003D0C48"/>
    <w:rsid w:val="003D354F"/>
    <w:rsid w:val="003D4F1F"/>
    <w:rsid w:val="003E7138"/>
    <w:rsid w:val="003E77B2"/>
    <w:rsid w:val="003F0E02"/>
    <w:rsid w:val="003F1377"/>
    <w:rsid w:val="00404BDA"/>
    <w:rsid w:val="00405D7E"/>
    <w:rsid w:val="00413155"/>
    <w:rsid w:val="004151F6"/>
    <w:rsid w:val="00415BD6"/>
    <w:rsid w:val="0044284B"/>
    <w:rsid w:val="00450D59"/>
    <w:rsid w:val="004566AD"/>
    <w:rsid w:val="00470763"/>
    <w:rsid w:val="0047155D"/>
    <w:rsid w:val="00476225"/>
    <w:rsid w:val="004810EA"/>
    <w:rsid w:val="00482261"/>
    <w:rsid w:val="00485F87"/>
    <w:rsid w:val="004B072C"/>
    <w:rsid w:val="004B30C5"/>
    <w:rsid w:val="00500687"/>
    <w:rsid w:val="0050212A"/>
    <w:rsid w:val="00512488"/>
    <w:rsid w:val="00513303"/>
    <w:rsid w:val="00530096"/>
    <w:rsid w:val="00535309"/>
    <w:rsid w:val="00544695"/>
    <w:rsid w:val="005646C1"/>
    <w:rsid w:val="00571727"/>
    <w:rsid w:val="005B216F"/>
    <w:rsid w:val="005B6B41"/>
    <w:rsid w:val="005C3475"/>
    <w:rsid w:val="005C53D8"/>
    <w:rsid w:val="005E7C58"/>
    <w:rsid w:val="00613ECF"/>
    <w:rsid w:val="00614376"/>
    <w:rsid w:val="00622715"/>
    <w:rsid w:val="00652227"/>
    <w:rsid w:val="006C74B6"/>
    <w:rsid w:val="006D50BF"/>
    <w:rsid w:val="006D63B1"/>
    <w:rsid w:val="006F1212"/>
    <w:rsid w:val="006F5B1C"/>
    <w:rsid w:val="006F64C6"/>
    <w:rsid w:val="00704D37"/>
    <w:rsid w:val="0071262B"/>
    <w:rsid w:val="007168F5"/>
    <w:rsid w:val="007436DB"/>
    <w:rsid w:val="0074784B"/>
    <w:rsid w:val="00750CF2"/>
    <w:rsid w:val="00767356"/>
    <w:rsid w:val="0077074E"/>
    <w:rsid w:val="00773FE1"/>
    <w:rsid w:val="0079266E"/>
    <w:rsid w:val="007B73A5"/>
    <w:rsid w:val="007D2F79"/>
    <w:rsid w:val="007F0A32"/>
    <w:rsid w:val="008043C6"/>
    <w:rsid w:val="00811EC5"/>
    <w:rsid w:val="008131BD"/>
    <w:rsid w:val="0083292F"/>
    <w:rsid w:val="00836FD6"/>
    <w:rsid w:val="008373C3"/>
    <w:rsid w:val="008616C0"/>
    <w:rsid w:val="00876931"/>
    <w:rsid w:val="00892DFB"/>
    <w:rsid w:val="00893587"/>
    <w:rsid w:val="008A5192"/>
    <w:rsid w:val="008E2275"/>
    <w:rsid w:val="008E4F2F"/>
    <w:rsid w:val="008F309E"/>
    <w:rsid w:val="008F5BDC"/>
    <w:rsid w:val="008F605F"/>
    <w:rsid w:val="00915042"/>
    <w:rsid w:val="00926C77"/>
    <w:rsid w:val="009319B3"/>
    <w:rsid w:val="00932356"/>
    <w:rsid w:val="00934E4D"/>
    <w:rsid w:val="00936C1E"/>
    <w:rsid w:val="0094618D"/>
    <w:rsid w:val="00953603"/>
    <w:rsid w:val="0095580A"/>
    <w:rsid w:val="009623CD"/>
    <w:rsid w:val="009756EF"/>
    <w:rsid w:val="009D654D"/>
    <w:rsid w:val="009D6A88"/>
    <w:rsid w:val="009E7B77"/>
    <w:rsid w:val="009F0187"/>
    <w:rsid w:val="00A2522C"/>
    <w:rsid w:val="00A33392"/>
    <w:rsid w:val="00A341D9"/>
    <w:rsid w:val="00A34315"/>
    <w:rsid w:val="00A54479"/>
    <w:rsid w:val="00A604E3"/>
    <w:rsid w:val="00A62909"/>
    <w:rsid w:val="00A90935"/>
    <w:rsid w:val="00A9144A"/>
    <w:rsid w:val="00AB686A"/>
    <w:rsid w:val="00AC35E2"/>
    <w:rsid w:val="00AE73FF"/>
    <w:rsid w:val="00AE7A65"/>
    <w:rsid w:val="00AF3CEF"/>
    <w:rsid w:val="00AF779F"/>
    <w:rsid w:val="00B07E45"/>
    <w:rsid w:val="00B163BD"/>
    <w:rsid w:val="00B17F7B"/>
    <w:rsid w:val="00B37BEA"/>
    <w:rsid w:val="00B37C41"/>
    <w:rsid w:val="00B42D3D"/>
    <w:rsid w:val="00B52E28"/>
    <w:rsid w:val="00B55BF6"/>
    <w:rsid w:val="00B659A5"/>
    <w:rsid w:val="00B65CE8"/>
    <w:rsid w:val="00B70E46"/>
    <w:rsid w:val="00B817A7"/>
    <w:rsid w:val="00B82CC2"/>
    <w:rsid w:val="00B86338"/>
    <w:rsid w:val="00B90958"/>
    <w:rsid w:val="00BA1793"/>
    <w:rsid w:val="00BA2A8D"/>
    <w:rsid w:val="00BB016E"/>
    <w:rsid w:val="00BB5A86"/>
    <w:rsid w:val="00BE7F4A"/>
    <w:rsid w:val="00BF4FD0"/>
    <w:rsid w:val="00C316C8"/>
    <w:rsid w:val="00C33619"/>
    <w:rsid w:val="00C671F5"/>
    <w:rsid w:val="00C9091E"/>
    <w:rsid w:val="00C948CC"/>
    <w:rsid w:val="00C9516F"/>
    <w:rsid w:val="00C96CB5"/>
    <w:rsid w:val="00CC7D1E"/>
    <w:rsid w:val="00CE0F37"/>
    <w:rsid w:val="00CE2BE6"/>
    <w:rsid w:val="00CE5849"/>
    <w:rsid w:val="00CF5CF4"/>
    <w:rsid w:val="00CF6F6B"/>
    <w:rsid w:val="00D06634"/>
    <w:rsid w:val="00D26B55"/>
    <w:rsid w:val="00D27040"/>
    <w:rsid w:val="00D3044F"/>
    <w:rsid w:val="00D327BD"/>
    <w:rsid w:val="00D6157E"/>
    <w:rsid w:val="00D63414"/>
    <w:rsid w:val="00D9132B"/>
    <w:rsid w:val="00D973DE"/>
    <w:rsid w:val="00DB39EB"/>
    <w:rsid w:val="00DB43BA"/>
    <w:rsid w:val="00DB79FD"/>
    <w:rsid w:val="00DC3657"/>
    <w:rsid w:val="00DC44F8"/>
    <w:rsid w:val="00DD05D7"/>
    <w:rsid w:val="00DE37F4"/>
    <w:rsid w:val="00E03B75"/>
    <w:rsid w:val="00E056D0"/>
    <w:rsid w:val="00E11221"/>
    <w:rsid w:val="00E16ABD"/>
    <w:rsid w:val="00E24E34"/>
    <w:rsid w:val="00E41900"/>
    <w:rsid w:val="00E6088A"/>
    <w:rsid w:val="00E674D2"/>
    <w:rsid w:val="00E83AAE"/>
    <w:rsid w:val="00E970DB"/>
    <w:rsid w:val="00EA2C9B"/>
    <w:rsid w:val="00EA3163"/>
    <w:rsid w:val="00EA56E6"/>
    <w:rsid w:val="00EC0997"/>
    <w:rsid w:val="00ED20DB"/>
    <w:rsid w:val="00EF2278"/>
    <w:rsid w:val="00F058C7"/>
    <w:rsid w:val="00F34C17"/>
    <w:rsid w:val="00F414A3"/>
    <w:rsid w:val="00F570CB"/>
    <w:rsid w:val="00F61013"/>
    <w:rsid w:val="00F857AF"/>
    <w:rsid w:val="00F85ACD"/>
    <w:rsid w:val="00F909FC"/>
    <w:rsid w:val="00F944C6"/>
    <w:rsid w:val="00FA4C93"/>
    <w:rsid w:val="00FB2952"/>
    <w:rsid w:val="00FC3148"/>
    <w:rsid w:val="00FC79A3"/>
    <w:rsid w:val="00FD6437"/>
    <w:rsid w:val="00FD67A6"/>
    <w:rsid w:val="00FD6BFB"/>
    <w:rsid w:val="00FD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7576"/>
  <w15:docId w15:val="{17AD7F11-BB2F-415E-AD60-90BDC97F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C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192"/>
    <w:pPr>
      <w:ind w:left="720"/>
      <w:contextualSpacing/>
    </w:pPr>
  </w:style>
  <w:style w:type="character" w:styleId="Hyperlink">
    <w:name w:val="Hyperlink"/>
    <w:basedOn w:val="DefaultParagraphFont"/>
    <w:uiPriority w:val="99"/>
    <w:unhideWhenUsed/>
    <w:rsid w:val="008A5192"/>
    <w:rPr>
      <w:color w:val="0000FF"/>
      <w:u w:val="single"/>
    </w:rPr>
  </w:style>
  <w:style w:type="paragraph" w:styleId="Header">
    <w:name w:val="header"/>
    <w:basedOn w:val="Normal"/>
    <w:link w:val="HeaderChar"/>
    <w:uiPriority w:val="99"/>
    <w:unhideWhenUsed/>
    <w:rsid w:val="003E7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7B2"/>
    <w:rPr>
      <w:sz w:val="22"/>
      <w:szCs w:val="22"/>
    </w:rPr>
  </w:style>
  <w:style w:type="paragraph" w:styleId="Footer">
    <w:name w:val="footer"/>
    <w:basedOn w:val="Normal"/>
    <w:link w:val="FooterChar"/>
    <w:uiPriority w:val="99"/>
    <w:semiHidden/>
    <w:unhideWhenUsed/>
    <w:rsid w:val="003E77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B2"/>
    <w:rPr>
      <w:sz w:val="22"/>
      <w:szCs w:val="22"/>
    </w:rPr>
  </w:style>
  <w:style w:type="paragraph" w:styleId="BalloonText">
    <w:name w:val="Balloon Text"/>
    <w:basedOn w:val="Normal"/>
    <w:link w:val="BalloonTextChar"/>
    <w:uiPriority w:val="99"/>
    <w:semiHidden/>
    <w:unhideWhenUsed/>
    <w:rsid w:val="00B0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45"/>
    <w:rPr>
      <w:rFonts w:ascii="Tahoma" w:hAnsi="Tahoma" w:cs="Tahoma"/>
      <w:sz w:val="16"/>
      <w:szCs w:val="16"/>
    </w:rPr>
  </w:style>
  <w:style w:type="paragraph" w:styleId="NormalWeb">
    <w:name w:val="Normal (Web)"/>
    <w:basedOn w:val="Normal"/>
    <w:uiPriority w:val="99"/>
    <w:semiHidden/>
    <w:unhideWhenUsed/>
    <w:rsid w:val="003341D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287AEA"/>
    <w:rPr>
      <w:sz w:val="18"/>
      <w:szCs w:val="18"/>
    </w:rPr>
  </w:style>
  <w:style w:type="paragraph" w:styleId="CommentText">
    <w:name w:val="annotation text"/>
    <w:basedOn w:val="Normal"/>
    <w:link w:val="CommentTextChar"/>
    <w:uiPriority w:val="99"/>
    <w:semiHidden/>
    <w:unhideWhenUsed/>
    <w:rsid w:val="00287AEA"/>
    <w:pPr>
      <w:spacing w:line="240" w:lineRule="auto"/>
    </w:pPr>
    <w:rPr>
      <w:sz w:val="24"/>
      <w:szCs w:val="24"/>
    </w:rPr>
  </w:style>
  <w:style w:type="character" w:customStyle="1" w:styleId="CommentTextChar">
    <w:name w:val="Comment Text Char"/>
    <w:basedOn w:val="DefaultParagraphFont"/>
    <w:link w:val="CommentText"/>
    <w:uiPriority w:val="99"/>
    <w:semiHidden/>
    <w:rsid w:val="00287AEA"/>
    <w:rPr>
      <w:sz w:val="24"/>
      <w:szCs w:val="24"/>
    </w:rPr>
  </w:style>
  <w:style w:type="paragraph" w:styleId="CommentSubject">
    <w:name w:val="annotation subject"/>
    <w:basedOn w:val="CommentText"/>
    <w:next w:val="CommentText"/>
    <w:link w:val="CommentSubjectChar"/>
    <w:uiPriority w:val="99"/>
    <w:semiHidden/>
    <w:unhideWhenUsed/>
    <w:rsid w:val="00287AEA"/>
    <w:rPr>
      <w:b/>
      <w:bCs/>
      <w:sz w:val="20"/>
      <w:szCs w:val="20"/>
    </w:rPr>
  </w:style>
  <w:style w:type="character" w:customStyle="1" w:styleId="CommentSubjectChar">
    <w:name w:val="Comment Subject Char"/>
    <w:basedOn w:val="CommentTextChar"/>
    <w:link w:val="CommentSubject"/>
    <w:uiPriority w:val="99"/>
    <w:semiHidden/>
    <w:rsid w:val="00287AEA"/>
    <w:rPr>
      <w:b/>
      <w:bCs/>
      <w:sz w:val="24"/>
      <w:szCs w:val="24"/>
    </w:rPr>
  </w:style>
  <w:style w:type="character" w:styleId="Mention">
    <w:name w:val="Mention"/>
    <w:basedOn w:val="DefaultParagraphFont"/>
    <w:uiPriority w:val="99"/>
    <w:semiHidden/>
    <w:unhideWhenUsed/>
    <w:rsid w:val="00A333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92753">
      <w:bodyDiv w:val="1"/>
      <w:marLeft w:val="0"/>
      <w:marRight w:val="0"/>
      <w:marTop w:val="0"/>
      <w:marBottom w:val="0"/>
      <w:divBdr>
        <w:top w:val="none" w:sz="0" w:space="0" w:color="auto"/>
        <w:left w:val="none" w:sz="0" w:space="0" w:color="auto"/>
        <w:bottom w:val="none" w:sz="0" w:space="0" w:color="auto"/>
        <w:right w:val="none" w:sz="0" w:space="0" w:color="auto"/>
      </w:divBdr>
    </w:div>
    <w:div w:id="254750210">
      <w:bodyDiv w:val="1"/>
      <w:marLeft w:val="0"/>
      <w:marRight w:val="0"/>
      <w:marTop w:val="0"/>
      <w:marBottom w:val="0"/>
      <w:divBdr>
        <w:top w:val="none" w:sz="0" w:space="0" w:color="auto"/>
        <w:left w:val="none" w:sz="0" w:space="0" w:color="auto"/>
        <w:bottom w:val="none" w:sz="0" w:space="0" w:color="auto"/>
        <w:right w:val="none" w:sz="0" w:space="0" w:color="auto"/>
      </w:divBdr>
    </w:div>
    <w:div w:id="16862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ngtao.ding@tsl.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nah.brown@tsl.ac.uk" TargetMode="External"/><Relationship Id="rId5" Type="http://schemas.openxmlformats.org/officeDocument/2006/relationships/webSettings" Target="webSettings.xml"/><Relationship Id="rId10" Type="http://schemas.openxmlformats.org/officeDocument/2006/relationships/hyperlink" Target="mailto:yan.ma@tsl.ac.uk" TargetMode="External"/><Relationship Id="rId4" Type="http://schemas.openxmlformats.org/officeDocument/2006/relationships/settings" Target="settings.xml"/><Relationship Id="rId9" Type="http://schemas.openxmlformats.org/officeDocument/2006/relationships/hyperlink" Target="mailto:bruno.ngou@ts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A9414C-3F47-48D0-974D-43611FB1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Amey Redkar</vt:lpstr>
    </vt:vector>
  </TitlesOfParts>
  <Company>Aniket</Company>
  <LinksUpToDate>false</LinksUpToDate>
  <CharactersWithSpaces>3001</CharactersWithSpaces>
  <SharedDoc>false</SharedDoc>
  <HLinks>
    <vt:vector size="6" baseType="variant">
      <vt:variant>
        <vt:i4>7667776</vt:i4>
      </vt:variant>
      <vt:variant>
        <vt:i4>0</vt:i4>
      </vt:variant>
      <vt:variant>
        <vt:i4>0</vt:i4>
      </vt:variant>
      <vt:variant>
        <vt:i4>5</vt:i4>
      </vt:variant>
      <vt:variant>
        <vt:lpwstr>mailto:doehlemann@mpi-marburg.mpg.de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Amey Redkar</dc:title>
  <dc:creator>Aniket</dc:creator>
  <cp:lastModifiedBy>Zane Duxbury (TSL)</cp:lastModifiedBy>
  <cp:revision>13</cp:revision>
  <cp:lastPrinted>2017-07-26T08:34:00Z</cp:lastPrinted>
  <dcterms:created xsi:type="dcterms:W3CDTF">2017-07-26T10:38:00Z</dcterms:created>
  <dcterms:modified xsi:type="dcterms:W3CDTF">2017-07-31T19:44:00Z</dcterms:modified>
</cp:coreProperties>
</file>