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BF0D" w14:textId="77777777" w:rsidR="00C90D82" w:rsidRPr="00C90D82" w:rsidRDefault="00C90D82" w:rsidP="00C9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FTTH Networks Must Be Planned for Growth, Not Just Coverage</w:t>
      </w:r>
    </w:p>
    <w:p w14:paraId="269D6058" w14:textId="77777777" w:rsidR="00C90D82" w:rsidRPr="00C90D82" w:rsidRDefault="00C90D82" w:rsidP="00C9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D82">
        <w:rPr>
          <w:rFonts w:ascii="Times New Roman" w:eastAsia="Times New Roman" w:hAnsi="Times New Roman" w:cs="Times New Roman"/>
          <w:kern w:val="0"/>
          <w14:ligatures w14:val="none"/>
        </w:rPr>
        <w:t>Once fiber is in the ground, design mistakes are difficult and costly to correct. Short-term planning around splits, take-rates, or technology choices often limits flexibility as demand increases.</w:t>
      </w:r>
    </w:p>
    <w:p w14:paraId="7E85C4CA" w14:textId="77777777" w:rsidR="00C90D82" w:rsidRPr="00C90D82" w:rsidRDefault="00C90D82" w:rsidP="00C9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D82">
        <w:rPr>
          <w:rFonts w:ascii="Times New Roman" w:eastAsia="Times New Roman" w:hAnsi="Times New Roman" w:cs="Times New Roman"/>
          <w:kern w:val="0"/>
          <w14:ligatures w14:val="none"/>
        </w:rPr>
        <w:t>We plan FTTH networks that remain operationally stable and financially viable as subscriber density, bandwidth, and services evolve.</w:t>
      </w:r>
    </w:p>
    <w:p w14:paraId="6CDB7BC1" w14:textId="77777777" w:rsidR="00C90D82" w:rsidRPr="00C90D82" w:rsidRDefault="00C90D82" w:rsidP="00C9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[Start an FTTH Planning Discussion]</w:t>
      </w:r>
      <w:r w:rsidRPr="00C90D82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C90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[Review an Existing Design]</w:t>
      </w:r>
    </w:p>
    <w:p w14:paraId="47C6A4C8" w14:textId="77777777" w:rsidR="00EA6B79" w:rsidRDefault="00EA6B79"/>
    <w:p w14:paraId="4B4F8656" w14:textId="526DF912" w:rsidR="00C90D82" w:rsidRDefault="00C90D82" w:rsidP="00C90D82">
      <w:pPr>
        <w:pStyle w:val="Heading1"/>
      </w:pPr>
      <w:r>
        <w:t>Intro</w:t>
      </w:r>
    </w:p>
    <w:p w14:paraId="432747B5" w14:textId="77777777" w:rsidR="00C90D82" w:rsidRDefault="00C90D82" w:rsidP="00C90D82">
      <w:pPr>
        <w:pStyle w:val="NormalWeb"/>
      </w:pPr>
      <w:r>
        <w:t>In practice, many FTTH networks are designed to meet initial coverage targets rather than long-term operational reality. As take-rates rise and bandwidth consumption increases, early design choices around split ratios, feeder capacity, and PON architecture can quietly limit scalability.</w:t>
      </w:r>
    </w:p>
    <w:p w14:paraId="54F6C14C" w14:textId="77777777" w:rsidR="00C90D82" w:rsidRDefault="00C90D82" w:rsidP="00C90D82">
      <w:pPr>
        <w:pStyle w:val="NormalWeb"/>
      </w:pPr>
      <w:r>
        <w:t>Because the outside plant is permanent, correcting these constraints later often requires costly redesigns, service disruption, or accelerated capital spending.</w:t>
      </w:r>
    </w:p>
    <w:p w14:paraId="19625295" w14:textId="77777777" w:rsidR="00C90D82" w:rsidRDefault="00C90D82" w:rsidP="00C90D82">
      <w:pPr>
        <w:pStyle w:val="NormalWeb"/>
      </w:pPr>
      <w:r>
        <w:t xml:space="preserve">At </w:t>
      </w:r>
      <w:r>
        <w:rPr>
          <w:rStyle w:val="Strong"/>
          <w:rFonts w:eastAsiaTheme="majorEastAsia"/>
        </w:rPr>
        <w:t>SpiroLink</w:t>
      </w:r>
      <w:r>
        <w:t>, we design FTTH networks with growth, economics, and upgrade paths in mind—so the network continues to perform predictably as demand evolves, not just at initial deployment.</w:t>
      </w:r>
    </w:p>
    <w:p w14:paraId="71A21648" w14:textId="77777777" w:rsidR="00C90D82" w:rsidRDefault="00C90D82" w:rsidP="00C90D82"/>
    <w:p w14:paraId="1E61C227" w14:textId="77777777" w:rsidR="00C90D82" w:rsidRDefault="00C90D82" w:rsidP="00C90D82">
      <w:pPr>
        <w:pStyle w:val="Heading2"/>
      </w:pPr>
      <w:r>
        <w:t>Why FTTH Networks Struggle as They Scale</w:t>
      </w:r>
    </w:p>
    <w:p w14:paraId="2762195A" w14:textId="77777777" w:rsidR="00C90D82" w:rsidRDefault="00C90D82" w:rsidP="00C90D82">
      <w:pPr>
        <w:pStyle w:val="NormalWeb"/>
      </w:pPr>
      <w:r>
        <w:t>FTTH networks are often planned around early coverage goals rather than long-term adoption. When take-rates rise faster than expected, feeder capacity and split designs become immediate constraints.</w:t>
      </w:r>
    </w:p>
    <w:p w14:paraId="79735A99" w14:textId="77777777" w:rsidR="00C90D82" w:rsidRDefault="00C90D82" w:rsidP="00C90D82">
      <w:pPr>
        <w:pStyle w:val="NormalWeb"/>
      </w:pPr>
      <w:r>
        <w:t>Split ratios selected for initial economics frequently limit future bandwidth growth, forcing earlier-than-planned upgrades or overlay builds.</w:t>
      </w:r>
    </w:p>
    <w:p w14:paraId="596795AB" w14:textId="77777777" w:rsidR="00C90D82" w:rsidRDefault="00C90D82" w:rsidP="00C90D82">
      <w:pPr>
        <w:pStyle w:val="NormalWeb"/>
      </w:pPr>
      <w:r>
        <w:t>PON architecture choices made too early can restrict technology migration paths, increasing complexity when moving from GPON to XGS-PON or beyond.</w:t>
      </w:r>
    </w:p>
    <w:p w14:paraId="75E5A526" w14:textId="77777777" w:rsidR="00C90D82" w:rsidRDefault="00C90D82" w:rsidP="00C90D82">
      <w:pPr>
        <w:pStyle w:val="NormalWeb"/>
      </w:pPr>
      <w:r>
        <w:t>Inaccurate demand forecasting leads to uneven utilization, with some areas saturating while others remain underused, complicating operational planning.</w:t>
      </w:r>
    </w:p>
    <w:p w14:paraId="05FD8F74" w14:textId="77777777" w:rsidR="00C90D82" w:rsidRDefault="00C90D82" w:rsidP="00C90D82">
      <w:pPr>
        <w:pStyle w:val="NormalWeb"/>
      </w:pPr>
      <w:r>
        <w:lastRenderedPageBreak/>
        <w:t>Because the outside plant is permanent, correcting these limitations later often requires additional fiber builds, service disruption, or increased capital expenditure.</w:t>
      </w:r>
    </w:p>
    <w:p w14:paraId="7403FA54" w14:textId="77777777" w:rsidR="00C90D82" w:rsidRDefault="00C90D82" w:rsidP="00C90D82">
      <w:pPr>
        <w:pStyle w:val="Heading2"/>
      </w:pPr>
      <w:r>
        <w:t>Where We Design FTTH Networks</w:t>
      </w:r>
    </w:p>
    <w:p w14:paraId="57A75755" w14:textId="77777777" w:rsidR="00C90D82" w:rsidRDefault="00C90D82" w:rsidP="00C90D82">
      <w:pPr>
        <w:pStyle w:val="Heading3"/>
      </w:pPr>
      <w:r>
        <w:t>Telecom Operators &amp; ISPs</w:t>
      </w:r>
    </w:p>
    <w:p w14:paraId="49CE4A98" w14:textId="77777777" w:rsidR="00C90D82" w:rsidRDefault="00C90D82" w:rsidP="00C90D82">
      <w:pPr>
        <w:pStyle w:val="NormalWeb"/>
      </w:pPr>
      <w:r>
        <w:t>As subscriber density and bandwidth demand increase, access networks must scale without breaking the business model. We design FTTH networks that accommodate growth in take-rate, speed tiers, and services without forcing disruptive redesigns.</w:t>
      </w:r>
    </w:p>
    <w:p w14:paraId="719E2160" w14:textId="77777777" w:rsidR="00C90D82" w:rsidRDefault="00C90D82" w:rsidP="00C90D82">
      <w:pPr>
        <w:pStyle w:val="Heading3"/>
      </w:pPr>
      <w:r>
        <w:t>Utilities &amp; Energy Providers</w:t>
      </w:r>
    </w:p>
    <w:p w14:paraId="5A7362C6" w14:textId="77777777" w:rsidR="00C90D82" w:rsidRDefault="00C90D82" w:rsidP="00C90D82">
      <w:pPr>
        <w:pStyle w:val="NormalWeb"/>
      </w:pPr>
      <w:r>
        <w:t>Utilities deploying fiber for smart grid and broadband services require reliable access networks that coexist with operational infrastructure. We design FTTH networks that support multi-use objectives without compromising reliability.</w:t>
      </w:r>
    </w:p>
    <w:p w14:paraId="17A12C5C" w14:textId="77777777" w:rsidR="00C90D82" w:rsidRDefault="003A4C1B" w:rsidP="00C90D82">
      <w:r>
        <w:rPr>
          <w:noProof/>
        </w:rPr>
        <w:pict w14:anchorId="5EED80D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D2F8484" w14:textId="77777777" w:rsidR="00C90D82" w:rsidRDefault="00C90D82" w:rsidP="00C90D82">
      <w:pPr>
        <w:pStyle w:val="Heading3"/>
      </w:pPr>
      <w:r>
        <w:t>Real Estate Developers &amp; Smart Communities</w:t>
      </w:r>
    </w:p>
    <w:p w14:paraId="42FB6D2E" w14:textId="77777777" w:rsidR="00C90D82" w:rsidRDefault="00C90D82" w:rsidP="00C90D82">
      <w:pPr>
        <w:pStyle w:val="NormalWeb"/>
      </w:pPr>
      <w:r>
        <w:t>New developments demand future-ready connectivity from day one. We design FTTH architectures that support phased occupancy, technology upgrades, and long-term service flexibility.</w:t>
      </w:r>
    </w:p>
    <w:p w14:paraId="42986483" w14:textId="77777777" w:rsidR="00C90D82" w:rsidRDefault="003A4C1B" w:rsidP="00C90D82">
      <w:r>
        <w:rPr>
          <w:noProof/>
        </w:rPr>
        <w:pict w14:anchorId="6973879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B54D785" w14:textId="77777777" w:rsidR="00C90D82" w:rsidRDefault="00C90D82" w:rsidP="00C90D82">
      <w:pPr>
        <w:pStyle w:val="Heading3"/>
      </w:pPr>
      <w:r>
        <w:t>Rural &amp; Underserved Regions</w:t>
      </w:r>
    </w:p>
    <w:p w14:paraId="30DCF2AB" w14:textId="77777777" w:rsidR="00C90D82" w:rsidRDefault="00C90D82" w:rsidP="00C90D82">
      <w:pPr>
        <w:pStyle w:val="NormalWeb"/>
      </w:pPr>
      <w:r>
        <w:t>Low-density areas require careful planning to balance coverage, cost, and performance. We design FTTH networks that maximize reach while preserving upgrade paths as adoption grows.</w:t>
      </w:r>
    </w:p>
    <w:p w14:paraId="0D5A19D6" w14:textId="77777777" w:rsidR="00C90D82" w:rsidRDefault="00C90D82" w:rsidP="00C90D82">
      <w:pPr>
        <w:pStyle w:val="Heading2"/>
      </w:pPr>
      <w:r>
        <w:t>The SpiroLink Advantage (FTTH)</w:t>
      </w:r>
    </w:p>
    <w:p w14:paraId="549DEB60" w14:textId="77777777" w:rsidR="00C90D82" w:rsidRDefault="00C90D82" w:rsidP="00C90D82">
      <w:pPr>
        <w:pStyle w:val="Heading3"/>
      </w:pPr>
      <w:r>
        <w:t>Designed for Take-Rate Reality</w:t>
      </w:r>
    </w:p>
    <w:p w14:paraId="495BAA66" w14:textId="77777777" w:rsidR="00C90D82" w:rsidRDefault="00C90D82" w:rsidP="00C90D82">
      <w:pPr>
        <w:pStyle w:val="NormalWeb"/>
      </w:pPr>
      <w:r>
        <w:t>We design FTTH networks with realistic adoption curves in mind—not just theoretical coverage targets. This ensures feeder capacity, splits, and aggregation points scale smoothly as subscribers come online.</w:t>
      </w:r>
    </w:p>
    <w:p w14:paraId="5CA4F3CE" w14:textId="77777777" w:rsidR="00C90D82" w:rsidRDefault="003A4C1B" w:rsidP="00C90D82">
      <w:r>
        <w:rPr>
          <w:noProof/>
        </w:rPr>
        <w:pict w14:anchorId="19C9FA9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29FD21" w14:textId="77777777" w:rsidR="00C90D82" w:rsidRDefault="00C90D82" w:rsidP="00C90D82">
      <w:pPr>
        <w:pStyle w:val="Heading3"/>
      </w:pPr>
      <w:r>
        <w:lastRenderedPageBreak/>
        <w:t>Upgrade Paths Without Rebuilds</w:t>
      </w:r>
    </w:p>
    <w:p w14:paraId="48E0A5EB" w14:textId="77777777" w:rsidR="00C90D82" w:rsidRDefault="00C90D82" w:rsidP="00C90D82">
      <w:pPr>
        <w:pStyle w:val="NormalWeb"/>
      </w:pPr>
      <w:r>
        <w:t>FTTH networks should evolve without forcing major ODN changes. We design architectures that support GPON, XGS-PON, and next-generation PON migration without outside plant disruption.</w:t>
      </w:r>
    </w:p>
    <w:p w14:paraId="6D49F46C" w14:textId="77777777" w:rsidR="00C90D82" w:rsidRDefault="003A4C1B" w:rsidP="00C90D82">
      <w:r>
        <w:rPr>
          <w:noProof/>
        </w:rPr>
        <w:pict w14:anchorId="289109F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932BB16" w14:textId="77777777" w:rsidR="00C90D82" w:rsidRDefault="00C90D82" w:rsidP="00C90D82">
      <w:pPr>
        <w:pStyle w:val="Heading3"/>
      </w:pPr>
      <w:r>
        <w:t>Balanced Economics</w:t>
      </w:r>
    </w:p>
    <w:p w14:paraId="3A400B64" w14:textId="77777777" w:rsidR="00C90D82" w:rsidRDefault="00C90D82" w:rsidP="00C90D82">
      <w:pPr>
        <w:pStyle w:val="NormalWeb"/>
      </w:pPr>
      <w:r>
        <w:t>Every design decision considers long-term cost, not just initial capex. We balance split ratios, port utilization, and fiber counts to protect ROI as service demand evolves.</w:t>
      </w:r>
    </w:p>
    <w:p w14:paraId="4601D159" w14:textId="77777777" w:rsidR="00C90D82" w:rsidRDefault="003A4C1B" w:rsidP="00C90D82">
      <w:r>
        <w:rPr>
          <w:noProof/>
        </w:rPr>
        <w:pict w14:anchorId="5228C98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C90AE3" w14:textId="77777777" w:rsidR="00C90D82" w:rsidRDefault="00C90D82" w:rsidP="00C90D82">
      <w:pPr>
        <w:pStyle w:val="Heading3"/>
      </w:pPr>
      <w:r>
        <w:t>Vendor-Neutral Planning</w:t>
      </w:r>
    </w:p>
    <w:p w14:paraId="11B39237" w14:textId="77777777" w:rsidR="00C90D82" w:rsidRDefault="00C90D82" w:rsidP="00C90D82">
      <w:pPr>
        <w:pStyle w:val="NormalWeb"/>
      </w:pPr>
      <w:r>
        <w:t>Our FTTH designs are driven by density, demand, and growth—not by vendor lock-in. This keeps operators flexible as technologies and suppliers change.</w:t>
      </w:r>
    </w:p>
    <w:p w14:paraId="30FD031A" w14:textId="77777777" w:rsidR="00C90D82" w:rsidRDefault="003A4C1B" w:rsidP="00C90D82">
      <w:r>
        <w:rPr>
          <w:noProof/>
        </w:rPr>
        <w:pict w14:anchorId="2C200BA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56CBBFB" w14:textId="77777777" w:rsidR="00C90D82" w:rsidRDefault="00C90D82" w:rsidP="00C90D82">
      <w:pPr>
        <w:pStyle w:val="Heading3"/>
      </w:pPr>
      <w:r>
        <w:t>Documentation That Supports Operations</w:t>
      </w:r>
    </w:p>
    <w:p w14:paraId="67748D95" w14:textId="77777777" w:rsidR="00C90D82" w:rsidRDefault="00C90D82" w:rsidP="00C90D82">
      <w:pPr>
        <w:pStyle w:val="NormalWeb"/>
      </w:pPr>
      <w:r>
        <w:t>Clear design documentation is critical years after deployment. We deliver planning outputs that allow operations teams to manage, expand, and troubleshoot the network with confidence.</w:t>
      </w:r>
    </w:p>
    <w:p w14:paraId="7D6881A4" w14:textId="77777777" w:rsidR="00C90D82" w:rsidRDefault="003A4C1B" w:rsidP="00C90D82">
      <w:r>
        <w:rPr>
          <w:noProof/>
        </w:rPr>
        <w:pict w14:anchorId="30CF60C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D425BBA" w14:textId="77777777" w:rsidR="00C90D82" w:rsidRDefault="00C90D82" w:rsidP="00C90D82">
      <w:pPr>
        <w:pStyle w:val="Heading3"/>
      </w:pPr>
      <w:r>
        <w:t>Ownership Mindset</w:t>
      </w:r>
    </w:p>
    <w:p w14:paraId="65C5BEAB" w14:textId="77777777" w:rsidR="00C90D82" w:rsidRDefault="00C90D82" w:rsidP="00C90D82">
      <w:pPr>
        <w:pStyle w:val="NormalWeb"/>
      </w:pPr>
      <w:r>
        <w:t>We work as long-term partners, taking shared responsibility for how FTTH networks perform over their lifecycle—not just how they are initially deployed.</w:t>
      </w:r>
    </w:p>
    <w:p w14:paraId="6E3086A0" w14:textId="77777777" w:rsidR="00C90D82" w:rsidRDefault="003A4C1B" w:rsidP="00C90D82">
      <w:r>
        <w:rPr>
          <w:noProof/>
        </w:rPr>
        <w:pict w14:anchorId="75F7DFE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CE7931" w14:textId="77777777" w:rsidR="00C90D82" w:rsidRDefault="00C90D82" w:rsidP="00C90D82">
      <w:pPr>
        <w:pStyle w:val="Heading2"/>
      </w:pPr>
      <w:r>
        <w:t>FTTH “Did You Know?” Insight Cards</w:t>
      </w:r>
    </w:p>
    <w:p w14:paraId="190C2EA9" w14:textId="77777777" w:rsidR="00C90D82" w:rsidRDefault="003A4C1B" w:rsidP="00C90D82">
      <w:r>
        <w:rPr>
          <w:noProof/>
        </w:rPr>
        <w:pict w14:anchorId="72D542B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366C56B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1 — Timing Isn’t Passive</w:t>
      </w:r>
    </w:p>
    <w:p w14:paraId="18B039F1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In a PON, upstream bandwidth isn’t free — it is </w:t>
      </w:r>
      <w:r>
        <w:rPr>
          <w:rStyle w:val="Strong"/>
          <w:rFonts w:eastAsiaTheme="majorEastAsia"/>
        </w:rPr>
        <w:t>actively scheduled by the OLT</w:t>
      </w:r>
      <w:r>
        <w:t xml:space="preserve"> to avoid collisions among ONUs at different distances.</w:t>
      </w:r>
    </w:p>
    <w:p w14:paraId="3BABA280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lastRenderedPageBreak/>
        <w:t>Reveal:</w:t>
      </w:r>
      <w:r>
        <w:br/>
        <w:t>The OLT allocates timeslots and power levels dynamically (via GATE/REPORT maps and PLOAM messaging). This timing control impacts how many ONUs you can support and how effectively bandwidth is shared — a dimension that pure fiber budget calculations don’t capture.</w:t>
      </w:r>
    </w:p>
    <w:p w14:paraId="4285DB12" w14:textId="77777777" w:rsidR="00C90D82" w:rsidRDefault="003A4C1B" w:rsidP="00C90D82">
      <w:r>
        <w:rPr>
          <w:noProof/>
        </w:rPr>
        <w:pict w14:anchorId="38C997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43221D3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2 — Loss Budgets Are Dominated by Splitting &amp; Connectors</w:t>
      </w:r>
    </w:p>
    <w:p w14:paraId="32485ECA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FTTH optical loss budgets are governed more by </w:t>
      </w:r>
      <w:r>
        <w:rPr>
          <w:rStyle w:val="Strong"/>
          <w:rFonts w:eastAsiaTheme="majorEastAsia"/>
        </w:rPr>
        <w:t>splitters, connectors, and splices</w:t>
      </w:r>
      <w:r>
        <w:t xml:space="preserve"> than by fiber length.</w:t>
      </w:r>
    </w:p>
    <w:p w14:paraId="1D693BA2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Each splitter’s insertion loss and return loss adds up quickly, consuming margin before you even reach long spans. Mis-characterized connector loss or poor splice quality can silently erode performance long before physical distance becomes a concern.</w:t>
      </w:r>
    </w:p>
    <w:p w14:paraId="69217DEE" w14:textId="77777777" w:rsidR="00C90D82" w:rsidRDefault="003A4C1B" w:rsidP="00C90D82">
      <w:r>
        <w:rPr>
          <w:noProof/>
        </w:rPr>
        <w:pict w14:anchorId="30C44A6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E9099F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3 — Next-Gen PON Isn’t Just Faster GPON</w:t>
      </w:r>
    </w:p>
    <w:p w14:paraId="3B2303C3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Moving from GPON to XGS-PON or 10G-class PON isn’t simply “higher speed” — it introduces </w:t>
      </w:r>
      <w:r>
        <w:rPr>
          <w:rStyle w:val="Strong"/>
          <w:rFonts w:eastAsiaTheme="majorEastAsia"/>
        </w:rPr>
        <w:t>distinct wavelength, coexistence, and channel planning requirements</w:t>
      </w:r>
      <w:r>
        <w:t xml:space="preserve"> that influence the ODN design.</w:t>
      </w:r>
    </w:p>
    <w:p w14:paraId="49541200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Higher-speed PON variants use different or additional upstream/downstream wavelengths and may require tighter power and reflectance control. Poor wavelength planning can limit coexistence or future upgrades on the same fiber plant.</w:t>
      </w:r>
    </w:p>
    <w:p w14:paraId="394372C0" w14:textId="77777777" w:rsidR="00C90D82" w:rsidRDefault="003A4C1B" w:rsidP="00C90D82">
      <w:r>
        <w:rPr>
          <w:noProof/>
        </w:rPr>
        <w:pict w14:anchorId="2E13C0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96070A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4 — Split Ratio Is a Physical Constraint, Not a Marketing Choice</w:t>
      </w:r>
    </w:p>
    <w:p w14:paraId="7598FBEC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Designing with a 1:64 split isn’t just a cost decision — it changes </w:t>
      </w:r>
      <w:r>
        <w:rPr>
          <w:rStyle w:val="Strong"/>
          <w:rFonts w:eastAsiaTheme="majorEastAsia"/>
        </w:rPr>
        <w:t>optical power distribution, ONU sensitivity margins, and upstream timing windows</w:t>
      </w:r>
      <w:r>
        <w:t>.</w:t>
      </w:r>
    </w:p>
    <w:p w14:paraId="09057F27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Higher split ratios increase optical attenuation and widen timing jitter windows, reducing overall margin and making the link more sensitive to fiber imperfections. Good planning balances economics with long-term signal integrity.</w:t>
      </w:r>
    </w:p>
    <w:p w14:paraId="32EBBCBB" w14:textId="77777777" w:rsidR="00C90D82" w:rsidRDefault="003A4C1B" w:rsidP="00C90D82">
      <w:r>
        <w:rPr>
          <w:noProof/>
        </w:rPr>
        <w:pict w14:anchorId="3ECFD8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B4294D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lastRenderedPageBreak/>
        <w:t>Card 5 — Feeder Fiber Counts Limit Future Flexibility</w:t>
      </w:r>
    </w:p>
    <w:p w14:paraId="52A140DE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>Feeder fiber exhaustion — not just access fiber — is one of the most common reasons FTTH upgrades get constrained.</w:t>
      </w:r>
    </w:p>
    <w:p w14:paraId="0F4272F2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Underestimating feeder counts forces later restructures or regeneration points. Adding feeders after initial deployment is significantly more expensive and disruptive than planning appropriate feeder capacity upfront.</w:t>
      </w:r>
    </w:p>
    <w:p w14:paraId="03406FC8" w14:textId="77777777" w:rsidR="00C90D82" w:rsidRDefault="003A4C1B" w:rsidP="00C90D82">
      <w:r>
        <w:rPr>
          <w:noProof/>
        </w:rPr>
        <w:pict w14:anchorId="5A1B8BC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0CF22B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6 — Uniform Designs Increase Operational Complexity</w:t>
      </w:r>
    </w:p>
    <w:p w14:paraId="3DB34366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Using identical split design across all zones may simplify planning, but it </w:t>
      </w:r>
      <w:r>
        <w:rPr>
          <w:rStyle w:val="Strong"/>
          <w:rFonts w:eastAsiaTheme="majorEastAsia"/>
        </w:rPr>
        <w:t>hides real performance differences</w:t>
      </w:r>
      <w:r>
        <w:t xml:space="preserve"> across dense, suburban, and rural areas.</w:t>
      </w:r>
    </w:p>
    <w:p w14:paraId="212D807D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Different zone characteristics (take-rate, distances, latency needs) require tailored split and feeder strategies to ensure consistent QoS and efficient utilization without overbuilding or under-serving.</w:t>
      </w:r>
    </w:p>
    <w:p w14:paraId="69A70C7B" w14:textId="77777777" w:rsidR="00C90D82" w:rsidRDefault="003A4C1B" w:rsidP="00C90D82">
      <w:r>
        <w:rPr>
          <w:noProof/>
        </w:rPr>
        <w:pict w14:anchorId="449BFE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96B90E" w14:textId="77777777" w:rsidR="00C90D82" w:rsidRDefault="00C90D82" w:rsidP="00C90D82">
      <w:pPr>
        <w:pStyle w:val="Heading3"/>
      </w:pPr>
      <w:r>
        <w:rPr>
          <w:rStyle w:val="Strong"/>
          <w:b w:val="0"/>
          <w:bCs w:val="0"/>
        </w:rPr>
        <w:t>Card 7 — Inventory Accuracy Is a Hidden Scaling Bottleneck</w:t>
      </w:r>
    </w:p>
    <w:p w14:paraId="594616EA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Did you know?</w:t>
      </w:r>
      <w:r>
        <w:br/>
        <w:t xml:space="preserve">FTTH performance issues often stem less from optics and more from </w:t>
      </w:r>
      <w:r>
        <w:rPr>
          <w:rStyle w:val="Strong"/>
          <w:rFonts w:eastAsiaTheme="majorEastAsia"/>
        </w:rPr>
        <w:t>inaccurate network inventory and documentation</w:t>
      </w:r>
      <w:r>
        <w:t>.</w:t>
      </w:r>
    </w:p>
    <w:p w14:paraId="70E9FE20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Reveal:</w:t>
      </w:r>
      <w:r>
        <w:br/>
        <w:t>When design intent drifts from documented reality, OSS/GIS records fail to reflect actual fiber paths, split configurations, and endpoint assignments — slowing troubleshooting, automation, and planning for upgrades.</w:t>
      </w:r>
    </w:p>
    <w:p w14:paraId="4E214706" w14:textId="77777777" w:rsidR="00C90D82" w:rsidRDefault="00C90D82" w:rsidP="00C90D82">
      <w:pPr>
        <w:pStyle w:val="Heading2"/>
      </w:pPr>
      <w:r>
        <w:t>CTA</w:t>
      </w:r>
    </w:p>
    <w:p w14:paraId="6DAE85C5" w14:textId="77777777" w:rsidR="00C90D82" w:rsidRDefault="00C90D82" w:rsidP="00C90D82">
      <w:pPr>
        <w:pStyle w:val="Heading3"/>
      </w:pPr>
      <w:r>
        <w:t>Get Clarity on Your FTTH Plan Before You Build</w:t>
      </w:r>
    </w:p>
    <w:p w14:paraId="5B4ED98A" w14:textId="77777777" w:rsidR="00C90D82" w:rsidRDefault="00C90D82" w:rsidP="00C90D82">
      <w:pPr>
        <w:pStyle w:val="NormalWeb"/>
      </w:pPr>
      <w:r>
        <w:t>FTTH networks are long-lived infrastructure, and early design decisions—split ratios, feeder fiber counts, technology migration paths—determine long-term performance and cost.</w:t>
      </w:r>
    </w:p>
    <w:p w14:paraId="7AFC7073" w14:textId="77777777" w:rsidR="00C90D82" w:rsidRDefault="00C90D82" w:rsidP="00C90D82">
      <w:pPr>
        <w:pStyle w:val="NormalWeb"/>
      </w:pPr>
      <w:r>
        <w:lastRenderedPageBreak/>
        <w:t>Before finalizing your access network strategy, it helps to validate capacity assumptions, upgrade paths, and signal margin expectations with an experienced optical &amp; PON planning perspective.</w:t>
      </w:r>
    </w:p>
    <w:p w14:paraId="4172EC81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→ Discuss your FTTH design challenges</w:t>
      </w:r>
      <w:r>
        <w:br/>
      </w:r>
      <w:r>
        <w:rPr>
          <w:rStyle w:val="Strong"/>
          <w:rFonts w:eastAsiaTheme="majorEastAsia"/>
        </w:rPr>
        <w:t>→ Review an existing or planned FTTH network</w:t>
      </w:r>
    </w:p>
    <w:p w14:paraId="6E42896B" w14:textId="77777777" w:rsidR="00C90D82" w:rsidRDefault="00C90D82" w:rsidP="00C90D82">
      <w:pPr>
        <w:pStyle w:val="Heading2"/>
      </w:pPr>
      <w:r>
        <w:t>FTTH-Specific FAQ</w:t>
      </w:r>
    </w:p>
    <w:p w14:paraId="099ECDB4" w14:textId="77777777" w:rsidR="00C90D82" w:rsidRDefault="00C90D82" w:rsidP="00C90D82">
      <w:pPr>
        <w:pStyle w:val="Heading3"/>
      </w:pPr>
      <w:r>
        <w:t>Q: Can you plan FTTH networks for mixed technology environments?</w:t>
      </w:r>
    </w:p>
    <w:p w14:paraId="2C462139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Yes. We design FTTH networks that support both GPON and next-generation PON (XGS-PON and beyond), and we ensure the ODN and wavelength plan allow clean coexistence and upgrade paths.</w:t>
      </w:r>
    </w:p>
    <w:p w14:paraId="19754F57" w14:textId="77777777" w:rsidR="00C90D82" w:rsidRDefault="003A4C1B" w:rsidP="00C90D82">
      <w:r>
        <w:rPr>
          <w:noProof/>
        </w:rPr>
        <w:pict w14:anchorId="791632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7188F5" w14:textId="77777777" w:rsidR="00C90D82" w:rsidRDefault="00C90D82" w:rsidP="00C90D82">
      <w:pPr>
        <w:pStyle w:val="Heading3"/>
      </w:pPr>
      <w:r>
        <w:t>Q: What factors determine FTTH split ratio decisions?</w:t>
      </w:r>
    </w:p>
    <w:p w14:paraId="529FFC5D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Split ratio is tied to optical loss budgets, ONU sensitivity, network density, and long-term bandwidth expectations. We model these factors explicitly rather than relying on defaults.</w:t>
      </w:r>
    </w:p>
    <w:p w14:paraId="5EA16210" w14:textId="77777777" w:rsidR="00C90D82" w:rsidRDefault="003A4C1B" w:rsidP="00C90D82">
      <w:r>
        <w:rPr>
          <w:noProof/>
        </w:rPr>
        <w:pict w14:anchorId="384D4E1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3BD753" w14:textId="77777777" w:rsidR="00C90D82" w:rsidRDefault="00C90D82" w:rsidP="00C90D82">
      <w:pPr>
        <w:pStyle w:val="Heading3"/>
      </w:pPr>
      <w:r>
        <w:t>Q: Do you work with existing ODN infrastructure?</w:t>
      </w:r>
    </w:p>
    <w:p w14:paraId="42C09159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Yes. We assess brownfield ODNs to identify hidden margin limitations, feasibility for upgrades, and optimal reuse of existing assets without compromising performance.</w:t>
      </w:r>
    </w:p>
    <w:p w14:paraId="7094E975" w14:textId="77777777" w:rsidR="00C90D82" w:rsidRDefault="003A4C1B" w:rsidP="00C90D82">
      <w:r>
        <w:rPr>
          <w:noProof/>
        </w:rPr>
        <w:pict w14:anchorId="5AEA1A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CD1D73" w14:textId="77777777" w:rsidR="00C90D82" w:rsidRDefault="00C90D82" w:rsidP="00C90D82">
      <w:pPr>
        <w:pStyle w:val="Heading3"/>
      </w:pPr>
      <w:r>
        <w:t>Q: How do you handle take-rate uncertainty?</w:t>
      </w:r>
    </w:p>
    <w:p w14:paraId="26EF867E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We model multiple adoption scenarios and plan feeder capacity, split architecture, and aggregation so that performance remains predictable across reasonable demand curves.</w:t>
      </w:r>
    </w:p>
    <w:p w14:paraId="4E074EB6" w14:textId="77777777" w:rsidR="00C90D82" w:rsidRDefault="003A4C1B" w:rsidP="00C90D82">
      <w:r>
        <w:rPr>
          <w:noProof/>
        </w:rPr>
        <w:pict w14:anchorId="615898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638C23" w14:textId="77777777" w:rsidR="00C90D82" w:rsidRDefault="00C90D82" w:rsidP="00C90D82">
      <w:pPr>
        <w:pStyle w:val="Heading3"/>
      </w:pPr>
      <w:r>
        <w:t>Q: Can you forecast FTTH backhaul and aggregation requirements?</w:t>
      </w:r>
    </w:p>
    <w:p w14:paraId="4B03E365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Absolutely. We include aggregation planning and uplink capacity analysis as part of the FTTH design to ensure backhaul does not saturate before the access layer.</w:t>
      </w:r>
    </w:p>
    <w:p w14:paraId="6F377ADF" w14:textId="77777777" w:rsidR="00C90D82" w:rsidRDefault="003A4C1B" w:rsidP="00C90D82">
      <w:r>
        <w:rPr>
          <w:noProof/>
        </w:rPr>
        <w:pict w14:anchorId="750D64E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71AD68" w14:textId="77777777" w:rsidR="00C90D82" w:rsidRDefault="00C90D82" w:rsidP="00C90D82">
      <w:pPr>
        <w:pStyle w:val="Heading3"/>
      </w:pPr>
      <w:r>
        <w:lastRenderedPageBreak/>
        <w:t>Q: Do you provide implementation support?</w:t>
      </w:r>
    </w:p>
    <w:p w14:paraId="2A1633F1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Our focus is planning and engineering. We provide comprehensive design documentation and can coordinate with qualified implementation partners where needed.</w:t>
      </w:r>
    </w:p>
    <w:p w14:paraId="30D37121" w14:textId="77777777" w:rsidR="00C90D82" w:rsidRDefault="003A4C1B" w:rsidP="00C90D82">
      <w:r>
        <w:rPr>
          <w:noProof/>
        </w:rPr>
        <w:pict w14:anchorId="5E4057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A7CAE4" w14:textId="77777777" w:rsidR="00C90D82" w:rsidRDefault="00C90D82" w:rsidP="00C90D82">
      <w:pPr>
        <w:pStyle w:val="Heading3"/>
      </w:pPr>
      <w:r>
        <w:t>Q: How do you balance cost and performance in FTTH design?</w:t>
      </w:r>
    </w:p>
    <w:p w14:paraId="521F66BE" w14:textId="77777777" w:rsidR="00C90D82" w:rsidRDefault="00C90D82" w:rsidP="00C90D82">
      <w:pPr>
        <w:pStyle w:val="NormalWeb"/>
      </w:pPr>
      <w:r>
        <w:rPr>
          <w:rStyle w:val="Strong"/>
          <w:rFonts w:eastAsiaTheme="majorEastAsia"/>
        </w:rPr>
        <w:t>A:</w:t>
      </w:r>
      <w:r>
        <w:t xml:space="preserve"> We optimize designs by balancing fiber counts, split ratios, feeder architecture, and technology choices to protect long-term ROI without compromising scalability.</w:t>
      </w:r>
    </w:p>
    <w:p w14:paraId="42176DFA" w14:textId="77777777" w:rsidR="00C90D82" w:rsidRPr="00C90D82" w:rsidRDefault="00C90D82" w:rsidP="00C90D82"/>
    <w:sectPr w:rsidR="00C90D82" w:rsidRPr="00C90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82"/>
    <w:rsid w:val="003A4C1B"/>
    <w:rsid w:val="00532C2B"/>
    <w:rsid w:val="006077C1"/>
    <w:rsid w:val="00A113EC"/>
    <w:rsid w:val="00A12890"/>
    <w:rsid w:val="00C90D82"/>
    <w:rsid w:val="00EA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1E169"/>
  <w15:chartTrackingRefBased/>
  <w15:docId w15:val="{6D2408B2-FC8C-A945-A547-0863623C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1175</Words>
  <Characters>8300</Characters>
  <Application>Microsoft Office Word</Application>
  <DocSecurity>0</DocSecurity>
  <Lines>224</Lines>
  <Paragraphs>197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</dc:creator>
  <cp:keywords/>
  <dc:description/>
  <cp:lastModifiedBy>Contact</cp:lastModifiedBy>
  <cp:revision>1</cp:revision>
  <dcterms:created xsi:type="dcterms:W3CDTF">2026-01-22T01:43:00Z</dcterms:created>
  <dcterms:modified xsi:type="dcterms:W3CDTF">2026-01-22T01:52:00Z</dcterms:modified>
</cp:coreProperties>
</file>