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57F55" w14:textId="77777777" w:rsidR="0070121B" w:rsidRPr="0070121B" w:rsidRDefault="0070121B" w:rsidP="007012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21B">
        <w:rPr>
          <w:rFonts w:ascii="Times New Roman" w:eastAsia="Times New Roman" w:hAnsi="Times New Roman" w:cs="Times New Roman"/>
          <w:b/>
          <w:bCs/>
          <w:kern w:val="36"/>
          <w:sz w:val="48"/>
          <w:szCs w:val="48"/>
          <w14:ligatures w14:val="none"/>
        </w:rPr>
        <w:t>HERO SECTION</w:t>
      </w:r>
    </w:p>
    <w:p w14:paraId="3B729A06"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Industry-Grade Communication &amp; Networking Labs for Engineering Institutions</w:t>
      </w:r>
    </w:p>
    <w:p w14:paraId="368BB039"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b/>
          <w:bCs/>
          <w:kern w:val="0"/>
          <w14:ligatures w14:val="none"/>
        </w:rPr>
        <w:t>Bridging Classroom Theory with Real-World Engineering Practice</w:t>
      </w:r>
    </w:p>
    <w:p w14:paraId="2E71EE06" w14:textId="77777777" w:rsidR="0070121B" w:rsidRDefault="0070121B" w:rsidP="0070121B">
      <w:pPr>
        <w:spacing w:before="100" w:beforeAutospacing="1" w:after="100" w:afterAutospacing="1" w:line="240" w:lineRule="auto"/>
      </w:pPr>
      <w:r>
        <w:t>The future engineer must build and operate real-world communication systems, not just understand them.</w:t>
      </w:r>
    </w:p>
    <w:p w14:paraId="0C3D3313" w14:textId="552603F0" w:rsidR="0070121B" w:rsidRDefault="0070121B" w:rsidP="0070121B">
      <w:pPr>
        <w:spacing w:before="100" w:beforeAutospacing="1" w:after="100" w:afterAutospacing="1" w:line="240" w:lineRule="auto"/>
        <w:rPr>
          <w:rFonts w:ascii="Times New Roman" w:eastAsia="Times New Roman" w:hAnsi="Times New Roman" w:cs="Times New Roman"/>
          <w:b/>
          <w:bCs/>
          <w:kern w:val="0"/>
          <w14:ligatures w14:val="none"/>
        </w:rPr>
      </w:pPr>
      <w:r>
        <w:t>We design and deploy industry-grade laboratories that give students hands-on exposure and industry-ready skills.</w:t>
      </w:r>
      <w:r w:rsidRPr="0070121B">
        <w:rPr>
          <w:rFonts w:ascii="Times New Roman" w:eastAsia="Times New Roman" w:hAnsi="Times New Roman" w:cs="Times New Roman"/>
          <w:b/>
          <w:bCs/>
          <w:kern w:val="0"/>
          <w14:ligatures w14:val="none"/>
        </w:rPr>
        <w:t xml:space="preserve"> </w:t>
      </w:r>
    </w:p>
    <w:p w14:paraId="30F318D5" w14:textId="5E8BC38E" w:rsidR="0070121B" w:rsidRPr="0070121B" w:rsidRDefault="0070121B" w:rsidP="003767DE">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b/>
          <w:bCs/>
          <w:kern w:val="0"/>
          <w14:ligatures w14:val="none"/>
        </w:rPr>
        <w:t>[Request Lab Consultation]</w:t>
      </w:r>
      <w:r w:rsidRPr="0070121B">
        <w:rPr>
          <w:rFonts w:ascii="Times New Roman" w:eastAsia="Times New Roman" w:hAnsi="Times New Roman" w:cs="Times New Roman"/>
          <w:b/>
          <w:bCs/>
          <w:kern w:val="0"/>
          <w14:ligatures w14:val="none"/>
        </w:rPr>
        <w:t> </w:t>
      </w:r>
      <w:r w:rsidRPr="0070121B">
        <w:rPr>
          <w:rFonts w:ascii="Times New Roman" w:eastAsia="Times New Roman" w:hAnsi="Times New Roman" w:cs="Times New Roman"/>
          <w:b/>
          <w:bCs/>
          <w:kern w:val="0"/>
          <w14:ligatures w14:val="none"/>
        </w:rPr>
        <w:t>[Download Lab Catalog]</w:t>
      </w:r>
      <w:r w:rsidRPr="0070121B">
        <w:rPr>
          <w:rFonts w:ascii="Times New Roman" w:eastAsia="Times New Roman" w:hAnsi="Times New Roman" w:cs="Times New Roman"/>
          <w:b/>
          <w:bCs/>
          <w:kern w:val="0"/>
          <w14:ligatures w14:val="none"/>
        </w:rPr>
        <w:t> </w:t>
      </w:r>
      <w:r w:rsidRPr="0070121B">
        <w:rPr>
          <w:rFonts w:ascii="Times New Roman" w:eastAsia="Times New Roman" w:hAnsi="Times New Roman" w:cs="Times New Roman"/>
          <w:b/>
          <w:bCs/>
          <w:kern w:val="0"/>
          <w14:ligatures w14:val="none"/>
        </w:rPr>
        <w:t>[Talk to an Engineer]</w:t>
      </w:r>
    </w:p>
    <w:p w14:paraId="790C76EC" w14:textId="77777777" w:rsidR="0070121B" w:rsidRPr="0070121B" w:rsidRDefault="0070121B" w:rsidP="007012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21B">
        <w:rPr>
          <w:rFonts w:ascii="Times New Roman" w:eastAsia="Times New Roman" w:hAnsi="Times New Roman" w:cs="Times New Roman"/>
          <w:b/>
          <w:bCs/>
          <w:kern w:val="36"/>
          <w:sz w:val="48"/>
          <w:szCs w:val="48"/>
          <w14:ligatures w14:val="none"/>
        </w:rPr>
        <w:t>INTRODUCTION (SITUATION)</w:t>
      </w:r>
    </w:p>
    <w:p w14:paraId="5EE85186" w14:textId="77777777" w:rsidR="003767DE" w:rsidRDefault="003767DE" w:rsidP="003767DE">
      <w:pPr>
        <w:pStyle w:val="NormalWeb"/>
      </w:pPr>
      <w:r>
        <w:t>Engineering programs today aim to prepare graduates for real-world technology environments, where communication networks, wireless systems, cloud infrastructure, and automation platforms form the backbone of industry operations. However, bridging theoretical learning with practical engineering exposure requires modern laboratory infrastructure, structured experiments, and industry-aligned training frameworks.</w:t>
      </w:r>
    </w:p>
    <w:p w14:paraId="118C6244" w14:textId="77777777" w:rsidR="003767DE" w:rsidRDefault="003767DE" w:rsidP="003767DE">
      <w:pPr>
        <w:pStyle w:val="NormalWeb"/>
      </w:pPr>
      <w:r>
        <w:t>SpiroLink designs and delivers advanced communication and networking laboratories that replicate real industry environments inside academic institutions. We provide not just equipment, but complete learning ecosystems—hardware, software, curriculum, faculty enablement, and ongoing support—so students graduate with hands-on engineering competence, not just academic knowledge.</w:t>
      </w:r>
    </w:p>
    <w:p w14:paraId="51A28359" w14:textId="77777777" w:rsidR="003767DE" w:rsidRDefault="003767DE" w:rsidP="003767DE">
      <w:pPr>
        <w:pStyle w:val="NormalWeb"/>
      </w:pPr>
      <w:r>
        <w:t>Our laboratory solutions are engineered to align with current industry practices across telecom, networking, cloud, IoT, cybersecurity, and automation domains, ensuring institutions meet accreditation expectations, improve placement outcomes, and build strong industry partnerships.</w:t>
      </w:r>
    </w:p>
    <w:p w14:paraId="5024465E" w14:textId="77777777" w:rsidR="0070121B" w:rsidRPr="0070121B" w:rsidRDefault="00320E67" w:rsidP="0070121B">
      <w:pPr>
        <w:spacing w:after="0" w:line="240" w:lineRule="auto"/>
        <w:rPr>
          <w:rFonts w:ascii="Times New Roman" w:eastAsia="Times New Roman" w:hAnsi="Times New Roman" w:cs="Times New Roman"/>
          <w:kern w:val="0"/>
          <w14:ligatures w14:val="none"/>
        </w:rPr>
      </w:pPr>
      <w:r w:rsidRPr="00320E67">
        <w:rPr>
          <w:rFonts w:ascii="Times New Roman" w:eastAsia="Times New Roman" w:hAnsi="Times New Roman" w:cs="Times New Roman"/>
          <w:noProof/>
          <w:kern w:val="0"/>
        </w:rPr>
        <w:pict w14:anchorId="6010631A">
          <v:rect id="_x0000_i1028" alt="" style="width:468pt;height:.05pt;mso-width-percent:0;mso-height-percent:0;mso-width-percent:0;mso-height-percent:0" o:hralign="center" o:hrstd="t" o:hr="t" fillcolor="#a0a0a0" stroked="f"/>
        </w:pict>
      </w:r>
    </w:p>
    <w:p w14:paraId="68F98D8E" w14:textId="4723C411" w:rsidR="003767DE" w:rsidRDefault="003767DE" w:rsidP="003767DE">
      <w:pPr>
        <w:pStyle w:val="Heading1"/>
      </w:pPr>
      <w:r>
        <w:t>The Challenge: Bridging Academic Learning and Industry Practice</w:t>
      </w:r>
    </w:p>
    <w:p w14:paraId="587EDC02" w14:textId="33BC5348" w:rsidR="0070121B" w:rsidRDefault="003767DE" w:rsidP="003767DE">
      <w:pPr>
        <w:spacing w:before="100" w:beforeAutospacing="1" w:after="100" w:afterAutospacing="1" w:line="240" w:lineRule="auto"/>
        <w:rPr>
          <w:rFonts w:ascii="Times New Roman" w:eastAsia="Times New Roman" w:hAnsi="Times New Roman" w:cs="Times New Roman"/>
          <w:b/>
          <w:bCs/>
          <w:kern w:val="0"/>
          <w14:ligatures w14:val="none"/>
        </w:rPr>
      </w:pPr>
      <w:r>
        <w:t xml:space="preserve">Engineering institutions are expected to prepare graduates who can design, deploy, and operate modern communication and networking systems. However, the pace of technology </w:t>
      </w:r>
      <w:r>
        <w:lastRenderedPageBreak/>
        <w:t>evolution in industry is significantly faster than academic infrastructure refresh cycles. This creates a growing gap between classroom learning and real-world engineering practice.</w:t>
      </w:r>
    </w:p>
    <w:p w14:paraId="327AE406" w14:textId="77777777" w:rsidR="003767DE" w:rsidRDefault="003767DE" w:rsidP="003767DE">
      <w:pPr>
        <w:pStyle w:val="NormalWeb"/>
        <w:numPr>
          <w:ilvl w:val="0"/>
          <w:numId w:val="13"/>
        </w:numPr>
      </w:pPr>
      <w:r>
        <w:t>Laboratory infrastructure often lags behind industry by several years due to procurement cycles, funding approvals, and curriculum update timelines.</w:t>
      </w:r>
    </w:p>
    <w:p w14:paraId="1D7D11C4" w14:textId="77777777" w:rsidR="003767DE" w:rsidRDefault="003767DE" w:rsidP="003767DE">
      <w:pPr>
        <w:pStyle w:val="NormalWeb"/>
        <w:numPr>
          <w:ilvl w:val="0"/>
          <w:numId w:val="13"/>
        </w:numPr>
      </w:pPr>
      <w:r>
        <w:t>Students understand theory but have limited structured exposure to configuring real routers, radios, fiber systems, cloud platforms, and security appliances at scale.</w:t>
      </w:r>
    </w:p>
    <w:p w14:paraId="29B4EB2F" w14:textId="77777777" w:rsidR="003767DE" w:rsidRDefault="003767DE" w:rsidP="003767DE">
      <w:pPr>
        <w:pStyle w:val="NormalWeb"/>
        <w:numPr>
          <w:ilvl w:val="0"/>
          <w:numId w:val="13"/>
        </w:numPr>
      </w:pPr>
      <w:r>
        <w:t>Labs are frequently designed for demonstrations rather than continuous hands-on experimentation for every student.</w:t>
      </w:r>
    </w:p>
    <w:p w14:paraId="353E47FE" w14:textId="77777777" w:rsidR="003767DE" w:rsidRDefault="003767DE" w:rsidP="003767DE">
      <w:pPr>
        <w:pStyle w:val="NormalWeb"/>
        <w:numPr>
          <w:ilvl w:val="0"/>
          <w:numId w:val="13"/>
        </w:numPr>
      </w:pPr>
      <w:r>
        <w:t>Faculty development cycles often trail industry deployment cycles, limiting exposure to emerging platforms and operational practices.</w:t>
      </w:r>
    </w:p>
    <w:p w14:paraId="09B84C8E" w14:textId="77777777" w:rsidR="003767DE" w:rsidRDefault="003767DE" w:rsidP="003767DE">
      <w:pPr>
        <w:pStyle w:val="NormalWeb"/>
        <w:numPr>
          <w:ilvl w:val="0"/>
          <w:numId w:val="13"/>
        </w:numPr>
      </w:pPr>
      <w:r>
        <w:t>Modern accreditation frameworks increasingly evaluate experiential learning outcomes, industry alignment, and infrastructure maturity.</w:t>
      </w:r>
    </w:p>
    <w:p w14:paraId="072B6C53" w14:textId="62190FB1" w:rsidR="003767DE" w:rsidRPr="003767DE" w:rsidRDefault="003767DE" w:rsidP="003767DE">
      <w:pPr>
        <w:pStyle w:val="NormalWeb"/>
        <w:numPr>
          <w:ilvl w:val="0"/>
          <w:numId w:val="13"/>
        </w:numPr>
      </w:pPr>
      <w:r>
        <w:t>Recruiters expect graduates with hands-on skills, lab project portfolios, and familiarity with real engineering workflows.</w:t>
      </w:r>
    </w:p>
    <w:p w14:paraId="15CB0B00" w14:textId="77777777" w:rsidR="0070121B" w:rsidRPr="0070121B" w:rsidRDefault="00320E67" w:rsidP="0070121B">
      <w:pPr>
        <w:spacing w:after="0" w:line="240" w:lineRule="auto"/>
        <w:rPr>
          <w:rFonts w:ascii="Times New Roman" w:eastAsia="Times New Roman" w:hAnsi="Times New Roman" w:cs="Times New Roman"/>
          <w:kern w:val="0"/>
          <w14:ligatures w14:val="none"/>
        </w:rPr>
      </w:pPr>
      <w:r w:rsidRPr="00320E67">
        <w:rPr>
          <w:rFonts w:ascii="Times New Roman" w:eastAsia="Times New Roman" w:hAnsi="Times New Roman" w:cs="Times New Roman"/>
          <w:noProof/>
          <w:kern w:val="0"/>
        </w:rPr>
        <w:pict w14:anchorId="39C02CE0">
          <v:rect id="_x0000_i1027" alt="" style="width:468pt;height:.05pt;mso-width-percent:0;mso-height-percent:0;mso-width-percent:0;mso-height-percent:0" o:hralign="center" o:hrstd="t" o:hr="t" fillcolor="#a0a0a0" stroked="f"/>
        </w:pict>
      </w:r>
    </w:p>
    <w:p w14:paraId="0B2DCC6C" w14:textId="77777777" w:rsidR="00AE1F58" w:rsidRDefault="00AE1F58" w:rsidP="00AE1F58">
      <w:pPr>
        <w:pStyle w:val="Heading1"/>
      </w:pPr>
      <w:r>
        <w:rPr>
          <w:rStyle w:val="Strong"/>
          <w:b w:val="0"/>
          <w:bCs w:val="0"/>
        </w:rPr>
        <w:t>Where SpiroLink Takes Responsibility</w:t>
      </w:r>
    </w:p>
    <w:p w14:paraId="7707EF46" w14:textId="77777777" w:rsidR="00AE1F58" w:rsidRDefault="00AE1F58" w:rsidP="00AE1F58">
      <w:pPr>
        <w:pStyle w:val="NormalWeb"/>
      </w:pPr>
      <w:r>
        <w:t xml:space="preserve">We deliver laboratories as </w:t>
      </w:r>
      <w:r>
        <w:rPr>
          <w:rStyle w:val="Strong"/>
          <w:rFonts w:eastAsiaTheme="majorEastAsia"/>
        </w:rPr>
        <w:t>complete engineering systems—not equipment bundles</w:t>
      </w:r>
      <w:r>
        <w:t>. Our responsibility spans design, deployment, academic integration, and long-term evolution.</w:t>
      </w:r>
    </w:p>
    <w:p w14:paraId="0673386F" w14:textId="77777777" w:rsidR="00AE1F58" w:rsidRDefault="00AE1F58" w:rsidP="00AE1F58">
      <w:pPr>
        <w:pStyle w:val="NormalWeb"/>
      </w:pPr>
      <w:r>
        <w:rPr>
          <w:rStyle w:val="Strong"/>
          <w:rFonts w:eastAsiaTheme="majorEastAsia"/>
        </w:rPr>
        <w:t>End-to-End Laboratory Architecture &amp; Design</w:t>
      </w:r>
      <w:r>
        <w:br/>
        <w:t>We design lab layouts, power and networking architecture, rack planning, and student workflow models optimized for learning and scalability.</w:t>
      </w:r>
    </w:p>
    <w:p w14:paraId="0D48B24D" w14:textId="77777777" w:rsidR="00AE1F58" w:rsidRDefault="00AE1F58" w:rsidP="00AE1F58">
      <w:pPr>
        <w:pStyle w:val="NormalWeb"/>
      </w:pPr>
      <w:r>
        <w:rPr>
          <w:rStyle w:val="Strong"/>
          <w:rFonts w:eastAsiaTheme="majorEastAsia"/>
        </w:rPr>
        <w:t>Industry-Standard Equipment Sourcing</w:t>
      </w:r>
      <w:r>
        <w:br/>
        <w:t>We procure vendor-certified, industry-relevant hardware and software platforms aligned with current telecom, networking, cloud, and automation deployments.</w:t>
      </w:r>
    </w:p>
    <w:p w14:paraId="38ECDB63" w14:textId="77777777" w:rsidR="00AE1F58" w:rsidRDefault="00AE1F58" w:rsidP="00AE1F58">
      <w:pPr>
        <w:pStyle w:val="NormalWeb"/>
      </w:pPr>
      <w:r>
        <w:rPr>
          <w:rStyle w:val="Strong"/>
          <w:rFonts w:eastAsiaTheme="majorEastAsia"/>
        </w:rPr>
        <w:t>Installation, Integration, and Commissioning</w:t>
      </w:r>
      <w:r>
        <w:br/>
        <w:t>We install, configure, integrate, and validate all systems, delivering fully operational labs with acceptance testing and performance benchmarks.</w:t>
      </w:r>
    </w:p>
    <w:p w14:paraId="71A92D45" w14:textId="77777777" w:rsidR="00AE1F58" w:rsidRDefault="00AE1F58" w:rsidP="00AE1F58">
      <w:pPr>
        <w:pStyle w:val="NormalWeb"/>
      </w:pPr>
      <w:r>
        <w:rPr>
          <w:rStyle w:val="Strong"/>
          <w:rFonts w:eastAsiaTheme="majorEastAsia"/>
        </w:rPr>
        <w:t>Industry-Aligned Curriculum &amp; Experiment Design</w:t>
      </w:r>
      <w:r>
        <w:br/>
        <w:t>We develop structured experiments, course modules, and hands-on workflows mapped to real-world engineering roles and certification frameworks.</w:t>
      </w:r>
    </w:p>
    <w:p w14:paraId="023A94C6" w14:textId="77777777" w:rsidR="00AE1F58" w:rsidRDefault="00AE1F58" w:rsidP="00AE1F58">
      <w:pPr>
        <w:pStyle w:val="NormalWeb"/>
      </w:pPr>
      <w:r>
        <w:rPr>
          <w:rStyle w:val="Strong"/>
          <w:rFonts w:eastAsiaTheme="majorEastAsia"/>
        </w:rPr>
        <w:t>Faculty Enablement &amp; Certification Support</w:t>
      </w:r>
      <w:r>
        <w:br/>
        <w:t>We train faculty on equipment operation, teaching methodologies, troubleshooting, and industry best practices, with optional certification pathways.</w:t>
      </w:r>
    </w:p>
    <w:p w14:paraId="1C6A2834" w14:textId="77777777" w:rsidR="00AE1F58" w:rsidRDefault="00AE1F58" w:rsidP="00AE1F58">
      <w:pPr>
        <w:pStyle w:val="NormalWeb"/>
      </w:pPr>
      <w:r>
        <w:rPr>
          <w:rStyle w:val="Strong"/>
          <w:rFonts w:eastAsiaTheme="majorEastAsia"/>
        </w:rPr>
        <w:lastRenderedPageBreak/>
        <w:t>Student Workshops &amp; Industry Projects</w:t>
      </w:r>
      <w:r>
        <w:br/>
        <w:t>We conduct bootcamps, project mentorship programs, industry challenges, and guided capstone project frameworks to accelerate job readiness.</w:t>
      </w:r>
    </w:p>
    <w:p w14:paraId="2F95162E" w14:textId="77777777" w:rsidR="00AE1F58" w:rsidRDefault="00AE1F58" w:rsidP="00AE1F58">
      <w:pPr>
        <w:pStyle w:val="NormalWeb"/>
      </w:pPr>
      <w:r>
        <w:rPr>
          <w:rStyle w:val="Strong"/>
          <w:rFonts w:eastAsiaTheme="majorEastAsia"/>
        </w:rPr>
        <w:t>Documentation, Lab Manuals &amp; SOP Frameworks</w:t>
      </w:r>
      <w:r>
        <w:br/>
        <w:t>We deliver complete lab documentation packages including student manuals, faculty guides, safety procedures, operational SOPs, and maintenance workflows.</w:t>
      </w:r>
    </w:p>
    <w:p w14:paraId="0580B18A" w14:textId="77777777" w:rsidR="00AE1F58" w:rsidRDefault="00AE1F58" w:rsidP="00AE1F58">
      <w:pPr>
        <w:pStyle w:val="NormalWeb"/>
      </w:pPr>
      <w:r>
        <w:rPr>
          <w:rStyle w:val="Strong"/>
          <w:rFonts w:eastAsiaTheme="majorEastAsia"/>
        </w:rPr>
        <w:t>Annual Maintenance &amp; Technology Refresh Roadmaps</w:t>
      </w:r>
      <w:r>
        <w:br/>
        <w:t>We provide lifecycle planning, preventive maintenance models, and phased technology refresh strategies to keep labs aligned with industry evolution.</w:t>
      </w:r>
    </w:p>
    <w:p w14:paraId="09DDF625" w14:textId="44C818FB" w:rsidR="0070121B" w:rsidRPr="0070121B" w:rsidRDefault="0070121B" w:rsidP="0070121B">
      <w:pPr>
        <w:spacing w:after="0" w:line="240" w:lineRule="auto"/>
        <w:rPr>
          <w:rFonts w:ascii="Times New Roman" w:eastAsia="Times New Roman" w:hAnsi="Times New Roman" w:cs="Times New Roman"/>
          <w:kern w:val="0"/>
          <w14:ligatures w14:val="none"/>
        </w:rPr>
      </w:pPr>
    </w:p>
    <w:p w14:paraId="4BE62C31"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Core Industry-Focused Lab Domains</w:t>
      </w:r>
    </w:p>
    <w:p w14:paraId="583A35F5"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We design modular and scalable labs aligned with real industry verticals:</w:t>
      </w:r>
    </w:p>
    <w:p w14:paraId="4C34CFE5"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Microwave &amp; Wireless Backhaul Networks</w:t>
      </w:r>
    </w:p>
    <w:p w14:paraId="21186081"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Satellite &amp; Remote Connectivity Systems</w:t>
      </w:r>
    </w:p>
    <w:p w14:paraId="3F3B0650"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Advanced WiFi 6/6E/7 Wireless Engineering</w:t>
      </w:r>
    </w:p>
    <w:p w14:paraId="566DEF8C"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Fiber Optics, GPON &amp; XGS-PON Systems</w:t>
      </w:r>
    </w:p>
    <w:p w14:paraId="528BA872"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GIS-Based Telecom Network Planning</w:t>
      </w:r>
    </w:p>
    <w:p w14:paraId="52CA0E68"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Private 5G &amp; Edge Computing Networks</w:t>
      </w:r>
    </w:p>
    <w:p w14:paraId="2C978253"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Software-Defined Networking &amp; Network Automation</w:t>
      </w:r>
    </w:p>
    <w:p w14:paraId="4B6F7C20"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Network Security &amp; SOC Training Labs</w:t>
      </w:r>
    </w:p>
    <w:p w14:paraId="0EF9A687"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Cloud Infrastructure &amp; Hybrid Networking</w:t>
      </w:r>
    </w:p>
    <w:p w14:paraId="1A7646C9"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Industrial Automation &amp; IIoT Systems</w:t>
      </w:r>
    </w:p>
    <w:p w14:paraId="46865A45"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Smart City &amp; Public Infrastructure Networks</w:t>
      </w:r>
    </w:p>
    <w:p w14:paraId="2B41ED52" w14:textId="77777777" w:rsidR="0070121B" w:rsidRPr="0070121B" w:rsidRDefault="0070121B" w:rsidP="00701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Broadcast, Streaming &amp; Media Networks</w:t>
      </w:r>
    </w:p>
    <w:p w14:paraId="24687BD6" w14:textId="77777777" w:rsidR="0070121B" w:rsidRPr="0070121B" w:rsidRDefault="00320E67" w:rsidP="0070121B">
      <w:pPr>
        <w:spacing w:after="0" w:line="240" w:lineRule="auto"/>
        <w:rPr>
          <w:rFonts w:ascii="Times New Roman" w:eastAsia="Times New Roman" w:hAnsi="Times New Roman" w:cs="Times New Roman"/>
          <w:kern w:val="0"/>
          <w14:ligatures w14:val="none"/>
        </w:rPr>
      </w:pPr>
      <w:r w:rsidRPr="00320E67">
        <w:rPr>
          <w:rFonts w:ascii="Times New Roman" w:eastAsia="Times New Roman" w:hAnsi="Times New Roman" w:cs="Times New Roman"/>
          <w:noProof/>
          <w:kern w:val="0"/>
        </w:rPr>
        <w:pict w14:anchorId="4D837EEE">
          <v:rect id="_x0000_i1026" alt="" style="width:468pt;height:.05pt;mso-width-percent:0;mso-height-percent:0;mso-width-percent:0;mso-height-percent:0" o:hralign="center" o:hrstd="t" o:hr="t" fillcolor="#a0a0a0" stroked="f"/>
        </w:pict>
      </w:r>
    </w:p>
    <w:p w14:paraId="57637651" w14:textId="77777777" w:rsidR="0070121B" w:rsidRPr="0070121B" w:rsidRDefault="0070121B" w:rsidP="007012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21B">
        <w:rPr>
          <w:rFonts w:ascii="Times New Roman" w:eastAsia="Times New Roman" w:hAnsi="Times New Roman" w:cs="Times New Roman"/>
          <w:b/>
          <w:bCs/>
          <w:kern w:val="36"/>
          <w:sz w:val="48"/>
          <w:szCs w:val="48"/>
          <w14:ligatures w14:val="none"/>
        </w:rPr>
        <w:t>THE SPIROLINK ADVANTAGE (LABS)</w:t>
      </w:r>
    </w:p>
    <w:p w14:paraId="1DBED666"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Industry-Embedded Engineering Education</w:t>
      </w:r>
    </w:p>
    <w:p w14:paraId="3D33B9C8"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 xml:space="preserve">We design labs based on </w:t>
      </w:r>
      <w:r w:rsidRPr="0070121B">
        <w:rPr>
          <w:rFonts w:ascii="Times New Roman" w:eastAsia="Times New Roman" w:hAnsi="Times New Roman" w:cs="Times New Roman"/>
          <w:b/>
          <w:bCs/>
          <w:kern w:val="0"/>
          <w14:ligatures w14:val="none"/>
        </w:rPr>
        <w:t>real operator, vendor, and enterprise deployments</w:t>
      </w:r>
      <w:r w:rsidRPr="0070121B">
        <w:rPr>
          <w:rFonts w:ascii="Times New Roman" w:eastAsia="Times New Roman" w:hAnsi="Times New Roman" w:cs="Times New Roman"/>
          <w:kern w:val="0"/>
          <w14:ligatures w14:val="none"/>
        </w:rPr>
        <w:t>, not textbooks.</w:t>
      </w:r>
    </w:p>
    <w:p w14:paraId="046B0660"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Curriculum + Equipment + Faculty Enablement</w:t>
      </w:r>
    </w:p>
    <w:p w14:paraId="18E046C0"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Most vendors sell hardware.</w:t>
      </w:r>
      <w:r w:rsidRPr="0070121B">
        <w:rPr>
          <w:rFonts w:ascii="Times New Roman" w:eastAsia="Times New Roman" w:hAnsi="Times New Roman" w:cs="Times New Roman"/>
          <w:kern w:val="0"/>
          <w14:ligatures w14:val="none"/>
        </w:rPr>
        <w:br/>
      </w:r>
      <w:r w:rsidRPr="0070121B">
        <w:rPr>
          <w:rFonts w:ascii="Times New Roman" w:eastAsia="Times New Roman" w:hAnsi="Times New Roman" w:cs="Times New Roman"/>
          <w:b/>
          <w:bCs/>
          <w:kern w:val="0"/>
          <w14:ligatures w14:val="none"/>
        </w:rPr>
        <w:t>We deliver learning outcomes, documentation, training, and industry readiness.</w:t>
      </w:r>
    </w:p>
    <w:p w14:paraId="6F06FE3A"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lastRenderedPageBreak/>
        <w:t>Vendor-Neutral Architecture</w:t>
      </w:r>
    </w:p>
    <w:p w14:paraId="7A53E609"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 xml:space="preserve">We recommend technology based on </w:t>
      </w:r>
      <w:r w:rsidRPr="0070121B">
        <w:rPr>
          <w:rFonts w:ascii="Times New Roman" w:eastAsia="Times New Roman" w:hAnsi="Times New Roman" w:cs="Times New Roman"/>
          <w:b/>
          <w:bCs/>
          <w:kern w:val="0"/>
          <w14:ligatures w14:val="none"/>
        </w:rPr>
        <w:t>educational outcomes and budget</w:t>
      </w:r>
      <w:r w:rsidRPr="0070121B">
        <w:rPr>
          <w:rFonts w:ascii="Times New Roman" w:eastAsia="Times New Roman" w:hAnsi="Times New Roman" w:cs="Times New Roman"/>
          <w:kern w:val="0"/>
          <w14:ligatures w14:val="none"/>
        </w:rPr>
        <w:t>, not vendor incentives.</w:t>
      </w:r>
    </w:p>
    <w:p w14:paraId="7FACE7EB"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Accreditation-Ready Infrastructure</w:t>
      </w:r>
    </w:p>
    <w:p w14:paraId="274A1DEE"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 xml:space="preserve">Designed to meet </w:t>
      </w:r>
      <w:r w:rsidRPr="0070121B">
        <w:rPr>
          <w:rFonts w:ascii="Times New Roman" w:eastAsia="Times New Roman" w:hAnsi="Times New Roman" w:cs="Times New Roman"/>
          <w:b/>
          <w:bCs/>
          <w:kern w:val="0"/>
          <w14:ligatures w14:val="none"/>
        </w:rPr>
        <w:t>NBA, NAAC, ABET, NIRF, and global ranking criteria</w:t>
      </w:r>
      <w:r w:rsidRPr="0070121B">
        <w:rPr>
          <w:rFonts w:ascii="Times New Roman" w:eastAsia="Times New Roman" w:hAnsi="Times New Roman" w:cs="Times New Roman"/>
          <w:kern w:val="0"/>
          <w14:ligatures w14:val="none"/>
        </w:rPr>
        <w:t>.</w:t>
      </w:r>
    </w:p>
    <w:p w14:paraId="616AFB2A"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Placement-Oriented Learning</w:t>
      </w:r>
    </w:p>
    <w:p w14:paraId="603273F1"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 xml:space="preserve">Experiments mapped directly to </w:t>
      </w:r>
      <w:r w:rsidRPr="0070121B">
        <w:rPr>
          <w:rFonts w:ascii="Times New Roman" w:eastAsia="Times New Roman" w:hAnsi="Times New Roman" w:cs="Times New Roman"/>
          <w:b/>
          <w:bCs/>
          <w:kern w:val="0"/>
          <w14:ligatures w14:val="none"/>
        </w:rPr>
        <w:t>telecom, networking, cloud, cybersecurity, and automation job roles.</w:t>
      </w:r>
    </w:p>
    <w:p w14:paraId="0A96BDCB" w14:textId="45AC37B0" w:rsidR="0070121B" w:rsidRPr="0070121B" w:rsidRDefault="0070121B" w:rsidP="0070121B">
      <w:pPr>
        <w:spacing w:after="0" w:line="240" w:lineRule="auto"/>
        <w:rPr>
          <w:rFonts w:ascii="Times New Roman" w:eastAsia="Times New Roman" w:hAnsi="Times New Roman" w:cs="Times New Roman"/>
          <w:kern w:val="0"/>
          <w14:ligatures w14:val="none"/>
        </w:rPr>
      </w:pPr>
    </w:p>
    <w:p w14:paraId="53FBD509" w14:textId="72D08C88" w:rsidR="0070121B" w:rsidRPr="0070121B" w:rsidRDefault="00AE1F58" w:rsidP="007012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Design Approach</w:t>
      </w:r>
    </w:p>
    <w:p w14:paraId="7F288E43"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Phase 1 – Academic &amp; Infrastructure Assessment</w:t>
      </w:r>
    </w:p>
    <w:p w14:paraId="51E691EE" w14:textId="77777777" w:rsidR="0070121B" w:rsidRPr="0070121B" w:rsidRDefault="0070121B" w:rsidP="007012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Program structure and enrollment analysis</w:t>
      </w:r>
    </w:p>
    <w:p w14:paraId="15793F64" w14:textId="77777777" w:rsidR="0070121B" w:rsidRPr="0070121B" w:rsidRDefault="0070121B" w:rsidP="007012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Existing lab and infrastructure evaluation</w:t>
      </w:r>
    </w:p>
    <w:p w14:paraId="67819054" w14:textId="77777777" w:rsidR="0070121B" w:rsidRPr="0070121B" w:rsidRDefault="0070121B" w:rsidP="007012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Accreditation and placement objectives</w:t>
      </w:r>
    </w:p>
    <w:p w14:paraId="708ADEC6" w14:textId="77777777" w:rsidR="0070121B" w:rsidRPr="0070121B" w:rsidRDefault="0070121B" w:rsidP="007012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Budget and roadmap alignment</w:t>
      </w:r>
    </w:p>
    <w:p w14:paraId="1A91403A"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Phase 2 – Lab Architecture &amp; Curriculum Design</w:t>
      </w:r>
    </w:p>
    <w:p w14:paraId="5159B2EE" w14:textId="77777777" w:rsidR="0070121B" w:rsidRPr="0070121B" w:rsidRDefault="0070121B" w:rsidP="007012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Lab topology and floor layout</w:t>
      </w:r>
    </w:p>
    <w:p w14:paraId="793247B3" w14:textId="77777777" w:rsidR="0070121B" w:rsidRPr="0070121B" w:rsidRDefault="0070121B" w:rsidP="007012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Equipment specifications and BOM</w:t>
      </w:r>
    </w:p>
    <w:p w14:paraId="18F585CE" w14:textId="77777777" w:rsidR="0070121B" w:rsidRPr="0070121B" w:rsidRDefault="0070121B" w:rsidP="007012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Experiment frameworks and learning outcomes</w:t>
      </w:r>
    </w:p>
    <w:p w14:paraId="1E1AF958" w14:textId="77777777" w:rsidR="0070121B" w:rsidRPr="0070121B" w:rsidRDefault="0070121B" w:rsidP="007012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Phased deployment roadmap</w:t>
      </w:r>
    </w:p>
    <w:p w14:paraId="0BDC5FB7"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Phase 3 – Deployment &amp; Commissioning</w:t>
      </w:r>
    </w:p>
    <w:p w14:paraId="2050B28B" w14:textId="77777777" w:rsidR="0070121B" w:rsidRPr="0070121B" w:rsidRDefault="0070121B" w:rsidP="007012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Equipment procurement and installation</w:t>
      </w:r>
    </w:p>
    <w:p w14:paraId="52DE47C6" w14:textId="77777777" w:rsidR="0070121B" w:rsidRPr="0070121B" w:rsidRDefault="0070121B" w:rsidP="007012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Network integration and testing</w:t>
      </w:r>
    </w:p>
    <w:p w14:paraId="3474697F" w14:textId="77777777" w:rsidR="0070121B" w:rsidRPr="0070121B" w:rsidRDefault="0070121B" w:rsidP="007012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Safety, power, and cooling compliance</w:t>
      </w:r>
    </w:p>
    <w:p w14:paraId="70FFFC8F" w14:textId="77777777" w:rsidR="0070121B" w:rsidRPr="0070121B" w:rsidRDefault="0070121B" w:rsidP="007012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Documentation and acceptance testing</w:t>
      </w:r>
    </w:p>
    <w:p w14:paraId="2788E878"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Phase 4 – Faculty Enablement</w:t>
      </w:r>
    </w:p>
    <w:p w14:paraId="4A4B1A6F" w14:textId="77777777" w:rsidR="0070121B" w:rsidRPr="0070121B" w:rsidRDefault="0070121B" w:rsidP="007012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Intensive hands-on faculty training</w:t>
      </w:r>
    </w:p>
    <w:p w14:paraId="3E42022B" w14:textId="77777777" w:rsidR="0070121B" w:rsidRPr="0070121B" w:rsidRDefault="0070121B" w:rsidP="007012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Teaching methodology frameworks</w:t>
      </w:r>
    </w:p>
    <w:p w14:paraId="055A1067" w14:textId="77777777" w:rsidR="0070121B" w:rsidRPr="0070121B" w:rsidRDefault="0070121B" w:rsidP="007012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lastRenderedPageBreak/>
        <w:t>Certification support</w:t>
      </w:r>
    </w:p>
    <w:p w14:paraId="6B33FEA8" w14:textId="77777777" w:rsidR="0070121B" w:rsidRPr="0070121B" w:rsidRDefault="0070121B" w:rsidP="007012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Continuous knowledge updates</w:t>
      </w:r>
    </w:p>
    <w:p w14:paraId="44BD588F"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Phase 5 – Student Industry Exposure</w:t>
      </w:r>
    </w:p>
    <w:p w14:paraId="2EFB4496" w14:textId="77777777" w:rsidR="0070121B" w:rsidRPr="0070121B" w:rsidRDefault="0070121B" w:rsidP="007012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Workshops and bootcamps</w:t>
      </w:r>
    </w:p>
    <w:p w14:paraId="7882F1C6" w14:textId="77777777" w:rsidR="0070121B" w:rsidRPr="0070121B" w:rsidRDefault="0070121B" w:rsidP="007012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Industry project mentorship</w:t>
      </w:r>
    </w:p>
    <w:p w14:paraId="52823D7A" w14:textId="77777777" w:rsidR="0070121B" w:rsidRPr="0070121B" w:rsidRDefault="0070121B" w:rsidP="007012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Internship and placement preparation</w:t>
      </w:r>
    </w:p>
    <w:p w14:paraId="697D5798"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Phase 6 – Ongoing Support</w:t>
      </w:r>
    </w:p>
    <w:p w14:paraId="0896601A" w14:textId="77777777" w:rsidR="0070121B" w:rsidRPr="0070121B" w:rsidRDefault="0070121B" w:rsidP="007012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Preventive maintenance</w:t>
      </w:r>
    </w:p>
    <w:p w14:paraId="0BF17EEB" w14:textId="77777777" w:rsidR="0070121B" w:rsidRPr="0070121B" w:rsidRDefault="0070121B" w:rsidP="007012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Technology refresh planning</w:t>
      </w:r>
    </w:p>
    <w:p w14:paraId="4A9EBD0F" w14:textId="77777777" w:rsidR="0070121B" w:rsidRPr="0070121B" w:rsidRDefault="0070121B" w:rsidP="007012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Utilization analytics and learning outcome tracking</w:t>
      </w:r>
    </w:p>
    <w:p w14:paraId="46C7D16C" w14:textId="77777777" w:rsidR="0070121B" w:rsidRPr="0070121B" w:rsidRDefault="00320E67" w:rsidP="0070121B">
      <w:pPr>
        <w:spacing w:after="0" w:line="240" w:lineRule="auto"/>
        <w:rPr>
          <w:rFonts w:ascii="Times New Roman" w:eastAsia="Times New Roman" w:hAnsi="Times New Roman" w:cs="Times New Roman"/>
          <w:kern w:val="0"/>
          <w14:ligatures w14:val="none"/>
        </w:rPr>
      </w:pPr>
      <w:r w:rsidRPr="00320E67">
        <w:rPr>
          <w:rFonts w:ascii="Times New Roman" w:eastAsia="Times New Roman" w:hAnsi="Times New Roman" w:cs="Times New Roman"/>
          <w:noProof/>
          <w:kern w:val="0"/>
        </w:rPr>
        <w:pict w14:anchorId="3671E02B">
          <v:rect id="_x0000_i1025" alt="" style="width:468pt;height:.05pt;mso-width-percent:0;mso-height-percent:0;mso-width-percent:0;mso-height-percent:0" o:hralign="center" o:hrstd="t" o:hr="t" fillcolor="#a0a0a0" stroked="f"/>
        </w:pict>
      </w:r>
    </w:p>
    <w:p w14:paraId="7ABA086D" w14:textId="53AF1EA8" w:rsidR="0070121B" w:rsidRPr="0070121B" w:rsidRDefault="00AE1F58" w:rsidP="00AE1F58">
      <w:pPr>
        <w:pStyle w:val="Heading1"/>
        <w:rPr>
          <w:rFonts w:eastAsia="Times New Roman"/>
        </w:rPr>
      </w:pPr>
      <w:r>
        <w:rPr>
          <w:rFonts w:eastAsia="Times New Roman"/>
        </w:rPr>
        <w:t>CTA</w:t>
      </w:r>
    </w:p>
    <w:p w14:paraId="4DE248E4" w14:textId="77777777" w:rsidR="0070121B" w:rsidRPr="0070121B" w:rsidRDefault="0070121B" w:rsidP="00701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121B">
        <w:rPr>
          <w:rFonts w:ascii="Times New Roman" w:eastAsia="Times New Roman" w:hAnsi="Times New Roman" w:cs="Times New Roman"/>
          <w:b/>
          <w:bCs/>
          <w:kern w:val="0"/>
          <w:sz w:val="36"/>
          <w:szCs w:val="36"/>
          <w14:ligatures w14:val="none"/>
        </w:rPr>
        <w:t>Build Industry-Ready Engineers, Not Just Graduates</w:t>
      </w:r>
    </w:p>
    <w:p w14:paraId="7D132013"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If your institution wants to improve placements, accreditation scores, and research output, we can design a practical lab roadmap aligned to your budget and academic goals.</w:t>
      </w:r>
    </w:p>
    <w:p w14:paraId="61C28385"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b/>
          <w:bCs/>
          <w:kern w:val="0"/>
          <w14:ligatures w14:val="none"/>
        </w:rPr>
        <w:t>We start with:</w:t>
      </w:r>
    </w:p>
    <w:p w14:paraId="7E3C6080" w14:textId="77777777" w:rsidR="0070121B" w:rsidRPr="0070121B" w:rsidRDefault="0070121B" w:rsidP="007012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Academic program mapping</w:t>
      </w:r>
    </w:p>
    <w:p w14:paraId="6D4F10DF" w14:textId="77777777" w:rsidR="0070121B" w:rsidRPr="0070121B" w:rsidRDefault="0070121B" w:rsidP="007012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Infrastructure feasibility assessment</w:t>
      </w:r>
    </w:p>
    <w:p w14:paraId="0D473D51" w14:textId="77777777" w:rsidR="0070121B" w:rsidRPr="0070121B" w:rsidRDefault="0070121B" w:rsidP="007012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Phased investment roadmap</w:t>
      </w:r>
    </w:p>
    <w:p w14:paraId="0107FB1C" w14:textId="77777777" w:rsidR="0070121B" w:rsidRPr="0070121B" w:rsidRDefault="0070121B" w:rsidP="007012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Industry skill alignment plan</w:t>
      </w:r>
    </w:p>
    <w:p w14:paraId="0059C31A" w14:textId="5792FE0E" w:rsidR="00AE1F58" w:rsidRPr="00AE1F58" w:rsidRDefault="0070121B" w:rsidP="00AE1F58">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b/>
          <w:bCs/>
          <w:kern w:val="0"/>
          <w14:ligatures w14:val="none"/>
        </w:rPr>
        <w:t>[Request Free Consultation]</w:t>
      </w:r>
      <w:r w:rsidRPr="0070121B">
        <w:rPr>
          <w:rFonts w:ascii="Times New Roman" w:eastAsia="Times New Roman" w:hAnsi="Times New Roman" w:cs="Times New Roman"/>
          <w:b/>
          <w:bCs/>
          <w:kern w:val="0"/>
          <w14:ligatures w14:val="none"/>
        </w:rPr>
        <w:t> </w:t>
      </w:r>
      <w:r w:rsidRPr="0070121B">
        <w:rPr>
          <w:rFonts w:ascii="Times New Roman" w:eastAsia="Times New Roman" w:hAnsi="Times New Roman" w:cs="Times New Roman"/>
          <w:b/>
          <w:bCs/>
          <w:kern w:val="0"/>
          <w14:ligatures w14:val="none"/>
        </w:rPr>
        <w:t>[Download Lab Catalog]</w:t>
      </w:r>
      <w:r w:rsidRPr="0070121B">
        <w:rPr>
          <w:rFonts w:ascii="Times New Roman" w:eastAsia="Times New Roman" w:hAnsi="Times New Roman" w:cs="Times New Roman"/>
          <w:b/>
          <w:bCs/>
          <w:kern w:val="0"/>
          <w14:ligatures w14:val="none"/>
        </w:rPr>
        <w:t> </w:t>
      </w:r>
      <w:r w:rsidRPr="0070121B">
        <w:rPr>
          <w:rFonts w:ascii="Times New Roman" w:eastAsia="Times New Roman" w:hAnsi="Times New Roman" w:cs="Times New Roman"/>
          <w:b/>
          <w:bCs/>
          <w:kern w:val="0"/>
          <w14:ligatures w14:val="none"/>
        </w:rPr>
        <w:t>[Schedule Campus Assessment]</w:t>
      </w:r>
    </w:p>
    <w:p w14:paraId="35328E46" w14:textId="0E9E6F7A" w:rsidR="00AE1F58" w:rsidRPr="00AE1F58" w:rsidRDefault="00AE1F58" w:rsidP="00AE1F58">
      <w:pPr>
        <w:pStyle w:val="Heading1"/>
        <w:rPr>
          <w:rFonts w:eastAsia="Times New Roman"/>
        </w:rPr>
      </w:pPr>
      <w:r>
        <w:rPr>
          <w:rFonts w:eastAsia="Times New Roman"/>
        </w:rPr>
        <w:t>FAQ</w:t>
      </w:r>
    </w:p>
    <w:p w14:paraId="21B58FDC" w14:textId="77777777" w:rsidR="0070121B" w:rsidRPr="0070121B" w:rsidRDefault="0070121B" w:rsidP="007012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21B">
        <w:rPr>
          <w:rFonts w:ascii="Times New Roman" w:eastAsia="Times New Roman" w:hAnsi="Times New Roman" w:cs="Times New Roman"/>
          <w:b/>
          <w:bCs/>
          <w:kern w:val="0"/>
          <w:sz w:val="27"/>
          <w:szCs w:val="27"/>
          <w14:ligatures w14:val="none"/>
        </w:rPr>
        <w:t>“Do we need to deploy everything at once?”</w:t>
      </w:r>
    </w:p>
    <w:p w14:paraId="4D5CB600"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No. Labs are designed modularly. Institutions can start with core labs and expand in phases.</w:t>
      </w:r>
    </w:p>
    <w:p w14:paraId="78BEF7FC" w14:textId="77777777" w:rsidR="0070121B" w:rsidRPr="0070121B" w:rsidRDefault="0070121B" w:rsidP="007012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21B">
        <w:rPr>
          <w:rFonts w:ascii="Times New Roman" w:eastAsia="Times New Roman" w:hAnsi="Times New Roman" w:cs="Times New Roman"/>
          <w:b/>
          <w:bCs/>
          <w:kern w:val="0"/>
          <w:sz w:val="27"/>
          <w:szCs w:val="27"/>
          <w14:ligatures w14:val="none"/>
        </w:rPr>
        <w:t>“Will faculty be able to teach these advanced labs?”</w:t>
      </w:r>
    </w:p>
    <w:p w14:paraId="513C8485"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Yes. Faculty training is a core part of our engagement, with ongoing technical support.</w:t>
      </w:r>
    </w:p>
    <w:p w14:paraId="19B4B377" w14:textId="77777777" w:rsidR="0070121B" w:rsidRPr="0070121B" w:rsidRDefault="0070121B" w:rsidP="007012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21B">
        <w:rPr>
          <w:rFonts w:ascii="Times New Roman" w:eastAsia="Times New Roman" w:hAnsi="Times New Roman" w:cs="Times New Roman"/>
          <w:b/>
          <w:bCs/>
          <w:kern w:val="0"/>
          <w:sz w:val="27"/>
          <w:szCs w:val="27"/>
          <w14:ligatures w14:val="none"/>
        </w:rPr>
        <w:lastRenderedPageBreak/>
        <w:t>“How do we handle technology obsolescence?”</w:t>
      </w:r>
    </w:p>
    <w:p w14:paraId="4455AB34"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We provide lifecycle planning and modular upgrade architecture to avoid full lab replacement.</w:t>
      </w:r>
    </w:p>
    <w:p w14:paraId="2595D4F7" w14:textId="77777777" w:rsidR="0070121B" w:rsidRPr="0070121B" w:rsidRDefault="0070121B" w:rsidP="007012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21B">
        <w:rPr>
          <w:rFonts w:ascii="Times New Roman" w:eastAsia="Times New Roman" w:hAnsi="Times New Roman" w:cs="Times New Roman"/>
          <w:b/>
          <w:bCs/>
          <w:kern w:val="0"/>
          <w:sz w:val="27"/>
          <w:szCs w:val="27"/>
          <w14:ligatures w14:val="none"/>
        </w:rPr>
        <w:t>“Do you provide curriculum and lab manuals?”</w:t>
      </w:r>
    </w:p>
    <w:p w14:paraId="0017D0DD"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Yes. Full syllabus, experiments, manuals, and assessment frameworks are included.</w:t>
      </w:r>
    </w:p>
    <w:p w14:paraId="2CB46C8D" w14:textId="77777777" w:rsidR="0070121B" w:rsidRPr="0070121B" w:rsidRDefault="0070121B" w:rsidP="007012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21B">
        <w:rPr>
          <w:rFonts w:ascii="Times New Roman" w:eastAsia="Times New Roman" w:hAnsi="Times New Roman" w:cs="Times New Roman"/>
          <w:b/>
          <w:bCs/>
          <w:kern w:val="0"/>
          <w:sz w:val="27"/>
          <w:szCs w:val="27"/>
          <w14:ligatures w14:val="none"/>
        </w:rPr>
        <w:t>“Can labs support research and PhD programs?”</w:t>
      </w:r>
    </w:p>
    <w:p w14:paraId="20B534E4"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Yes. We design research-grade labs with SDRs, emulators, HPC platforms, and testbeds.</w:t>
      </w:r>
    </w:p>
    <w:p w14:paraId="62BAE3DF" w14:textId="77777777" w:rsidR="0070121B" w:rsidRPr="0070121B" w:rsidRDefault="0070121B" w:rsidP="007012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21B">
        <w:rPr>
          <w:rFonts w:ascii="Times New Roman" w:eastAsia="Times New Roman" w:hAnsi="Times New Roman" w:cs="Times New Roman"/>
          <w:b/>
          <w:bCs/>
          <w:kern w:val="0"/>
          <w:sz w:val="27"/>
          <w:szCs w:val="27"/>
          <w14:ligatures w14:val="none"/>
        </w:rPr>
        <w:t>“Do you help with government grants?”</w:t>
      </w:r>
    </w:p>
    <w:p w14:paraId="36C4C212"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Yes. We provide technical documentation and proposal support for TEQIP, MODROBS, NSF, and state grants.</w:t>
      </w:r>
    </w:p>
    <w:p w14:paraId="35560122" w14:textId="77777777" w:rsidR="0070121B" w:rsidRPr="0070121B" w:rsidRDefault="0070121B" w:rsidP="007012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21B">
        <w:rPr>
          <w:rFonts w:ascii="Times New Roman" w:eastAsia="Times New Roman" w:hAnsi="Times New Roman" w:cs="Times New Roman"/>
          <w:b/>
          <w:bCs/>
          <w:kern w:val="0"/>
          <w:sz w:val="27"/>
          <w:szCs w:val="27"/>
          <w14:ligatures w14:val="none"/>
        </w:rPr>
        <w:t>“What is the typical deployment timeline?”</w:t>
      </w:r>
    </w:p>
    <w:p w14:paraId="3F7651F7" w14:textId="77777777" w:rsidR="0070121B" w:rsidRPr="0070121B" w:rsidRDefault="0070121B" w:rsidP="0070121B">
      <w:pPr>
        <w:spacing w:before="100" w:beforeAutospacing="1" w:after="100" w:afterAutospacing="1" w:line="240" w:lineRule="auto"/>
        <w:rPr>
          <w:rFonts w:ascii="Times New Roman" w:eastAsia="Times New Roman" w:hAnsi="Times New Roman" w:cs="Times New Roman"/>
          <w:kern w:val="0"/>
          <w14:ligatures w14:val="none"/>
        </w:rPr>
      </w:pPr>
      <w:r w:rsidRPr="0070121B">
        <w:rPr>
          <w:rFonts w:ascii="Times New Roman" w:eastAsia="Times New Roman" w:hAnsi="Times New Roman" w:cs="Times New Roman"/>
          <w:kern w:val="0"/>
          <w14:ligatures w14:val="none"/>
        </w:rPr>
        <w:t>3–6 months depending on scale, with phased acceleration options.</w:t>
      </w:r>
    </w:p>
    <w:p w14:paraId="3C6C7AA4" w14:textId="77777777" w:rsidR="00EA6B79" w:rsidRDefault="00EA6B79"/>
    <w:sectPr w:rsidR="00EA6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56CDF"/>
    <w:multiLevelType w:val="hybridMultilevel"/>
    <w:tmpl w:val="C9A41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B2C79"/>
    <w:multiLevelType w:val="multilevel"/>
    <w:tmpl w:val="BB8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E064C"/>
    <w:multiLevelType w:val="multilevel"/>
    <w:tmpl w:val="7C2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F2B9B"/>
    <w:multiLevelType w:val="multilevel"/>
    <w:tmpl w:val="277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02782"/>
    <w:multiLevelType w:val="multilevel"/>
    <w:tmpl w:val="C9C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B1DC0"/>
    <w:multiLevelType w:val="multilevel"/>
    <w:tmpl w:val="0FD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76D46"/>
    <w:multiLevelType w:val="hybridMultilevel"/>
    <w:tmpl w:val="AD8C3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0B69AA"/>
    <w:multiLevelType w:val="multilevel"/>
    <w:tmpl w:val="EDA0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363FA"/>
    <w:multiLevelType w:val="multilevel"/>
    <w:tmpl w:val="772E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65E32"/>
    <w:multiLevelType w:val="multilevel"/>
    <w:tmpl w:val="BA8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378DB"/>
    <w:multiLevelType w:val="multilevel"/>
    <w:tmpl w:val="8BDE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73502"/>
    <w:multiLevelType w:val="multilevel"/>
    <w:tmpl w:val="B72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C366C"/>
    <w:multiLevelType w:val="multilevel"/>
    <w:tmpl w:val="1DB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862760">
    <w:abstractNumId w:val="2"/>
  </w:num>
  <w:num w:numId="2" w16cid:durableId="1741368360">
    <w:abstractNumId w:val="1"/>
  </w:num>
  <w:num w:numId="3" w16cid:durableId="1182475318">
    <w:abstractNumId w:val="4"/>
  </w:num>
  <w:num w:numId="4" w16cid:durableId="444620030">
    <w:abstractNumId w:val="10"/>
  </w:num>
  <w:num w:numId="5" w16cid:durableId="1933004839">
    <w:abstractNumId w:val="8"/>
  </w:num>
  <w:num w:numId="6" w16cid:durableId="1725104345">
    <w:abstractNumId w:val="3"/>
  </w:num>
  <w:num w:numId="7" w16cid:durableId="559486706">
    <w:abstractNumId w:val="5"/>
  </w:num>
  <w:num w:numId="8" w16cid:durableId="1942375390">
    <w:abstractNumId w:val="12"/>
  </w:num>
  <w:num w:numId="9" w16cid:durableId="603000997">
    <w:abstractNumId w:val="11"/>
  </w:num>
  <w:num w:numId="10" w16cid:durableId="2060586606">
    <w:abstractNumId w:val="7"/>
  </w:num>
  <w:num w:numId="11" w16cid:durableId="1860970622">
    <w:abstractNumId w:val="9"/>
  </w:num>
  <w:num w:numId="12" w16cid:durableId="383915179">
    <w:abstractNumId w:val="0"/>
  </w:num>
  <w:num w:numId="13" w16cid:durableId="11381831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21B"/>
    <w:rsid w:val="00090C5E"/>
    <w:rsid w:val="00320E67"/>
    <w:rsid w:val="003767DE"/>
    <w:rsid w:val="00532C2B"/>
    <w:rsid w:val="0070121B"/>
    <w:rsid w:val="00A113EC"/>
    <w:rsid w:val="00A12890"/>
    <w:rsid w:val="00AE1F58"/>
    <w:rsid w:val="00EA6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B04F"/>
  <w15:chartTrackingRefBased/>
  <w15:docId w15:val="{A600688A-3139-F949-B85B-E54DF1748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1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1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21B"/>
    <w:rPr>
      <w:rFonts w:eastAsiaTheme="majorEastAsia" w:cstheme="majorBidi"/>
      <w:color w:val="272727" w:themeColor="text1" w:themeTint="D8"/>
    </w:rPr>
  </w:style>
  <w:style w:type="paragraph" w:styleId="Title">
    <w:name w:val="Title"/>
    <w:basedOn w:val="Normal"/>
    <w:next w:val="Normal"/>
    <w:link w:val="TitleChar"/>
    <w:uiPriority w:val="10"/>
    <w:qFormat/>
    <w:rsid w:val="00701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21B"/>
    <w:pPr>
      <w:spacing w:before="160"/>
      <w:jc w:val="center"/>
    </w:pPr>
    <w:rPr>
      <w:i/>
      <w:iCs/>
      <w:color w:val="404040" w:themeColor="text1" w:themeTint="BF"/>
    </w:rPr>
  </w:style>
  <w:style w:type="character" w:customStyle="1" w:styleId="QuoteChar">
    <w:name w:val="Quote Char"/>
    <w:basedOn w:val="DefaultParagraphFont"/>
    <w:link w:val="Quote"/>
    <w:uiPriority w:val="29"/>
    <w:rsid w:val="0070121B"/>
    <w:rPr>
      <w:i/>
      <w:iCs/>
      <w:color w:val="404040" w:themeColor="text1" w:themeTint="BF"/>
    </w:rPr>
  </w:style>
  <w:style w:type="paragraph" w:styleId="ListParagraph">
    <w:name w:val="List Paragraph"/>
    <w:basedOn w:val="Normal"/>
    <w:uiPriority w:val="34"/>
    <w:qFormat/>
    <w:rsid w:val="0070121B"/>
    <w:pPr>
      <w:ind w:left="720"/>
      <w:contextualSpacing/>
    </w:pPr>
  </w:style>
  <w:style w:type="character" w:styleId="IntenseEmphasis">
    <w:name w:val="Intense Emphasis"/>
    <w:basedOn w:val="DefaultParagraphFont"/>
    <w:uiPriority w:val="21"/>
    <w:qFormat/>
    <w:rsid w:val="0070121B"/>
    <w:rPr>
      <w:i/>
      <w:iCs/>
      <w:color w:val="0F4761" w:themeColor="accent1" w:themeShade="BF"/>
    </w:rPr>
  </w:style>
  <w:style w:type="paragraph" w:styleId="IntenseQuote">
    <w:name w:val="Intense Quote"/>
    <w:basedOn w:val="Normal"/>
    <w:next w:val="Normal"/>
    <w:link w:val="IntenseQuoteChar"/>
    <w:uiPriority w:val="30"/>
    <w:qFormat/>
    <w:rsid w:val="00701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21B"/>
    <w:rPr>
      <w:i/>
      <w:iCs/>
      <w:color w:val="0F4761" w:themeColor="accent1" w:themeShade="BF"/>
    </w:rPr>
  </w:style>
  <w:style w:type="character" w:styleId="IntenseReference">
    <w:name w:val="Intense Reference"/>
    <w:basedOn w:val="DefaultParagraphFont"/>
    <w:uiPriority w:val="32"/>
    <w:qFormat/>
    <w:rsid w:val="0070121B"/>
    <w:rPr>
      <w:b/>
      <w:bCs/>
      <w:smallCaps/>
      <w:color w:val="0F4761" w:themeColor="accent1" w:themeShade="BF"/>
      <w:spacing w:val="5"/>
    </w:rPr>
  </w:style>
  <w:style w:type="paragraph" w:styleId="NormalWeb">
    <w:name w:val="Normal (Web)"/>
    <w:basedOn w:val="Normal"/>
    <w:uiPriority w:val="99"/>
    <w:unhideWhenUsed/>
    <w:rsid w:val="007012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012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1120</Words>
  <Characters>7002</Characters>
  <Application>Microsoft Office Word</Application>
  <DocSecurity>0</DocSecurity>
  <Lines>155</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dc:creator>
  <cp:keywords/>
  <dc:description/>
  <cp:lastModifiedBy>Contact</cp:lastModifiedBy>
  <cp:revision>1</cp:revision>
  <dcterms:created xsi:type="dcterms:W3CDTF">2026-01-25T01:52:00Z</dcterms:created>
  <dcterms:modified xsi:type="dcterms:W3CDTF">2026-01-25T02:18:00Z</dcterms:modified>
</cp:coreProperties>
</file>