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9325" w14:textId="77777777" w:rsidR="00AA4A47" w:rsidRDefault="00000000">
      <w:pPr>
        <w:pStyle w:val="Title"/>
      </w:pPr>
      <w:r>
        <w:t>A unified diagnostic framework for quantal analysis of optically measured synaptic release</w:t>
      </w:r>
    </w:p>
    <w:p w14:paraId="2D89E036" w14:textId="77777777" w:rsidR="00AA4A47" w:rsidRDefault="00000000">
      <w:pPr>
        <w:pStyle w:val="Subtitle"/>
      </w:pPr>
      <w:r>
        <w:t>From variance-mean geometry to apparent release dynamics during stimulus trains</w:t>
      </w:r>
    </w:p>
    <w:p w14:paraId="1D6B556E" w14:textId="598B1641" w:rsidR="00AA4A47" w:rsidRDefault="00160787">
      <w:pPr>
        <w:pStyle w:val="Author"/>
      </w:pPr>
      <w:r>
        <w:t>Antoine Valera</w:t>
      </w:r>
    </w:p>
    <w:p w14:paraId="39B92052" w14:textId="12B1B674" w:rsidR="00AA4A47" w:rsidRDefault="00160787">
      <w:pPr>
        <w:pStyle w:val="Affiliation"/>
      </w:pPr>
      <w:r>
        <w:t>INCI – CNRS – UPR 3212</w:t>
      </w:r>
    </w:p>
    <w:p w14:paraId="0E19CEF2" w14:textId="77777777" w:rsidR="00AA4A47" w:rsidRDefault="00000000">
      <w:pPr>
        <w:pStyle w:val="Correspondence"/>
      </w:pPr>
      <w:r>
        <w:rPr>
          <w:highlight w:val="yellow"/>
        </w:rPr>
        <w:t>Correspondence: [[CORRESPONDING AUTHOR, POSTAL ADDRESS AND EMAIL]]</w:t>
      </w:r>
    </w:p>
    <w:p w14:paraId="0F24D5A3" w14:textId="77777777" w:rsidR="00AA4A47" w:rsidRDefault="00000000">
      <w:pPr>
        <w:pStyle w:val="Metadata"/>
        <w:spacing w:before="200"/>
      </w:pPr>
      <w:r>
        <w:rPr>
          <w:highlight w:val="yellow"/>
        </w:rPr>
        <w:t>Running title: Optical quantal analysis framework</w:t>
      </w:r>
      <w:r>
        <w:rPr>
          <w:highlight w:val="yellow"/>
        </w:rPr>
        <w:br/>
        <w:t>Article type: Full Length Report / Methods</w:t>
      </w:r>
      <w:r>
        <w:rPr>
          <w:highlight w:val="yellow"/>
        </w:rPr>
        <w:br/>
        <w:t>Target journal: Journal of Neuroscience Methods</w:t>
      </w:r>
      <w:r>
        <w:rPr>
          <w:highlight w:val="yellow"/>
        </w:rPr>
        <w:br/>
        <w:t>Word count excluding references and figure legends: [[UPDATE AFTER FINAL REVISION]]</w:t>
      </w:r>
    </w:p>
    <w:p w14:paraId="132478C7" w14:textId="77777777" w:rsidR="00AA4A47" w:rsidRDefault="00000000">
      <w:r>
        <w:br w:type="page"/>
      </w:r>
    </w:p>
    <w:p w14:paraId="793A245C" w14:textId="77777777" w:rsidR="00AA4A47" w:rsidRDefault="00000000">
      <w:pPr>
        <w:pStyle w:val="Heading1"/>
      </w:pPr>
      <w:bookmarkStart w:id="0" w:name="abstract"/>
      <w:r>
        <w:lastRenderedPageBreak/>
        <w:t>Abstract</w:t>
      </w:r>
    </w:p>
    <w:p w14:paraId="4691D4DC" w14:textId="4E9B4C86" w:rsidR="00AA4A47" w:rsidRDefault="00000000">
      <w:r>
        <w:t>Quantal analysis seeks to resolve synaptic strength into the number of functional release sites (</w:t>
      </w:r>
      <w:r>
        <w:rPr>
          <w:i/>
          <w:iCs/>
        </w:rPr>
        <w:t>N</w:t>
      </w:r>
      <w:r>
        <w:t>), their release probability (</w:t>
      </w:r>
      <w:r>
        <w:rPr>
          <w:i/>
          <w:iCs/>
        </w:rPr>
        <w:t>P</w:t>
      </w:r>
      <w:r>
        <w:t>), and the response to one released quantum (</w:t>
      </w:r>
      <w:r>
        <w:rPr>
          <w:i/>
          <w:iCs/>
        </w:rPr>
        <w:t>Q</w:t>
      </w:r>
      <w:r>
        <w:t xml:space="preserve">). Multiple-probability fluctuation analysis estimates these parameters from the relation between response variance and mean, whereas relative-change analyses use two experimental states to identify changes that are most consistent with </w:t>
      </w:r>
      <w:r>
        <w:rPr>
          <w:i/>
          <w:iCs/>
        </w:rPr>
        <w:t>N</w:t>
      </w:r>
      <w:r>
        <w:t xml:space="preserve">, </w:t>
      </w:r>
      <w:r>
        <w:rPr>
          <w:i/>
          <w:iCs/>
        </w:rPr>
        <w:t>P</w:t>
      </w:r>
      <w:r>
        <w:t xml:space="preserve">, or </w:t>
      </w:r>
      <w:r>
        <w:rPr>
          <w:i/>
          <w:iCs/>
        </w:rPr>
        <w:t>Q</w:t>
      </w:r>
      <w:r>
        <w:t xml:space="preserve">. These approaches are often applied separately and their interpretation becomes less direct when release is measured with a fluorescent glutamate sensor. We developed a unified analytical and computational framework that places variance-mean analysis, normalized relative-change geometry, quantal heterogeneity, and stimulus-train dynamics on the same reference state. The framework distinguishes the release-linear signal from a phenomenological optical transfer function and separates latent presynaptic control variables from the apparent parameters obtained by fitting each stimulus independently across trials. Synthetic analyses recover the expected </w:t>
      </w:r>
      <w:r>
        <w:rPr>
          <w:i/>
          <w:iCs/>
        </w:rPr>
        <w:t>N</w:t>
      </w:r>
      <w:r>
        <w:t xml:space="preserve">-, </w:t>
      </w:r>
      <w:r>
        <w:rPr>
          <w:i/>
          <w:iCs/>
        </w:rPr>
        <w:t>P</w:t>
      </w:r>
      <w:r>
        <w:t xml:space="preserve">-, and </w:t>
      </w:r>
      <w:r>
        <w:rPr>
          <w:i/>
          <w:iCs/>
        </w:rPr>
        <w:t>Q</w:t>
      </w:r>
      <w:r>
        <w:t xml:space="preserve">-change loci and show how heterogeneity biases homogeneous estimates. A constrained train model further links facilitation, recruitment, depletion, and replenishment to event-wise apparent </w:t>
      </w:r>
      <w:r>
        <w:rPr>
          <w:i/>
          <w:iCs/>
        </w:rPr>
        <w:t>N</w:t>
      </w:r>
      <w:r>
        <w:t xml:space="preserve"> and </w:t>
      </w:r>
      <w:r>
        <w:rPr>
          <w:i/>
          <w:iCs/>
        </w:rPr>
        <w:t>P</w:t>
      </w:r>
      <w:r>
        <w:t>. The accompanying</w:t>
      </w:r>
      <w:r w:rsidR="00160787">
        <w:t xml:space="preserve"> </w:t>
      </w:r>
      <w:r>
        <w:t>implementation provides interactive visualization, trial simulation, and bounded fitting with held-out prediction of paired-pulse ratios. This framework does not remove the assumptions of quantal analysis; rather, it makes them explicit and provides internally predictive tests that can reveal when optical measurements or train dynamics are inconsistent with a simple binomial interpretation.</w:t>
      </w:r>
    </w:p>
    <w:p w14:paraId="639FC413" w14:textId="77777777" w:rsidR="00AA4A47" w:rsidRDefault="00000000">
      <w:pPr>
        <w:pStyle w:val="BodyText"/>
      </w:pPr>
      <w:r>
        <w:rPr>
          <w:b/>
          <w:bCs/>
        </w:rPr>
        <w:t>Keywords:</w:t>
      </w:r>
      <w:r>
        <w:t xml:space="preserve"> synapse; quantal analysis; MPFA; iGluSnFR; release probability; short-term plasticity; variance</w:t>
      </w:r>
    </w:p>
    <w:p w14:paraId="03320A09" w14:textId="77777777" w:rsidR="00AA4A47" w:rsidRDefault="00000000">
      <w:pPr>
        <w:pStyle w:val="Heading1"/>
      </w:pPr>
      <w:bookmarkStart w:id="1" w:name="highlights"/>
      <w:bookmarkEnd w:id="0"/>
      <w:r>
        <w:t>Highlights</w:t>
      </w:r>
    </w:p>
    <w:p w14:paraId="31B7BBC9" w14:textId="77777777" w:rsidR="00AA4A47" w:rsidRDefault="00000000">
      <w:pPr>
        <w:numPr>
          <w:ilvl w:val="0"/>
          <w:numId w:val="11"/>
        </w:numPr>
      </w:pPr>
      <w:r>
        <w:t>One reference-state geometry links MPFA and relative-change analysis.</w:t>
      </w:r>
    </w:p>
    <w:p w14:paraId="70ABD08E" w14:textId="77777777" w:rsidR="00AA4A47" w:rsidRDefault="00000000">
      <w:pPr>
        <w:numPr>
          <w:ilvl w:val="0"/>
          <w:numId w:val="11"/>
        </w:numPr>
      </w:pPr>
      <w:r>
        <w:t>Optical saturation is separated from release and pool dynamics.</w:t>
      </w:r>
    </w:p>
    <w:p w14:paraId="0A6CD3D2" w14:textId="77777777" w:rsidR="00AA4A47" w:rsidRDefault="00000000">
      <w:pPr>
        <w:numPr>
          <w:ilvl w:val="0"/>
          <w:numId w:val="11"/>
        </w:numPr>
      </w:pPr>
      <w:r>
        <w:t>Train fits distinguish latent variables from apparent estimates.</w:t>
      </w:r>
    </w:p>
    <w:p w14:paraId="0C06D910" w14:textId="77777777" w:rsidR="00AA4A47" w:rsidRDefault="00000000">
      <w:pPr>
        <w:numPr>
          <w:ilvl w:val="0"/>
          <w:numId w:val="11"/>
        </w:numPr>
      </w:pPr>
      <w:r>
        <w:t>Held-out paired-pulse ratios provide an internal consistency test.</w:t>
      </w:r>
    </w:p>
    <w:p w14:paraId="7DC1F002" w14:textId="77777777" w:rsidR="00AA4A47" w:rsidRDefault="00000000">
      <w:pPr>
        <w:pStyle w:val="Heading1"/>
      </w:pPr>
      <w:bookmarkStart w:id="2" w:name="introduction"/>
      <w:bookmarkEnd w:id="1"/>
      <w:r>
        <w:t>1. Introduction</w:t>
      </w:r>
    </w:p>
    <w:p w14:paraId="14217B95" w14:textId="77777777" w:rsidR="00AA4A47" w:rsidRDefault="00000000">
      <w:r>
        <w:t>Synaptic responses fluctuate because transmitter release is probabilistic. In the simplest binomial description, mean synaptic strength is determined by three quantities: the number of functional release sites (</w:t>
      </w:r>
      <w:r>
        <w:rPr>
          <w:i/>
          <w:iCs/>
        </w:rPr>
        <w:t>N</w:t>
      </w:r>
      <w:r>
        <w:t>), the probability that a site releases in response to an action potential (</w:t>
      </w:r>
      <w:r>
        <w:rPr>
          <w:i/>
          <w:iCs/>
        </w:rPr>
        <w:t>P</w:t>
      </w:r>
      <w:r>
        <w:t>), and the response produced by one quantum (</w:t>
      </w:r>
      <w:r>
        <w:rPr>
          <w:i/>
          <w:iCs/>
        </w:rPr>
        <w:t>Q</w:t>
      </w:r>
      <w:r>
        <w:t xml:space="preserve">) (del Castillo and Katz, 1954; Katz, 1969). Distinguishing changes in these parameters is central to the interpretation of synaptic modulation and plasticity. A change in mean amplitude alone is insufficient because the same change can be produced by different combinations of </w:t>
      </w:r>
      <w:r>
        <w:rPr>
          <w:i/>
          <w:iCs/>
        </w:rPr>
        <w:t>N</w:t>
      </w:r>
      <w:r>
        <w:t xml:space="preserve">, </w:t>
      </w:r>
      <w:r>
        <w:rPr>
          <w:i/>
          <w:iCs/>
        </w:rPr>
        <w:t>P</w:t>
      </w:r>
      <w:r>
        <w:t xml:space="preserve">, and </w:t>
      </w:r>
      <w:r>
        <w:rPr>
          <w:i/>
          <w:iCs/>
        </w:rPr>
        <w:t>Q</w:t>
      </w:r>
      <w:r>
        <w:t>.</w:t>
      </w:r>
    </w:p>
    <w:p w14:paraId="638ECA89" w14:textId="77777777" w:rsidR="00AA4A47" w:rsidRDefault="00000000">
      <w:pPr>
        <w:pStyle w:val="BodyText"/>
      </w:pPr>
      <w:r>
        <w:t xml:space="preserve">Variance-based approaches exploit the fact that these mechanisms alter the relationship between response mean and variance in different ways. Multiple-probability fluctuation analysis (MPFA) samples several release-probability conditions and fits the resulting variance-mean relation (Clements and Silver, 2000; Clements, 2003; Silver, 2003). By contrast, coefficient-of-variation and variance-to-mean analyses compare two states and ask whether the transition is most consistent with a change in </w:t>
      </w:r>
      <w:r>
        <w:rPr>
          <w:i/>
          <w:iCs/>
        </w:rPr>
        <w:t>N</w:t>
      </w:r>
      <w:r>
        <w:t xml:space="preserve">, </w:t>
      </w:r>
      <w:r>
        <w:rPr>
          <w:i/>
          <w:iCs/>
        </w:rPr>
        <w:t>P</w:t>
      </w:r>
      <w:r>
        <w:t xml:space="preserve">, or </w:t>
      </w:r>
      <w:r>
        <w:rPr>
          <w:i/>
          <w:iCs/>
        </w:rPr>
        <w:t>Q</w:t>
      </w:r>
      <w:r>
        <w:t xml:space="preserve"> (Malinow and Tsien, 1990; Bekkers and Stevens, 1990; Faber and Korn, 1991; Humeau et al., 2007; Brock et al., </w:t>
      </w:r>
      <w:r>
        <w:lastRenderedPageBreak/>
        <w:t>2020; van Huijstee and Kessels, 2020). The two families of analysis share the same binomial moments, but they answer different experimental questions. MPFA estimates apparent quantal parameters from a probability series. Relative-change analysis provides a mechanistic diagnostic when only a reference and a test state are available.</w:t>
      </w:r>
    </w:p>
    <w:p w14:paraId="77FCC794" w14:textId="77777777" w:rsidR="00AA4A47" w:rsidRDefault="00000000">
      <w:pPr>
        <w:pStyle w:val="BodyText"/>
      </w:pPr>
      <w:r>
        <w:t>Genetically encoded glutamate indicators now permit release to be measured at individual boutons, often over repeated stimuli and across many trials (Marvin et al., 2013, 2018; Soares et al., 2019; Dürst et al., 2022; Hain and Moser, 2024). Optical measurements provide direct spatial access to presynaptic output, but they also introduce an observation process that is absent from a linear postsynaptic-current model. Fluorescence can become sublinear as sensor occupancy increases, baseline and photon noise contribute to the measured variance, and activity-dependent segmentation can preferentially include boutons with detectable responses. Moreover, fitting each pulse of a stimulus train independently returns event-wise apparent parameters. These estimates are shaped by the occupancy of the ready pool and cannot be equated directly with latent release-site recruitment or a molecular release-probability command.</w:t>
      </w:r>
    </w:p>
    <w:p w14:paraId="3781627E" w14:textId="77777777" w:rsidR="00AA4A47" w:rsidRDefault="00000000">
      <w:pPr>
        <w:pStyle w:val="BodyText"/>
      </w:pPr>
      <w:r>
        <w:t xml:space="preserve">Here we present a unified framework for these analyses. The central aim is not to introduce a new quantal identity, but to make established identities mutually predictive and experimentally explicit. The framework combines: (i) MPFA; (ii) normalized relative-change loci for </w:t>
      </w:r>
      <w:r>
        <w:rPr>
          <w:i/>
          <w:iCs/>
        </w:rPr>
        <w:t>N</w:t>
      </w:r>
      <w:r>
        <w:t xml:space="preserve">, </w:t>
      </w:r>
      <w:r>
        <w:rPr>
          <w:i/>
          <w:iCs/>
        </w:rPr>
        <w:t>P</w:t>
      </w:r>
      <w:r>
        <w:t xml:space="preserve">, and </w:t>
      </w:r>
      <w:r>
        <w:rPr>
          <w:i/>
          <w:iCs/>
        </w:rPr>
        <w:t>Q</w:t>
      </w:r>
      <w:r>
        <w:t>; (iii) the expected bias caused by quantal-size and release-probability heterogeneity; (iv) a separate optical observation layer; and (v) a train model that distinguishes latent control variables, ready-pool occupancy, and apparent per-stimulus estimates. We describe the analytical basis, the fitting strategy, and the internal consistency tests implemented in an interactive MATLAB application.</w:t>
      </w:r>
    </w:p>
    <w:tbl>
      <w:tblPr>
        <w:tblW w:w="0" w:type="auto"/>
        <w:jc w:val="center"/>
        <w:tblLayout w:type="fixed"/>
        <w:tblLook w:val="04A0" w:firstRow="1" w:lastRow="0" w:firstColumn="1" w:lastColumn="0" w:noHBand="0" w:noVBand="1"/>
      </w:tblPr>
      <w:tblGrid>
        <w:gridCol w:w="8787"/>
      </w:tblGrid>
      <w:tr w:rsidR="00AA4A47" w14:paraId="5F526843" w14:textId="77777777">
        <w:trPr>
          <w:trHeight w:val="2440"/>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2F2F2"/>
            <w:vAlign w:val="center"/>
          </w:tcPr>
          <w:p w14:paraId="79AC3AA3" w14:textId="77777777" w:rsidR="00AA4A47" w:rsidRDefault="00000000">
            <w:pPr>
              <w:pStyle w:val="FigurePlaceholder"/>
            </w:pPr>
            <w:r>
              <w:rPr>
                <w:color w:val="505050"/>
                <w:sz w:val="24"/>
              </w:rPr>
              <w:t>FIGURE 1 PLACEHOLDER</w:t>
            </w:r>
            <w:r>
              <w:rPr>
                <w:color w:val="505050"/>
                <w:sz w:val="24"/>
              </w:rPr>
              <w:br/>
            </w:r>
            <w:r>
              <w:rPr>
                <w:i/>
                <w:color w:val="6E6E6E"/>
                <w:sz w:val="18"/>
              </w:rPr>
              <w:t>Insert final multi-panel artwork here. The prepared caption follows below.</w:t>
            </w:r>
          </w:p>
        </w:tc>
      </w:tr>
    </w:tbl>
    <w:p w14:paraId="7776C5A7" w14:textId="77777777" w:rsidR="00AA4A47" w:rsidRDefault="00000000">
      <w:pPr>
        <w:pStyle w:val="Caption"/>
      </w:pPr>
      <w:r>
        <w:t xml:space="preserve">Fig. 1. Analytical organization of the framework. (A) A binomial release model generates trial-to-trial distributions with mean, variance, and failure probability determined by </w:t>
      </w:r>
      <w:r>
        <w:rPr>
          <w:i/>
          <w:iCs/>
        </w:rPr>
        <w:t>N</w:t>
      </w:r>
      <w:r>
        <w:t xml:space="preserve">, </w:t>
      </w:r>
      <w:r>
        <w:rPr>
          <w:i/>
          <w:iCs/>
        </w:rPr>
        <w:t>P</w:t>
      </w:r>
      <w:r>
        <w:t xml:space="preserve">, and </w:t>
      </w:r>
      <w:r>
        <w:rPr>
          <w:i/>
          <w:iCs/>
        </w:rPr>
        <w:t>Q</w:t>
      </w:r>
      <w:r>
        <w:t xml:space="preserve">. (B) MPFA samples several release-probability conditions and fits a variance-mean parabola. (C) A two-state normalization maps changes in </w:t>
      </w:r>
      <w:r>
        <w:rPr>
          <w:i/>
          <w:iCs/>
        </w:rPr>
        <w:t>N</w:t>
      </w:r>
      <w:r>
        <w:t xml:space="preserve">, </w:t>
      </w:r>
      <w:r>
        <w:rPr>
          <w:i/>
          <w:iCs/>
        </w:rPr>
        <w:t>P</w:t>
      </w:r>
      <w:r>
        <w:t xml:space="preserve">, and </w:t>
      </w:r>
      <w:r>
        <w:rPr>
          <w:i/>
          <w:iCs/>
        </w:rPr>
        <w:t>Q</w:t>
      </w:r>
      <w:r>
        <w:t xml:space="preserve"> onto distinct loci through the reference point (1,1). (D) For stimulus trains, latent release drive and recruitment are filtered by depletion and replenishment to generate the ready pool and the event-wise apparent parameters. (E) The release-linear response is passed through a separate optical transfer function before comparison with measured fluorescence. Arrows indicate quantities that are predicted across analysis views rather than fitted twice.</w:t>
      </w:r>
    </w:p>
    <w:p w14:paraId="2289866A" w14:textId="77777777" w:rsidR="00AA4A47" w:rsidRDefault="00000000">
      <w:pPr>
        <w:pStyle w:val="Heading1"/>
      </w:pPr>
      <w:bookmarkStart w:id="3" w:name="materials-and-methods"/>
      <w:bookmarkEnd w:id="2"/>
      <w:r>
        <w:t>2. Materials and methods</w:t>
      </w:r>
    </w:p>
    <w:p w14:paraId="10F655F8" w14:textId="77777777" w:rsidR="00AA4A47" w:rsidRDefault="00000000">
      <w:pPr>
        <w:pStyle w:val="Heading2"/>
      </w:pPr>
      <w:bookmarkStart w:id="4" w:name="X6c6fa1929bcbecf2f8c9f98bc6709c84c8f7ba3"/>
      <w:r>
        <w:t>2.1. Quantal model, notation, and noise correction</w:t>
      </w:r>
    </w:p>
    <w:p w14:paraId="554CCD2E" w14:textId="77777777" w:rsidR="00AA4A47" w:rsidRDefault="00000000">
      <w:r>
        <w:t xml:space="preserve">We use </w:t>
      </w:r>
      <w:r>
        <w:rPr>
          <w:i/>
          <w:iCs/>
        </w:rPr>
        <w:t>N</w:t>
      </w:r>
      <w:r>
        <w:t xml:space="preserve"> for the number of release-competent sites contributing to the analyzed response, </w:t>
      </w:r>
      <w:r>
        <w:rPr>
          <w:i/>
          <w:iCs/>
        </w:rPr>
        <w:t>P</w:t>
      </w:r>
      <w:r>
        <w:t xml:space="preserve"> for the site-averaged release probability, and </w:t>
      </w:r>
      <w:r>
        <w:rPr>
          <w:i/>
          <w:iCs/>
        </w:rPr>
        <w:t>Q</w:t>
      </w:r>
      <w:r>
        <w:t xml:space="preserve"> for the mean response to one released quantum. For optical recordings, </w:t>
      </w:r>
      <w:r>
        <w:rPr>
          <w:i/>
          <w:iCs/>
        </w:rPr>
        <w:t>Q</w:t>
      </w:r>
      <w:r>
        <w:t xml:space="preserve"> is expressed in ΔF/F0 per quantum. Under homogeneous, independent release and linear summation, the release-related mean (μ) and variance (σ²) are</w:t>
      </w:r>
    </w:p>
    <w:tbl>
      <w:tblPr>
        <w:tblW w:w="0" w:type="auto"/>
        <w:jc w:val="center"/>
        <w:tblBorders>
          <w:top w:val="nil"/>
          <w:left w:val="nil"/>
          <w:bottom w:val="nil"/>
          <w:right w:val="nil"/>
          <w:insideH w:val="nil"/>
          <w:insideV w:val="nil"/>
        </w:tblBorders>
        <w:tblLayout w:type="fixed"/>
        <w:tblLook w:val="0000" w:firstRow="0" w:lastRow="0" w:firstColumn="0" w:lastColumn="0" w:noHBand="0" w:noVBand="0"/>
      </w:tblPr>
      <w:tblGrid>
        <w:gridCol w:w="7937"/>
        <w:gridCol w:w="680"/>
      </w:tblGrid>
      <w:tr w:rsidR="00AA4A47" w14:paraId="63061BFD" w14:textId="77777777">
        <w:trPr>
          <w:cantSplit/>
          <w:jc w:val="center"/>
        </w:trPr>
        <w:tc>
          <w:tcPr>
            <w:tcW w:w="7937" w:type="dxa"/>
            <w:vAlign w:val="center"/>
          </w:tcPr>
          <w:p w14:paraId="7E683F7D" w14:textId="77777777" w:rsidR="00AA4A47" w:rsidRDefault="00000000">
            <w:pPr>
              <w:spacing w:before="40" w:after="40"/>
              <w:jc w:val="center"/>
            </w:pPr>
            <m:oMathPara>
              <m:oMath>
                <m:r>
                  <w:rPr>
                    <w:rFonts w:ascii="Cambria Math" w:hAnsi="Cambria Math"/>
                  </w:rPr>
                  <w:lastRenderedPageBreak/>
                  <m:t>μ</m:t>
                </m:r>
                <m:r>
                  <m:rPr>
                    <m:sty m:val="p"/>
                  </m:rPr>
                  <w:rPr>
                    <w:rFonts w:ascii="Cambria Math" w:hAnsi="Cambria Math"/>
                  </w:rPr>
                  <m:t>=</m:t>
                </m:r>
                <m:r>
                  <w:rPr>
                    <w:rFonts w:ascii="Cambria Math" w:hAnsi="Cambria Math"/>
                  </w:rPr>
                  <m:t>NPQ</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m:oMathPara>
          </w:p>
        </w:tc>
        <w:tc>
          <w:tcPr>
            <w:tcW w:w="680" w:type="dxa"/>
            <w:vAlign w:val="center"/>
          </w:tcPr>
          <w:p w14:paraId="0058A031" w14:textId="77777777" w:rsidR="00AA4A47" w:rsidRDefault="00000000">
            <w:pPr>
              <w:spacing w:before="40" w:after="40"/>
              <w:jc w:val="right"/>
            </w:pPr>
            <w:r>
              <w:rPr>
                <w:sz w:val="20"/>
              </w:rPr>
              <w:t>(1)</w:t>
            </w:r>
          </w:p>
        </w:tc>
      </w:tr>
    </w:tbl>
    <w:p w14:paraId="7C6CAED8" w14:textId="77777777" w:rsidR="00AA4A47" w:rsidRDefault="00000000">
      <w:pPr>
        <w:pStyle w:val="BodyText"/>
      </w:pPr>
      <w:r>
        <w:t>The variance entering Eq. (1) must be corrected for recording noise. If baseline noise is independent of release and has variance σ0², the release variance is estimated as σ² = σobs² - σ0². For optical recordings, σ0² should be estimated from a baseline window or from stimulus-free trials processed with the same amplitude estimator. Slow drift should be removed before variance estimation because non-stationarity increases the variance without carrying quantal information.</w:t>
      </w:r>
    </w:p>
    <w:p w14:paraId="707C9F4F" w14:textId="77777777" w:rsidR="00AA4A47" w:rsidRDefault="00000000">
      <w:pPr>
        <w:pStyle w:val="BodyText"/>
      </w:pPr>
      <w:r>
        <w:t>Table 1 summarizes the distinction between latent, occupancy, and apparent quantities used below.</w:t>
      </w:r>
    </w:p>
    <w:p w14:paraId="77F889DD" w14:textId="77777777" w:rsidR="00AA4A47" w:rsidRDefault="00000000">
      <w:pPr>
        <w:pStyle w:val="BodyText"/>
      </w:pPr>
      <w:r>
        <w:rPr>
          <w:b/>
          <w:bCs/>
        </w:rPr>
        <w:t>Table 1. Principal symbols and their interpretation.</w:t>
      </w:r>
    </w:p>
    <w:tbl>
      <w:tblPr>
        <w:tblW w:w="5000" w:type="pct"/>
        <w:jc w:val="center"/>
        <w:tblLook w:val="0020" w:firstRow="1" w:lastRow="0" w:firstColumn="0" w:lastColumn="0" w:noHBand="0" w:noVBand="0"/>
      </w:tblPr>
      <w:tblGrid>
        <w:gridCol w:w="1025"/>
        <w:gridCol w:w="3394"/>
        <w:gridCol w:w="5203"/>
      </w:tblGrid>
      <w:tr w:rsidR="00AA4A47" w14:paraId="57B4966A" w14:textId="77777777">
        <w:trPr>
          <w:tblHeader/>
          <w:jc w:val="center"/>
        </w:trPr>
        <w:tc>
          <w:tcPr>
            <w:tcW w:w="0" w:type="auto"/>
            <w:shd w:val="clear" w:color="auto" w:fill="D9E2F3"/>
          </w:tcPr>
          <w:p w14:paraId="14CDE058" w14:textId="77777777" w:rsidR="00AA4A47" w:rsidRDefault="00000000">
            <w:pPr>
              <w:spacing w:after="40"/>
            </w:pPr>
            <w:r>
              <w:rPr>
                <w:b/>
                <w:sz w:val="18"/>
              </w:rPr>
              <w:t>Symbol</w:t>
            </w:r>
          </w:p>
        </w:tc>
        <w:tc>
          <w:tcPr>
            <w:tcW w:w="0" w:type="auto"/>
            <w:shd w:val="clear" w:color="auto" w:fill="D9E2F3"/>
          </w:tcPr>
          <w:p w14:paraId="39244997" w14:textId="77777777" w:rsidR="00AA4A47" w:rsidRDefault="00000000">
            <w:pPr>
              <w:spacing w:after="40"/>
            </w:pPr>
            <w:r>
              <w:rPr>
                <w:b/>
                <w:sz w:val="18"/>
              </w:rPr>
              <w:t>Definition</w:t>
            </w:r>
          </w:p>
        </w:tc>
        <w:tc>
          <w:tcPr>
            <w:tcW w:w="0" w:type="auto"/>
            <w:shd w:val="clear" w:color="auto" w:fill="D9E2F3"/>
          </w:tcPr>
          <w:p w14:paraId="4027F37B" w14:textId="77777777" w:rsidR="00AA4A47" w:rsidRDefault="00000000">
            <w:pPr>
              <w:spacing w:after="40"/>
            </w:pPr>
            <w:r>
              <w:rPr>
                <w:b/>
                <w:sz w:val="18"/>
              </w:rPr>
              <w:t>Interpretation</w:t>
            </w:r>
          </w:p>
        </w:tc>
      </w:tr>
      <w:tr w:rsidR="00AA4A47" w14:paraId="0609CB0C" w14:textId="77777777">
        <w:trPr>
          <w:jc w:val="center"/>
        </w:trPr>
        <w:tc>
          <w:tcPr>
            <w:tcW w:w="0" w:type="auto"/>
          </w:tcPr>
          <w:p w14:paraId="45FB4D74" w14:textId="77777777" w:rsidR="00AA4A47" w:rsidRDefault="00000000">
            <w:pPr>
              <w:spacing w:after="40"/>
            </w:pPr>
            <w:r>
              <w:rPr>
                <w:i/>
                <w:iCs/>
                <w:sz w:val="18"/>
              </w:rPr>
              <w:t>N</w:t>
            </w:r>
            <w:r>
              <w:rPr>
                <w:sz w:val="18"/>
              </w:rPr>
              <w:t xml:space="preserve">, </w:t>
            </w:r>
            <w:r>
              <w:rPr>
                <w:i/>
                <w:iCs/>
                <w:sz w:val="18"/>
              </w:rPr>
              <w:t>P</w:t>
            </w:r>
            <w:r>
              <w:rPr>
                <w:sz w:val="18"/>
              </w:rPr>
              <w:t xml:space="preserve">, </w:t>
            </w:r>
            <w:r>
              <w:rPr>
                <w:i/>
                <w:iCs/>
                <w:sz w:val="18"/>
              </w:rPr>
              <w:t>Q</w:t>
            </w:r>
          </w:p>
        </w:tc>
        <w:tc>
          <w:tcPr>
            <w:tcW w:w="0" w:type="auto"/>
          </w:tcPr>
          <w:p w14:paraId="54D73906" w14:textId="77777777" w:rsidR="00AA4A47" w:rsidRDefault="00000000">
            <w:pPr>
              <w:spacing w:after="40"/>
            </w:pPr>
            <w:r>
              <w:rPr>
                <w:sz w:val="18"/>
              </w:rPr>
              <w:t>Quantal parameters in a single state</w:t>
            </w:r>
          </w:p>
        </w:tc>
        <w:tc>
          <w:tcPr>
            <w:tcW w:w="0" w:type="auto"/>
          </w:tcPr>
          <w:p w14:paraId="5FB38BDF" w14:textId="77777777" w:rsidR="00AA4A47" w:rsidRDefault="00000000">
            <w:pPr>
              <w:spacing w:after="40"/>
            </w:pPr>
            <w:r>
              <w:rPr>
                <w:sz w:val="18"/>
              </w:rPr>
              <w:t>Apparent unless a generative model establishes a latent interpretation</w:t>
            </w:r>
          </w:p>
        </w:tc>
      </w:tr>
      <w:tr w:rsidR="00AA4A47" w14:paraId="50AAAD19" w14:textId="77777777">
        <w:trPr>
          <w:jc w:val="center"/>
        </w:trPr>
        <w:tc>
          <w:tcPr>
            <w:tcW w:w="0" w:type="auto"/>
          </w:tcPr>
          <w:p w14:paraId="40BF4774" w14:textId="77777777" w:rsidR="00AA4A47" w:rsidRDefault="00000000">
            <w:pPr>
              <w:spacing w:after="40"/>
            </w:pPr>
            <w:r>
              <w:rPr>
                <w:sz w:val="18"/>
              </w:rPr>
              <w:t>μ, σ²</w:t>
            </w:r>
          </w:p>
        </w:tc>
        <w:tc>
          <w:tcPr>
            <w:tcW w:w="0" w:type="auto"/>
          </w:tcPr>
          <w:p w14:paraId="0524FA8C" w14:textId="77777777" w:rsidR="00AA4A47" w:rsidRDefault="00000000">
            <w:pPr>
              <w:spacing w:after="40"/>
            </w:pPr>
            <w:r>
              <w:rPr>
                <w:sz w:val="18"/>
              </w:rPr>
              <w:t>Release-related mean and variance</w:t>
            </w:r>
          </w:p>
        </w:tc>
        <w:tc>
          <w:tcPr>
            <w:tcW w:w="0" w:type="auto"/>
          </w:tcPr>
          <w:p w14:paraId="76AC7252" w14:textId="77777777" w:rsidR="00AA4A47" w:rsidRDefault="00000000">
            <w:pPr>
              <w:spacing w:after="40"/>
            </w:pPr>
            <w:r>
              <w:rPr>
                <w:sz w:val="18"/>
              </w:rPr>
              <w:t>Noise-corrected first two moments</w:t>
            </w:r>
          </w:p>
        </w:tc>
      </w:tr>
      <w:tr w:rsidR="00AA4A47" w14:paraId="1A5B5D53" w14:textId="77777777">
        <w:trPr>
          <w:jc w:val="center"/>
        </w:trPr>
        <w:tc>
          <w:tcPr>
            <w:tcW w:w="0" w:type="auto"/>
          </w:tcPr>
          <w:p w14:paraId="3EBF74EB" w14:textId="77777777" w:rsidR="00AA4A47" w:rsidRDefault="00000000">
            <w:pPr>
              <w:spacing w:after="40"/>
            </w:pPr>
            <w:r>
              <w:rPr>
                <w:i/>
                <w:iCs/>
                <w:sz w:val="18"/>
              </w:rPr>
              <w:t>N</w:t>
            </w:r>
            <w:r>
              <w:rPr>
                <w:sz w:val="18"/>
              </w:rPr>
              <w:t xml:space="preserve">0, </w:t>
            </w:r>
            <w:r>
              <w:rPr>
                <w:i/>
                <w:iCs/>
                <w:sz w:val="18"/>
              </w:rPr>
              <w:t>P</w:t>
            </w:r>
            <w:r>
              <w:rPr>
                <w:sz w:val="18"/>
              </w:rPr>
              <w:t xml:space="preserve">0, </w:t>
            </w:r>
            <w:r>
              <w:rPr>
                <w:i/>
                <w:iCs/>
                <w:sz w:val="18"/>
              </w:rPr>
              <w:t>Q</w:t>
            </w:r>
            <w:r>
              <w:rPr>
                <w:sz w:val="18"/>
              </w:rPr>
              <w:t>0</w:t>
            </w:r>
          </w:p>
        </w:tc>
        <w:tc>
          <w:tcPr>
            <w:tcW w:w="0" w:type="auto"/>
          </w:tcPr>
          <w:p w14:paraId="51F5373B" w14:textId="77777777" w:rsidR="00AA4A47" w:rsidRDefault="00000000">
            <w:pPr>
              <w:spacing w:after="40"/>
            </w:pPr>
            <w:r>
              <w:rPr>
                <w:sz w:val="18"/>
              </w:rPr>
              <w:t>Reference-state parameters</w:t>
            </w:r>
          </w:p>
        </w:tc>
        <w:tc>
          <w:tcPr>
            <w:tcW w:w="0" w:type="auto"/>
          </w:tcPr>
          <w:p w14:paraId="4754C6CC" w14:textId="77777777" w:rsidR="00AA4A47" w:rsidRDefault="00000000">
            <w:pPr>
              <w:spacing w:after="40"/>
            </w:pPr>
            <w:r>
              <w:rPr>
                <w:sz w:val="18"/>
              </w:rPr>
              <w:t>Fixed origin for relative-change analysis</w:t>
            </w:r>
          </w:p>
        </w:tc>
      </w:tr>
      <w:tr w:rsidR="00AA4A47" w14:paraId="103F5EB1" w14:textId="77777777">
        <w:trPr>
          <w:jc w:val="center"/>
        </w:trPr>
        <w:tc>
          <w:tcPr>
            <w:tcW w:w="0" w:type="auto"/>
          </w:tcPr>
          <w:p w14:paraId="3E17EB21" w14:textId="77777777" w:rsidR="00AA4A47" w:rsidRDefault="00000000">
            <w:pPr>
              <w:spacing w:after="40"/>
            </w:pPr>
            <w:r>
              <w:rPr>
                <w:i/>
                <w:iCs/>
                <w:sz w:val="18"/>
              </w:rPr>
              <w:t>N</w:t>
            </w:r>
            <w:r>
              <w:rPr>
                <w:sz w:val="18"/>
              </w:rPr>
              <w:t>k*</w:t>
            </w:r>
          </w:p>
        </w:tc>
        <w:tc>
          <w:tcPr>
            <w:tcW w:w="0" w:type="auto"/>
          </w:tcPr>
          <w:p w14:paraId="36A430BF" w14:textId="77777777" w:rsidR="00AA4A47" w:rsidRDefault="00000000">
            <w:pPr>
              <w:spacing w:after="40"/>
            </w:pPr>
            <w:r>
              <w:rPr>
                <w:sz w:val="18"/>
              </w:rPr>
              <w:t xml:space="preserve">Latent competent-site ceiling at pulse </w:t>
            </w:r>
            <w:r>
              <w:rPr>
                <w:i/>
                <w:iCs/>
                <w:sz w:val="18"/>
              </w:rPr>
              <w:t>k</w:t>
            </w:r>
          </w:p>
        </w:tc>
        <w:tc>
          <w:tcPr>
            <w:tcW w:w="0" w:type="auto"/>
          </w:tcPr>
          <w:p w14:paraId="53EEEE78" w14:textId="77777777" w:rsidR="00AA4A47" w:rsidRDefault="00000000">
            <w:pPr>
              <w:spacing w:after="40"/>
            </w:pPr>
            <w:r>
              <w:rPr>
                <w:sz w:val="18"/>
              </w:rPr>
              <w:t>Recruitment command before occupancy constraints</w:t>
            </w:r>
          </w:p>
        </w:tc>
      </w:tr>
      <w:tr w:rsidR="00AA4A47" w14:paraId="1032C33B" w14:textId="77777777">
        <w:trPr>
          <w:jc w:val="center"/>
        </w:trPr>
        <w:tc>
          <w:tcPr>
            <w:tcW w:w="0" w:type="auto"/>
          </w:tcPr>
          <w:p w14:paraId="6A2071C2" w14:textId="77777777" w:rsidR="00AA4A47" w:rsidRDefault="00000000">
            <w:pPr>
              <w:spacing w:after="40"/>
            </w:pPr>
            <w:r>
              <w:rPr>
                <w:i/>
                <w:iCs/>
                <w:sz w:val="18"/>
              </w:rPr>
              <w:t>P</w:t>
            </w:r>
            <w:r>
              <w:rPr>
                <w:sz w:val="18"/>
              </w:rPr>
              <w:t>k</w:t>
            </w:r>
          </w:p>
        </w:tc>
        <w:tc>
          <w:tcPr>
            <w:tcW w:w="0" w:type="auto"/>
          </w:tcPr>
          <w:p w14:paraId="79B907EC" w14:textId="77777777" w:rsidR="00AA4A47" w:rsidRDefault="00000000">
            <w:pPr>
              <w:spacing w:after="40"/>
            </w:pPr>
            <w:r>
              <w:rPr>
                <w:sz w:val="18"/>
              </w:rPr>
              <w:t>Latent or modelled release-probability drive</w:t>
            </w:r>
          </w:p>
        </w:tc>
        <w:tc>
          <w:tcPr>
            <w:tcW w:w="0" w:type="auto"/>
          </w:tcPr>
          <w:p w14:paraId="4A71F0E1" w14:textId="77777777" w:rsidR="00AA4A47" w:rsidRDefault="00000000">
            <w:pPr>
              <w:spacing w:after="40"/>
            </w:pPr>
            <w:r>
              <w:rPr>
                <w:sz w:val="18"/>
              </w:rPr>
              <w:t xml:space="preserve">Probability applied to the ready pool at pulse </w:t>
            </w:r>
            <w:r>
              <w:rPr>
                <w:i/>
                <w:iCs/>
                <w:sz w:val="18"/>
              </w:rPr>
              <w:t>k</w:t>
            </w:r>
          </w:p>
        </w:tc>
      </w:tr>
      <w:tr w:rsidR="00AA4A47" w14:paraId="33F966A5" w14:textId="77777777">
        <w:trPr>
          <w:jc w:val="center"/>
        </w:trPr>
        <w:tc>
          <w:tcPr>
            <w:tcW w:w="0" w:type="auto"/>
          </w:tcPr>
          <w:p w14:paraId="06785999" w14:textId="77777777" w:rsidR="00AA4A47" w:rsidRDefault="00000000">
            <w:pPr>
              <w:spacing w:after="40"/>
            </w:pPr>
            <w:r>
              <w:rPr>
                <w:i/>
                <w:iCs/>
                <w:sz w:val="18"/>
              </w:rPr>
              <w:t>R</w:t>
            </w:r>
            <w:r>
              <w:rPr>
                <w:sz w:val="18"/>
              </w:rPr>
              <w:t>k</w:t>
            </w:r>
          </w:p>
        </w:tc>
        <w:tc>
          <w:tcPr>
            <w:tcW w:w="0" w:type="auto"/>
          </w:tcPr>
          <w:p w14:paraId="5211E7AC" w14:textId="77777777" w:rsidR="00AA4A47" w:rsidRDefault="00000000">
            <w:pPr>
              <w:spacing w:after="40"/>
            </w:pPr>
            <w:r>
              <w:rPr>
                <w:sz w:val="18"/>
              </w:rPr>
              <w:t xml:space="preserve">Ready pool immediately before pulse </w:t>
            </w:r>
            <w:r>
              <w:rPr>
                <w:i/>
                <w:iCs/>
                <w:sz w:val="18"/>
              </w:rPr>
              <w:t>k</w:t>
            </w:r>
          </w:p>
        </w:tc>
        <w:tc>
          <w:tcPr>
            <w:tcW w:w="0" w:type="auto"/>
          </w:tcPr>
          <w:p w14:paraId="13F187F4" w14:textId="77777777" w:rsidR="00AA4A47" w:rsidRDefault="00000000">
            <w:pPr>
              <w:spacing w:after="40"/>
            </w:pPr>
            <w:r>
              <w:rPr>
                <w:sz w:val="18"/>
              </w:rPr>
              <w:t xml:space="preserve">Release-competent occupancy; apparent </w:t>
            </w:r>
            <w:r>
              <w:rPr>
                <w:i/>
                <w:iCs/>
                <w:sz w:val="18"/>
              </w:rPr>
              <w:t>N</w:t>
            </w:r>
            <w:r>
              <w:rPr>
                <w:sz w:val="18"/>
              </w:rPr>
              <w:t xml:space="preserve"> in event-wise moments</w:t>
            </w:r>
          </w:p>
        </w:tc>
      </w:tr>
      <w:tr w:rsidR="00AA4A47" w14:paraId="41BB390F" w14:textId="77777777">
        <w:trPr>
          <w:jc w:val="center"/>
        </w:trPr>
        <w:tc>
          <w:tcPr>
            <w:tcW w:w="0" w:type="auto"/>
          </w:tcPr>
          <w:p w14:paraId="01E39AF7" w14:textId="77777777" w:rsidR="00AA4A47" w:rsidRDefault="00000000">
            <w:pPr>
              <w:spacing w:after="40"/>
            </w:pPr>
            <w:r>
              <w:rPr>
                <w:i/>
                <w:iCs/>
                <w:sz w:val="18"/>
              </w:rPr>
              <w:t>L</w:t>
            </w:r>
            <w:r>
              <w:rPr>
                <w:sz w:val="18"/>
              </w:rPr>
              <w:t>k</w:t>
            </w:r>
          </w:p>
        </w:tc>
        <w:tc>
          <w:tcPr>
            <w:tcW w:w="0" w:type="auto"/>
          </w:tcPr>
          <w:p w14:paraId="13BCB31A" w14:textId="77777777" w:rsidR="00AA4A47" w:rsidRDefault="00000000">
            <w:pPr>
              <w:spacing w:after="40"/>
            </w:pPr>
            <w:r>
              <w:rPr>
                <w:sz w:val="18"/>
              </w:rPr>
              <w:t>Release-linear mean response</w:t>
            </w:r>
          </w:p>
        </w:tc>
        <w:tc>
          <w:tcPr>
            <w:tcW w:w="0" w:type="auto"/>
          </w:tcPr>
          <w:p w14:paraId="492F96DB" w14:textId="77777777" w:rsidR="00AA4A47" w:rsidRDefault="00000000">
            <w:pPr>
              <w:spacing w:after="40"/>
            </w:pPr>
            <w:r>
              <w:rPr>
                <w:i/>
                <w:iCs/>
                <w:sz w:val="18"/>
              </w:rPr>
              <w:t>R</w:t>
            </w:r>
            <w:r>
              <w:rPr>
                <w:sz w:val="18"/>
              </w:rPr>
              <w:t>k</w:t>
            </w:r>
            <w:r>
              <w:rPr>
                <w:i/>
                <w:iCs/>
                <w:sz w:val="18"/>
              </w:rPr>
              <w:t>P</w:t>
            </w:r>
            <w:r>
              <w:rPr>
                <w:sz w:val="18"/>
              </w:rPr>
              <w:t>k</w:t>
            </w:r>
            <w:r>
              <w:rPr>
                <w:i/>
                <w:iCs/>
                <w:sz w:val="18"/>
              </w:rPr>
              <w:t>Q</w:t>
            </w:r>
          </w:p>
        </w:tc>
      </w:tr>
      <w:tr w:rsidR="00AA4A47" w14:paraId="70D8F917" w14:textId="77777777">
        <w:trPr>
          <w:jc w:val="center"/>
        </w:trPr>
        <w:tc>
          <w:tcPr>
            <w:tcW w:w="0" w:type="auto"/>
          </w:tcPr>
          <w:p w14:paraId="4688C4B3" w14:textId="77777777" w:rsidR="00AA4A47" w:rsidRDefault="00000000">
            <w:pPr>
              <w:spacing w:after="40"/>
            </w:pPr>
            <w:r>
              <w:rPr>
                <w:i/>
                <w:iCs/>
                <w:sz w:val="18"/>
              </w:rPr>
              <w:t>F</w:t>
            </w:r>
            <w:r>
              <w:rPr>
                <w:sz w:val="18"/>
              </w:rPr>
              <w:t>k</w:t>
            </w:r>
          </w:p>
        </w:tc>
        <w:tc>
          <w:tcPr>
            <w:tcW w:w="0" w:type="auto"/>
          </w:tcPr>
          <w:p w14:paraId="07EECF1D" w14:textId="77777777" w:rsidR="00AA4A47" w:rsidRDefault="00000000">
            <w:pPr>
              <w:spacing w:after="40"/>
            </w:pPr>
            <w:r>
              <w:rPr>
                <w:sz w:val="18"/>
              </w:rPr>
              <w:t>Predicted optical mean response</w:t>
            </w:r>
          </w:p>
        </w:tc>
        <w:tc>
          <w:tcPr>
            <w:tcW w:w="0" w:type="auto"/>
          </w:tcPr>
          <w:p w14:paraId="6F8C34F8" w14:textId="77777777" w:rsidR="00AA4A47" w:rsidRDefault="00000000">
            <w:pPr>
              <w:spacing w:after="40"/>
            </w:pPr>
            <w:r>
              <w:rPr>
                <w:sz w:val="18"/>
              </w:rPr>
              <w:t>Output of the phenomenological sensor transfer</w:t>
            </w:r>
          </w:p>
        </w:tc>
      </w:tr>
    </w:tbl>
    <w:p w14:paraId="4ED8CFE1" w14:textId="77777777" w:rsidR="00AA4A47" w:rsidRDefault="00000000">
      <w:pPr>
        <w:pStyle w:val="Heading2"/>
      </w:pPr>
      <w:bookmarkStart w:id="5" w:name="X73466490e02cc1ada743b07d8fc8c8d09fa70fb"/>
      <w:bookmarkEnd w:id="4"/>
      <w:r>
        <w:t>2.2. Multiple-probability fluctuation analysis</w:t>
      </w:r>
    </w:p>
    <w:p w14:paraId="6EABD38F" w14:textId="77777777" w:rsidR="00AA4A47" w:rsidRDefault="00000000">
      <w:r>
        <w:t xml:space="preserve">Eliminating </w:t>
      </w:r>
      <w:r>
        <w:rPr>
          <w:i/>
          <w:iCs/>
        </w:rPr>
        <w:t>P</w:t>
      </w:r>
      <w:r>
        <w:t xml:space="preserve"> from Eq. (1) gives the variance-mean parabola</w:t>
      </w:r>
    </w:p>
    <w:tbl>
      <w:tblPr>
        <w:tblW w:w="0" w:type="auto"/>
        <w:jc w:val="center"/>
        <w:tblBorders>
          <w:top w:val="nil"/>
          <w:left w:val="nil"/>
          <w:bottom w:val="nil"/>
          <w:right w:val="nil"/>
          <w:insideH w:val="nil"/>
          <w:insideV w:val="nil"/>
        </w:tblBorders>
        <w:tblLayout w:type="fixed"/>
        <w:tblLook w:val="0000" w:firstRow="0" w:lastRow="0" w:firstColumn="0" w:lastColumn="0" w:noHBand="0" w:noVBand="0"/>
      </w:tblPr>
      <w:tblGrid>
        <w:gridCol w:w="7937"/>
        <w:gridCol w:w="680"/>
      </w:tblGrid>
      <w:tr w:rsidR="00AA4A47" w14:paraId="3ABC1AC9" w14:textId="77777777">
        <w:trPr>
          <w:cantSplit/>
          <w:jc w:val="center"/>
        </w:trPr>
        <w:tc>
          <w:tcPr>
            <w:tcW w:w="7937" w:type="dxa"/>
            <w:vAlign w:val="center"/>
          </w:tcPr>
          <w:p w14:paraId="50E01992" w14:textId="77777777" w:rsidR="00AA4A47" w:rsidRDefault="00000000">
            <w:pPr>
              <w:spacing w:before="40" w:after="40"/>
              <w:jc w:val="center"/>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Qμ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N</m:t>
                    </m:r>
                  </m:den>
                </m:f>
                <m:r>
                  <m:rPr>
                    <m:sty m:val="p"/>
                  </m:rPr>
                  <w:rPr>
                    <w:rFonts w:ascii="Cambria Math" w:hAnsi="Cambria Math"/>
                  </w:rPr>
                  <m:t>.</m:t>
                </m:r>
              </m:oMath>
            </m:oMathPara>
          </w:p>
        </w:tc>
        <w:tc>
          <w:tcPr>
            <w:tcW w:w="680" w:type="dxa"/>
            <w:vAlign w:val="center"/>
          </w:tcPr>
          <w:p w14:paraId="4041E35C" w14:textId="77777777" w:rsidR="00AA4A47" w:rsidRDefault="00000000">
            <w:pPr>
              <w:spacing w:before="40" w:after="40"/>
              <w:jc w:val="right"/>
            </w:pPr>
            <w:r>
              <w:rPr>
                <w:sz w:val="20"/>
              </w:rPr>
              <w:t>(2)</w:t>
            </w:r>
          </w:p>
        </w:tc>
      </w:tr>
    </w:tbl>
    <w:p w14:paraId="5D5C6D1B" w14:textId="77777777" w:rsidR="00AA4A47" w:rsidRDefault="00000000">
      <w:pPr>
        <w:pStyle w:val="BodyText"/>
      </w:pPr>
      <w:r>
        <w:t xml:space="preserve">The initial slope is </w:t>
      </w:r>
      <w:r>
        <w:rPr>
          <w:i/>
          <w:iCs/>
        </w:rPr>
        <w:t>Q</w:t>
      </w:r>
      <w:r>
        <w:t xml:space="preserve">, the curvature is determined by </w:t>
      </w:r>
      <w:r>
        <w:rPr>
          <w:i/>
          <w:iCs/>
        </w:rPr>
        <w:t>N</w:t>
      </w:r>
      <w:r>
        <w:t xml:space="preserve">, and the non-zero intercept on the mean axis is </w:t>
      </w:r>
      <w:r>
        <w:rPr>
          <w:i/>
          <w:iCs/>
        </w:rPr>
        <w:t>I</w:t>
      </w:r>
      <w:r>
        <w:t xml:space="preserve">max = </w:t>
      </w:r>
      <w:r>
        <w:rPr>
          <w:i/>
          <w:iCs/>
        </w:rPr>
        <w:t>NQ</w:t>
      </w:r>
      <w:r>
        <w:t xml:space="preserve">. A valid MPFA experiment therefore requires a set of stationary response distributions acquired at different release probabilities while </w:t>
      </w:r>
      <w:r>
        <w:rPr>
          <w:i/>
          <w:iCs/>
        </w:rPr>
        <w:t>N</w:t>
      </w:r>
      <w:r>
        <w:t xml:space="preserve"> and </w:t>
      </w:r>
      <w:r>
        <w:rPr>
          <w:i/>
          <w:iCs/>
        </w:rPr>
        <w:t>Q</w:t>
      </w:r>
      <w:r>
        <w:t xml:space="preserve"> remain approximately constant. Release probability is commonly varied by changing extracellular Ca²⁺/Mg²⁺, adding a presynaptic modulator, or analyzing conditions known to alter </w:t>
      </w:r>
      <w:r>
        <w:rPr>
          <w:i/>
          <w:iCs/>
        </w:rPr>
        <w:t>P</w:t>
      </w:r>
      <w:r>
        <w:t xml:space="preserve"> without changing the remaining parameters (Clements and Silver, 2000; Silver, 2003; Lanore and Silver, 2016).</w:t>
      </w:r>
    </w:p>
    <w:p w14:paraId="3DD287B7" w14:textId="77777777" w:rsidR="00AA4A47" w:rsidRDefault="00000000">
      <w:pPr>
        <w:pStyle w:val="BodyText"/>
      </w:pPr>
      <w:r>
        <w:t>A single stimulus train should not automatically be treated as an MPFA probability series. During a train, depletion, replenishment, facilitation, and recruitment can alter both the available pool and release probability. Points from different stimulus numbers may therefore lie on different apparent parabolas even when each point is individually compatible with binomial moments.</w:t>
      </w:r>
    </w:p>
    <w:p w14:paraId="50AD4854" w14:textId="77777777" w:rsidR="00AA4A47" w:rsidRDefault="00000000">
      <w:pPr>
        <w:pStyle w:val="Heading2"/>
      </w:pPr>
      <w:bookmarkStart w:id="6" w:name="relative-change-geometry-for-two-states"/>
      <w:bookmarkEnd w:id="5"/>
      <w:r>
        <w:t>2.3. Relative-change geometry for two states</w:t>
      </w:r>
    </w:p>
    <w:p w14:paraId="22BC97FB" w14:textId="77777777" w:rsidR="00AA4A47" w:rsidRDefault="00000000">
      <w:r>
        <w:t>For a reference state 0 and a test state 1, we define</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2166BC5E" w14:textId="77777777">
        <w:trPr>
          <w:cantSplit/>
          <w:jc w:val="center"/>
        </w:trPr>
        <w:tc>
          <w:tcPr>
            <w:tcW w:w="7937" w:type="dxa"/>
            <w:vAlign w:val="center"/>
          </w:tcPr>
          <w:p w14:paraId="381F4D61" w14:textId="77777777" w:rsidR="00AA4A47" w:rsidRDefault="00000000">
            <w:pPr>
              <w:spacing w:before="40" w:after="40"/>
              <w:jc w:val="center"/>
            </w:pPr>
            <m:oMathPara>
              <m:oMath>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1</m:t>
                        </m:r>
                      </m:sub>
                    </m:sSub>
                  </m:num>
                  <m:den>
                    <m:sSub>
                      <m:sSubPr>
                        <m:ctrlPr>
                          <w:rPr>
                            <w:rFonts w:ascii="Cambria Math" w:hAnsi="Cambria Math"/>
                          </w:rPr>
                        </m:ctrlPr>
                      </m:sSubPr>
                      <m:e>
                        <m:r>
                          <w:rPr>
                            <w:rFonts w:ascii="Cambria Math" w:hAnsi="Cambria Math"/>
                          </w:rPr>
                          <m:t>μ</m:t>
                        </m:r>
                      </m:e>
                      <m:sub>
                        <m:r>
                          <w:rPr>
                            <w:rFonts w:ascii="Cambria Math" w:hAnsi="Cambria Math"/>
                          </w:rPr>
                          <m:t>0</m:t>
                        </m:r>
                      </m:sub>
                    </m:sSub>
                  </m:den>
                </m:f>
                <m:r>
                  <m:rPr>
                    <m:sty m:val="p"/>
                  </m:rPr>
                  <w:rPr>
                    <w:rFonts w:ascii="Cambria Math" w:hAnsi="Cambria Math"/>
                  </w:rPr>
                  <m:t>,</m:t>
                </m:r>
                <m:r>
                  <w:rPr>
                    <w:rFonts w:ascii="Cambria Math" w:hAnsi="Cambria Math"/>
                  </w:rPr>
                  <m:t>  y</m:t>
                </m:r>
                <m:r>
                  <m:rPr>
                    <m:sty m:val="p"/>
                  </m:rPr>
                  <w:rPr>
                    <w:rFonts w:ascii="Cambria Math" w:hAnsi="Cambria Math"/>
                  </w:rPr>
                  <m:t>=</m:t>
                </m:r>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e>
                    </m:d>
                  </m:num>
                  <m:den>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e>
                    </m:d>
                  </m:den>
                </m:f>
                <m:r>
                  <m:rPr>
                    <m:sty m:val="p"/>
                  </m:rPr>
                  <w:rPr>
                    <w:rFonts w:ascii="Cambria Math" w:hAnsi="Cambria Math"/>
                  </w:rPr>
                  <m:t>.</m:t>
                </m:r>
              </m:oMath>
            </m:oMathPara>
          </w:p>
        </w:tc>
        <w:tc>
          <w:tcPr>
            <w:tcW w:w="680" w:type="dxa"/>
            <w:vAlign w:val="center"/>
          </w:tcPr>
          <w:p w14:paraId="23E849DF" w14:textId="77777777" w:rsidR="00AA4A47" w:rsidRDefault="00000000">
            <w:pPr>
              <w:spacing w:before="40" w:after="40"/>
              <w:jc w:val="right"/>
            </w:pPr>
            <w:r>
              <w:rPr>
                <w:sz w:val="20"/>
              </w:rPr>
              <w:t>(3)</w:t>
            </w:r>
          </w:p>
        </w:tc>
      </w:tr>
    </w:tbl>
    <w:p w14:paraId="7D551924" w14:textId="77777777" w:rsidR="00AA4A47" w:rsidRDefault="00000000">
      <w:pPr>
        <w:pStyle w:val="BodyText"/>
      </w:pPr>
      <w:r>
        <w:t xml:space="preserve">Let ρN = </w:t>
      </w:r>
      <w:r>
        <w:rPr>
          <w:i/>
          <w:iCs/>
        </w:rPr>
        <w:t>N</w:t>
      </w:r>
      <w:r>
        <w:t>1/</w:t>
      </w:r>
      <w:r>
        <w:rPr>
          <w:i/>
          <w:iCs/>
        </w:rPr>
        <w:t>N</w:t>
      </w:r>
      <w:r>
        <w:t xml:space="preserve">0, ρP = </w:t>
      </w:r>
      <w:r>
        <w:rPr>
          <w:i/>
          <w:iCs/>
        </w:rPr>
        <w:t>P</w:t>
      </w:r>
      <w:r>
        <w:t>1/</w:t>
      </w:r>
      <w:r>
        <w:rPr>
          <w:i/>
          <w:iCs/>
        </w:rPr>
        <w:t>P</w:t>
      </w:r>
      <w:r>
        <w:t xml:space="preserve">0, and ρQ = </w:t>
      </w:r>
      <w:r>
        <w:rPr>
          <w:i/>
          <w:iCs/>
        </w:rPr>
        <w:t>Q</w:t>
      </w:r>
      <w:r>
        <w:t>1/</w:t>
      </w:r>
      <w:r>
        <w:rPr>
          <w:i/>
          <w:iCs/>
        </w:rPr>
        <w:t>Q</w:t>
      </w:r>
      <w:r>
        <w:t>0. From Eq. (1),</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2FA14121" w14:textId="77777777">
        <w:trPr>
          <w:cantSplit/>
          <w:jc w:val="center"/>
        </w:trPr>
        <w:tc>
          <w:tcPr>
            <w:tcW w:w="7937" w:type="dxa"/>
            <w:vAlign w:val="center"/>
          </w:tcPr>
          <w:p w14:paraId="44B286B8" w14:textId="77777777" w:rsidR="00AA4A47" w:rsidRDefault="00000000">
            <w:pPr>
              <w:spacing w:before="40" w:after="40"/>
              <w:jc w:val="center"/>
            </w:pPr>
            <m:oMathPara>
              <m:oMath>
                <m:r>
                  <w:rPr>
                    <w:rFonts w:ascii="Cambria Math" w:hAnsi="Cambria Math"/>
                  </w:rPr>
                  <w:lastRenderedPageBreak/>
                  <m:t>x</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N</m:t>
                    </m:r>
                  </m:sub>
                </m:sSub>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  y</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oMath>
            </m:oMathPara>
          </w:p>
        </w:tc>
        <w:tc>
          <w:tcPr>
            <w:tcW w:w="680" w:type="dxa"/>
            <w:vAlign w:val="center"/>
          </w:tcPr>
          <w:p w14:paraId="0FE71870" w14:textId="77777777" w:rsidR="00AA4A47" w:rsidRDefault="00000000">
            <w:pPr>
              <w:spacing w:before="40" w:after="40"/>
              <w:jc w:val="right"/>
            </w:pPr>
            <w:r>
              <w:rPr>
                <w:sz w:val="20"/>
              </w:rPr>
              <w:t>(4)</w:t>
            </w:r>
          </w:p>
        </w:tc>
      </w:tr>
    </w:tbl>
    <w:p w14:paraId="584C4A8E" w14:textId="77777777" w:rsidR="00AA4A47" w:rsidRDefault="00000000">
      <w:pPr>
        <w:pStyle w:val="BodyText"/>
      </w:pPr>
      <w:r>
        <w:t>Pure single-parameter changes therefore generate three loci through the reference point (1,1):</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63DE55D3" w14:textId="77777777">
        <w:trPr>
          <w:cantSplit/>
          <w:jc w:val="center"/>
        </w:trPr>
        <w:tc>
          <w:tcPr>
            <w:tcW w:w="7937" w:type="dxa"/>
            <w:vAlign w:val="center"/>
          </w:tcPr>
          <w:p w14:paraId="01D512F0" w14:textId="77777777" w:rsidR="00AA4A47" w:rsidRDefault="00000000">
            <w:pPr>
              <w:spacing w:before="40" w:after="40"/>
              <w:jc w:val="center"/>
            </w:pPr>
            <m:oMathPara>
              <m:oMath>
                <m:r>
                  <m:rPr>
                    <m:nor/>
                  </m:rPr>
                  <m:t xml:space="preserve">change in </m:t>
                </m:r>
                <m:r>
                  <w:rPr>
                    <w:rFonts w:ascii="Cambria Math" w:hAnsi="Cambria Math"/>
                  </w:rPr>
                  <m:t>N</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 xml:space="preserve">change in </m:t>
                </m:r>
                <m:r>
                  <w:rPr>
                    <w:rFonts w:ascii="Cambria Math" w:hAnsi="Cambria Math"/>
                  </w:rPr>
                  <m:t>Q</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nor/>
                  </m:rPr>
                  <m:t xml:space="preserve">change in </m:t>
                </m:r>
                <m:r>
                  <w:rPr>
                    <w:rFonts w:ascii="Cambria Math" w:hAnsi="Cambria Math"/>
                  </w:rPr>
                  <m:t>P</m:t>
                </m:r>
                <m:r>
                  <m:rPr>
                    <m:sty m:val="p"/>
                  </m:rPr>
                  <w:rPr>
                    <w:rFonts w:ascii="Cambria Math" w:hAnsi="Cambria Math"/>
                  </w:rPr>
                  <m:t>:</m:t>
                </m:r>
                <m:r>
                  <w:rPr>
                    <w:rFonts w:ascii="Cambria Math" w:hAnsi="Cambria Math"/>
                  </w:rPr>
                  <m:t> y</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x</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oMath>
            </m:oMathPara>
          </w:p>
        </w:tc>
        <w:tc>
          <w:tcPr>
            <w:tcW w:w="680" w:type="dxa"/>
            <w:vAlign w:val="center"/>
          </w:tcPr>
          <w:p w14:paraId="6644437F" w14:textId="77777777" w:rsidR="00AA4A47" w:rsidRDefault="00000000">
            <w:pPr>
              <w:spacing w:before="40" w:after="40"/>
              <w:jc w:val="right"/>
            </w:pPr>
            <w:r>
              <w:rPr>
                <w:sz w:val="20"/>
              </w:rPr>
              <w:t>(5)</w:t>
            </w:r>
          </w:p>
        </w:tc>
      </w:tr>
    </w:tbl>
    <w:p w14:paraId="638F65B4" w14:textId="77777777" w:rsidR="00AA4A47" w:rsidRDefault="00000000">
      <w:pPr>
        <w:pStyle w:val="BodyText"/>
      </w:pPr>
      <w:r>
        <w:t xml:space="preserve">The descending </w:t>
      </w:r>
      <w:r>
        <w:rPr>
          <w:i/>
          <w:iCs/>
        </w:rPr>
        <w:t>P</w:t>
      </w:r>
      <w:r>
        <w:t xml:space="preserve"> locus has slope -P0/(1-P0), so its orientation depends on the reference release probability. This construction is closely related to the graphical analysis used by Humeau et al. (2007) to distinguish changes in release-site number from changes in release probability.</w:t>
      </w:r>
    </w:p>
    <w:p w14:paraId="0F3D935E" w14:textId="77777777" w:rsidR="00AA4A47" w:rsidRDefault="00000000">
      <w:pPr>
        <w:pStyle w:val="BodyText"/>
      </w:pPr>
      <w:r>
        <w:t xml:space="preserve">The two-state geometry is diagnostic rather than fully identifying. Two normalized observables cannot determine three independent parameter ratios. Under the explicit constraint that </w:t>
      </w:r>
      <w:r>
        <w:rPr>
          <w:i/>
          <w:iCs/>
        </w:rPr>
        <w:t>Q</w:t>
      </w:r>
      <w:r>
        <w:t xml:space="preserve"> is unchanged, however, </w:t>
      </w:r>
      <w:r>
        <w:rPr>
          <w:i/>
          <w:iCs/>
        </w:rPr>
        <w:t>P</w:t>
      </w:r>
      <w:r>
        <w:t xml:space="preserve"> and </w:t>
      </w:r>
      <w:r>
        <w:rPr>
          <w:i/>
          <w:iCs/>
        </w:rPr>
        <w:t>N</w:t>
      </w:r>
      <w:r>
        <w:t xml:space="preserve"> can be decomposed as</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0C8731B7" w14:textId="77777777">
        <w:trPr>
          <w:cantSplit/>
          <w:jc w:val="center"/>
        </w:trPr>
        <w:tc>
          <w:tcPr>
            <w:tcW w:w="7937" w:type="dxa"/>
            <w:vAlign w:val="center"/>
          </w:tcPr>
          <w:p w14:paraId="484B42FB" w14:textId="77777777" w:rsidR="00AA4A47" w:rsidRDefault="00000000">
            <w:pPr>
              <w:spacing w:before="40" w:after="4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ρ</m:t>
                        </m:r>
                      </m:e>
                      <m:sub>
                        <m:r>
                          <w:rPr>
                            <w:rFonts w:ascii="Cambria Math" w:hAnsi="Cambria Math"/>
                          </w:rPr>
                          <m:t>P</m:t>
                        </m:r>
                      </m:sub>
                    </m:sSub>
                  </m:den>
                </m:f>
                <m:r>
                  <m:rPr>
                    <m:sty m:val="p"/>
                  </m:rPr>
                  <w:rPr>
                    <w:rFonts w:ascii="Cambria Math" w:hAnsi="Cambria Math"/>
                  </w:rPr>
                  <m:t>.</m:t>
                </m:r>
              </m:oMath>
            </m:oMathPara>
          </w:p>
        </w:tc>
        <w:tc>
          <w:tcPr>
            <w:tcW w:w="680" w:type="dxa"/>
            <w:vAlign w:val="center"/>
          </w:tcPr>
          <w:p w14:paraId="0A557C1E" w14:textId="77777777" w:rsidR="00AA4A47" w:rsidRDefault="00000000">
            <w:pPr>
              <w:spacing w:before="40" w:after="40"/>
              <w:jc w:val="right"/>
            </w:pPr>
            <w:r>
              <w:rPr>
                <w:sz w:val="20"/>
              </w:rPr>
              <w:t>(6)</w:t>
            </w:r>
          </w:p>
        </w:tc>
      </w:tr>
    </w:tbl>
    <w:p w14:paraId="398AF067" w14:textId="77777777" w:rsidR="00AA4A47" w:rsidRDefault="00000000">
      <w:pPr>
        <w:pStyle w:val="BodyText"/>
      </w:pPr>
      <w:r>
        <w:t>Values obtained from Eq. (6) are referred to as apparent event-wise estimates because their interpretation depends on the fixed-</w:t>
      </w:r>
      <w:r>
        <w:rPr>
          <w:i/>
          <w:iCs/>
        </w:rPr>
        <w:t>Q</w:t>
      </w:r>
      <w:r>
        <w:t xml:space="preserve"> constraint and the binomial assumptions.</w:t>
      </w:r>
    </w:p>
    <w:p w14:paraId="22357EBB" w14:textId="77777777" w:rsidR="00AA4A47" w:rsidRDefault="00000000">
      <w:pPr>
        <w:pStyle w:val="Heading2"/>
      </w:pPr>
      <w:bookmarkStart w:id="7" w:name="bias-produced-by-parameter-heterogeneity"/>
      <w:bookmarkEnd w:id="6"/>
      <w:r>
        <w:t>2.4. Bias produced by parameter heterogeneity</w:t>
      </w:r>
    </w:p>
    <w:p w14:paraId="794B8134" w14:textId="77777777" w:rsidR="00AA4A47" w:rsidRDefault="00000000">
      <w:r>
        <w:t>If quantal size varies within the analyzed response and release probability varies across sites, the variance-mean relation becomes, to the approximation used in MPFA,</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6EE90542" w14:textId="77777777">
        <w:trPr>
          <w:cantSplit/>
          <w:jc w:val="center"/>
        </w:trPr>
        <w:tc>
          <w:tcPr>
            <w:tcW w:w="7937" w:type="dxa"/>
            <w:vAlign w:val="center"/>
          </w:tcPr>
          <w:p w14:paraId="60A8ADB6" w14:textId="77777777" w:rsidR="00AA4A47" w:rsidRDefault="00000000">
            <w:pPr>
              <w:spacing w:before="40" w:after="40"/>
              <w:jc w:val="center"/>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Q</m:t>
                        </m:r>
                      </m:sub>
                      <m:sup>
                        <m:r>
                          <w:rPr>
                            <w:rFonts w:ascii="Cambria Math" w:hAnsi="Cambria Math"/>
                          </w:rPr>
                          <m:t>2</m:t>
                        </m:r>
                      </m:sup>
                    </m:sSubSup>
                  </m:e>
                </m:d>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P</m:t>
                        </m:r>
                      </m:sub>
                      <m:sup>
                        <m:r>
                          <w:rPr>
                            <w:rFonts w:ascii="Cambria Math" w:hAnsi="Cambria Math"/>
                          </w:rPr>
                          <m:t>2</m:t>
                        </m:r>
                      </m:sup>
                    </m:sSubSup>
                  </m:e>
                </m:d>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N</m:t>
                    </m:r>
                  </m:den>
                </m:f>
                <m:r>
                  <m:rPr>
                    <m:sty m:val="p"/>
                  </m:rPr>
                  <w:rPr>
                    <w:rFonts w:ascii="Cambria Math" w:hAnsi="Cambria Math"/>
                  </w:rPr>
                  <m:t>.</m:t>
                </m:r>
              </m:oMath>
            </m:oMathPara>
          </w:p>
        </w:tc>
        <w:tc>
          <w:tcPr>
            <w:tcW w:w="680" w:type="dxa"/>
            <w:vAlign w:val="center"/>
          </w:tcPr>
          <w:p w14:paraId="421D08D7" w14:textId="77777777" w:rsidR="00AA4A47" w:rsidRDefault="00000000">
            <w:pPr>
              <w:spacing w:before="40" w:after="40"/>
              <w:jc w:val="right"/>
            </w:pPr>
            <w:r>
              <w:rPr>
                <w:sz w:val="20"/>
              </w:rPr>
              <w:t>(7)</w:t>
            </w:r>
          </w:p>
        </w:tc>
      </w:tr>
    </w:tbl>
    <w:p w14:paraId="7C7B970E" w14:textId="77777777" w:rsidR="00AA4A47" w:rsidRDefault="00000000">
      <w:pPr>
        <w:pStyle w:val="BodyText"/>
      </w:pPr>
      <w:r>
        <w:t>A homogeneous fit then returns apparent parameters</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27810DC0" w14:textId="77777777">
        <w:trPr>
          <w:cantSplit/>
          <w:jc w:val="center"/>
        </w:trPr>
        <w:tc>
          <w:tcPr>
            <w:tcW w:w="7937" w:type="dxa"/>
            <w:vAlign w:val="center"/>
          </w:tcPr>
          <w:p w14:paraId="2C5EEB73" w14:textId="77777777" w:rsidR="00AA4A47" w:rsidRDefault="00000000">
            <w:pPr>
              <w:spacing w:before="40" w:after="4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app</m:t>
                    </m:r>
                  </m:sub>
                </m:sSub>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Q</m:t>
                        </m:r>
                      </m:sub>
                      <m:sup>
                        <m:r>
                          <w:rPr>
                            <w:rFonts w:ascii="Cambria Math" w:hAnsi="Cambria Math"/>
                          </w:rPr>
                          <m:t>2</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app</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1</m:t>
                    </m:r>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P</m:t>
                        </m:r>
                      </m:sub>
                      <m:sup>
                        <m:r>
                          <w:rPr>
                            <w:rFonts w:ascii="Cambria Math" w:hAnsi="Cambria Math"/>
                          </w:rPr>
                          <m:t>2</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app</m:t>
                    </m:r>
                  </m:sub>
                </m:sSub>
                <m:r>
                  <m:rPr>
                    <m:sty m:val="p"/>
                  </m:rPr>
                  <w:rPr>
                    <w:rFonts w:ascii="Cambria Math" w:hAnsi="Cambria Math"/>
                  </w:rPr>
                  <m:t>=</m:t>
                </m:r>
                <m:r>
                  <w:rPr>
                    <w:rFonts w:ascii="Cambria Math" w:hAnsi="Cambria Math"/>
                  </w:rPr>
                  <m:t>P</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P</m:t>
                        </m:r>
                      </m:sub>
                      <m:sup>
                        <m:r>
                          <w:rPr>
                            <w:rFonts w:ascii="Cambria Math" w:hAnsi="Cambria Math"/>
                          </w:rPr>
                          <m:t>2</m:t>
                        </m:r>
                      </m:sup>
                    </m:sSubSup>
                  </m:num>
                  <m:den>
                    <m:r>
                      <w:rPr>
                        <w:rFonts w:ascii="Cambria Math" w:hAnsi="Cambria Math"/>
                      </w:rPr>
                      <m:t>1</m:t>
                    </m:r>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Q</m:t>
                        </m:r>
                      </m:sub>
                      <m:sup>
                        <m:r>
                          <w:rPr>
                            <w:rFonts w:ascii="Cambria Math" w:hAnsi="Cambria Math"/>
                          </w:rPr>
                          <m:t>2</m:t>
                        </m:r>
                      </m:sup>
                    </m:sSubSup>
                  </m:den>
                </m:f>
                <m:r>
                  <m:rPr>
                    <m:sty m:val="p"/>
                  </m:rPr>
                  <w:rPr>
                    <w:rFonts w:ascii="Cambria Math" w:hAnsi="Cambria Math"/>
                  </w:rPr>
                  <m:t>.</m:t>
                </m:r>
              </m:oMath>
            </m:oMathPara>
          </w:p>
        </w:tc>
        <w:tc>
          <w:tcPr>
            <w:tcW w:w="680" w:type="dxa"/>
            <w:vAlign w:val="center"/>
          </w:tcPr>
          <w:p w14:paraId="507B5BE4" w14:textId="77777777" w:rsidR="00AA4A47" w:rsidRDefault="00000000">
            <w:pPr>
              <w:spacing w:before="40" w:after="40"/>
              <w:jc w:val="right"/>
            </w:pPr>
            <w:r>
              <w:rPr>
                <w:sz w:val="20"/>
              </w:rPr>
              <w:t>(8)</w:t>
            </w:r>
          </w:p>
        </w:tc>
      </w:tr>
    </w:tbl>
    <w:p w14:paraId="1CF94303" w14:textId="77777777" w:rsidR="00AA4A47" w:rsidRDefault="00000000">
      <w:pPr>
        <w:pStyle w:val="BodyText"/>
      </w:pPr>
      <w:r>
        <w:t xml:space="preserve">Thus, quantal-size variability steepens the initial slope, whereas heterogeneity in release probability increases the curvature and reduces the fitted site number (Silver, 2003). The software displays the homogeneous and heterogeneous predictions together. These expressions should be interpreted as sensitivity analyses unless </w:t>
      </w:r>
      <w:r>
        <w:rPr>
          <w:i/>
          <w:iCs/>
        </w:rPr>
        <w:t>CV</w:t>
      </w:r>
      <w:r w:rsidRPr="00160787">
        <w:rPr>
          <w:vertAlign w:val="subscript"/>
        </w:rPr>
        <w:t>Q</w:t>
      </w:r>
      <w:r>
        <w:t xml:space="preserve"> and </w:t>
      </w:r>
      <w:r>
        <w:rPr>
          <w:i/>
          <w:iCs/>
        </w:rPr>
        <w:t>CV</w:t>
      </w:r>
      <w:r w:rsidRPr="00160787">
        <w:rPr>
          <w:vertAlign w:val="subscript"/>
        </w:rPr>
        <w:t>P</w:t>
      </w:r>
      <w:r>
        <w:t xml:space="preserve"> are independently constrained; the first two moments alone generally do not identify both coefficients of variation and all three quantal parameters.</w:t>
      </w:r>
    </w:p>
    <w:p w14:paraId="218C8FC6" w14:textId="77777777" w:rsidR="00AA4A47" w:rsidRDefault="00000000">
      <w:pPr>
        <w:pStyle w:val="Heading2"/>
      </w:pPr>
      <w:bookmarkStart w:id="8" w:name="optical-observation-model"/>
      <w:bookmarkEnd w:id="7"/>
      <w:r>
        <w:t>2.5. Optical observation model</w:t>
      </w:r>
    </w:p>
    <w:p w14:paraId="287475EC" w14:textId="77777777" w:rsidR="00AA4A47" w:rsidRDefault="00000000">
      <w:r>
        <w:t xml:space="preserve">The release-linear mean at pulse </w:t>
      </w:r>
      <w:r>
        <w:rPr>
          <w:i/>
          <w:iCs/>
        </w:rPr>
        <w:t>k</w:t>
      </w:r>
      <w:r>
        <w:t xml:space="preserve"> is</w:t>
      </w:r>
    </w:p>
    <w:tbl>
      <w:tblPr>
        <w:tblW w:w="0" w:type="auto"/>
        <w:jc w:val="center"/>
        <w:tblBorders>
          <w:top w:val="nil"/>
          <w:left w:val="nil"/>
          <w:bottom w:val="nil"/>
          <w:right w:val="nil"/>
          <w:insideH w:val="nil"/>
          <w:insideV w:val="nil"/>
        </w:tblBorders>
        <w:tblLayout w:type="fixed"/>
        <w:tblLook w:val="0000" w:firstRow="0" w:lastRow="0" w:firstColumn="0" w:lastColumn="0" w:noHBand="0" w:noVBand="0"/>
      </w:tblPr>
      <w:tblGrid>
        <w:gridCol w:w="7937"/>
        <w:gridCol w:w="680"/>
      </w:tblGrid>
      <w:tr w:rsidR="00AA4A47" w14:paraId="67D897BE" w14:textId="77777777">
        <w:trPr>
          <w:cantSplit/>
          <w:jc w:val="center"/>
        </w:trPr>
        <w:tc>
          <w:tcPr>
            <w:tcW w:w="7937" w:type="dxa"/>
            <w:vAlign w:val="center"/>
          </w:tcPr>
          <w:p w14:paraId="16DCB428" w14:textId="77777777" w:rsidR="00AA4A47" w:rsidRDefault="00000000">
            <w:pPr>
              <w:spacing w:before="40" w:after="40"/>
              <w:jc w:val="center"/>
            </w:pPr>
            <m:oMathPara>
              <m:oMath>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Q</m:t>
                </m:r>
                <m:r>
                  <m:rPr>
                    <m:sty m:val="p"/>
                  </m:rPr>
                  <w:rPr>
                    <w:rFonts w:ascii="Cambria Math" w:hAnsi="Cambria Math"/>
                  </w:rPr>
                  <m:t>.</m:t>
                </m:r>
              </m:oMath>
            </m:oMathPara>
          </w:p>
        </w:tc>
        <w:tc>
          <w:tcPr>
            <w:tcW w:w="680" w:type="dxa"/>
            <w:vAlign w:val="center"/>
          </w:tcPr>
          <w:p w14:paraId="2BF818B5" w14:textId="77777777" w:rsidR="00AA4A47" w:rsidRDefault="00000000">
            <w:pPr>
              <w:spacing w:before="40" w:after="40"/>
              <w:jc w:val="right"/>
            </w:pPr>
            <w:r>
              <w:rPr>
                <w:sz w:val="20"/>
              </w:rPr>
              <w:t>(9)</w:t>
            </w:r>
          </w:p>
        </w:tc>
      </w:tr>
    </w:tbl>
    <w:p w14:paraId="7B423281" w14:textId="77777777" w:rsidR="00AA4A47" w:rsidRDefault="00000000">
      <w:pPr>
        <w:pStyle w:val="BodyText"/>
      </w:pPr>
      <w:r>
        <w:t>To visualize the effect of optical sublinearity on train amplitudes, the current implementation applies the phenomenological transfer</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67EF357C" w14:textId="77777777">
        <w:trPr>
          <w:cantSplit/>
          <w:jc w:val="center"/>
        </w:trPr>
        <w:tc>
          <w:tcPr>
            <w:tcW w:w="7937" w:type="dxa"/>
            <w:vAlign w:val="center"/>
          </w:tcPr>
          <w:p w14:paraId="359880F1" w14:textId="77777777" w:rsidR="00AA4A47" w:rsidRDefault="00000000">
            <w:pPr>
              <w:spacing w:before="40" w:after="40"/>
              <w:jc w:val="center"/>
            </w:pPr>
            <m:oMathPara>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sat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K</m:t>
                        </m:r>
                      </m:e>
                      <m:sub>
                        <m:r>
                          <m:rPr>
                            <m:sty m:val="p"/>
                          </m:rPr>
                          <w:rPr>
                            <w:rFonts w:ascii="Cambria Math" w:hAnsi="Cambria Math"/>
                          </w:rPr>
                          <m:t>sat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den>
                </m:f>
                <m:r>
                  <m:rPr>
                    <m:sty m:val="p"/>
                  </m:rPr>
                  <w:rPr>
                    <w:rFonts w:ascii="Cambria Math" w:hAnsi="Cambria Math"/>
                  </w:rPr>
                  <m:t>,</m:t>
                </m:r>
              </m:oMath>
            </m:oMathPara>
          </w:p>
        </w:tc>
        <w:tc>
          <w:tcPr>
            <w:tcW w:w="680" w:type="dxa"/>
            <w:vAlign w:val="center"/>
          </w:tcPr>
          <w:p w14:paraId="36975D9E" w14:textId="77777777" w:rsidR="00AA4A47" w:rsidRDefault="00000000">
            <w:pPr>
              <w:spacing w:before="40" w:after="40"/>
              <w:jc w:val="right"/>
            </w:pPr>
            <w:r>
              <w:rPr>
                <w:sz w:val="20"/>
              </w:rPr>
              <w:t>(10)</w:t>
            </w:r>
          </w:p>
        </w:tc>
      </w:tr>
    </w:tbl>
    <w:p w14:paraId="5EE3D400" w14:textId="77777777" w:rsidR="00AA4A47" w:rsidRDefault="00000000">
      <w:pPr>
        <w:pStyle w:val="BodyText"/>
      </w:pPr>
      <w:r>
        <w:lastRenderedPageBreak/>
        <w:t xml:space="preserve">which is normalized so that </w:t>
      </w:r>
      <w:r>
        <w:rPr>
          <w:i/>
          <w:iCs/>
        </w:rPr>
        <w:t>F</w:t>
      </w:r>
      <w:r>
        <w:t xml:space="preserve">1 = </w:t>
      </w:r>
      <w:r>
        <w:rPr>
          <w:i/>
          <w:iCs/>
        </w:rPr>
        <w:t>L</w:t>
      </w:r>
      <w:r>
        <w:t xml:space="preserve">1. As </w:t>
      </w:r>
      <w:r>
        <w:rPr>
          <w:i/>
          <w:iCs/>
        </w:rPr>
        <w:t>K</w:t>
      </w:r>
      <w:r>
        <w:t xml:space="preserve">sat approaches infinity the readout is linear; as </w:t>
      </w:r>
      <w:r>
        <w:rPr>
          <w:i/>
          <w:iCs/>
        </w:rPr>
        <w:t>K</w:t>
      </w:r>
      <w:r>
        <w:t xml:space="preserve">sat approaches zero, responses approach a common saturated amplitude. </w:t>
      </w:r>
      <w:r>
        <w:rPr>
          <w:i/>
          <w:iCs/>
        </w:rPr>
        <w:t>K</w:t>
      </w:r>
      <w:r>
        <w:t>sat is an effective response-scale parameter and should not be interpreted as the molecular dissociation constant of the sensor.</w:t>
      </w:r>
    </w:p>
    <w:p w14:paraId="6548EACD" w14:textId="77777777" w:rsidR="00AA4A47" w:rsidRDefault="00000000">
      <w:pPr>
        <w:pStyle w:val="BodyText"/>
      </w:pPr>
      <w:r>
        <w:t>Equation (10) is used only as a mean-response diagnostic for paired-pulse and train ratios. It does not transform the trial-level amplitude distribution or its variance. Accordingly, MPFA should be applied only within the approximately linear sensor range, or with a full trial-level observation model that propagates optical nonlinearity into both mean and variance. This distinction prevents a mean-only saturation correction from being mistaken for a complete likelihood model of fluorescence data.</w:t>
      </w:r>
    </w:p>
    <w:p w14:paraId="39649C68" w14:textId="77777777" w:rsidR="00AA4A47" w:rsidRDefault="00000000">
      <w:pPr>
        <w:pStyle w:val="Heading2"/>
      </w:pPr>
      <w:bookmarkStart w:id="9" w:name="dynamic-model-for-stimulus-trains"/>
      <w:bookmarkEnd w:id="8"/>
      <w:r>
        <w:t>2.6. Dynamic model for stimulus trains</w:t>
      </w:r>
    </w:p>
    <w:p w14:paraId="63D104C4" w14:textId="77777777" w:rsidR="00AA4A47" w:rsidRDefault="00000000">
      <w:r>
        <w:t>The train model separates latent drive, occupancy, and event-wise apparent output. The latent competent-site ceiling and release-probability drive approach asymptotes with stimulus number:</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70F86FDC" w14:textId="77777777">
        <w:trPr>
          <w:cantSplit/>
          <w:jc w:val="center"/>
        </w:trPr>
        <w:tc>
          <w:tcPr>
            <w:tcW w:w="7937" w:type="dxa"/>
            <w:vAlign w:val="center"/>
          </w:tcPr>
          <w:p w14:paraId="64B0BBE0" w14:textId="77777777" w:rsidR="00AA4A47" w:rsidRDefault="00000000">
            <w:pPr>
              <w:spacing w:before="40" w:after="40"/>
              <w:jc w:val="center"/>
            </w:pPr>
            <m:oMathPara>
              <m:oMath>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e>
                </m:d>
                <m:d>
                  <m:dPr>
                    <m:begChr m:val="["/>
                    <m:endChr m:val="]"/>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N</m:t>
                                </m:r>
                              </m:sub>
                            </m:sSub>
                          </m:den>
                        </m:f>
                      </m:e>
                    </m:d>
                  </m:e>
                </m:d>
                <m:r>
                  <m:rPr>
                    <m:sty m:val="p"/>
                  </m:rPr>
                  <w:rPr>
                    <w:rFonts w:ascii="Cambria Math" w:hAnsi="Cambria Math"/>
                  </w:rPr>
                  <m:t>,</m:t>
                </m:r>
              </m:oMath>
            </m:oMathPara>
          </w:p>
        </w:tc>
        <w:tc>
          <w:tcPr>
            <w:tcW w:w="680" w:type="dxa"/>
            <w:vAlign w:val="center"/>
          </w:tcPr>
          <w:p w14:paraId="6B24770F" w14:textId="77777777" w:rsidR="00AA4A47" w:rsidRDefault="00000000">
            <w:pPr>
              <w:spacing w:before="40" w:after="40"/>
              <w:jc w:val="right"/>
            </w:pPr>
            <w:r>
              <w:rPr>
                <w:sz w:val="20"/>
              </w:rPr>
              <w:t>(11)</w:t>
            </w:r>
          </w:p>
        </w:tc>
      </w:tr>
    </w:tbl>
    <w:p w14:paraId="05E83D0B" w14:textId="77777777" w:rsidR="00AA4A47" w:rsidRDefault="00AA4A47"/>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5C0336FF" w14:textId="77777777">
        <w:trPr>
          <w:cantSplit/>
          <w:jc w:val="center"/>
        </w:trPr>
        <w:tc>
          <w:tcPr>
            <w:tcW w:w="7937" w:type="dxa"/>
            <w:vAlign w:val="center"/>
          </w:tcPr>
          <w:p w14:paraId="397A74B0" w14:textId="77777777" w:rsidR="00AA4A47" w:rsidRDefault="00000000">
            <w:pPr>
              <w:spacing w:before="40" w:after="40"/>
              <w:jc w:val="cente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P</m:t>
                            </m:r>
                          </m:sub>
                        </m:sSub>
                      </m:den>
                    </m:f>
                  </m:e>
                </m:d>
                <m:r>
                  <m:rPr>
                    <m:sty m:val="p"/>
                  </m:rPr>
                  <w:rPr>
                    <w:rFonts w:ascii="Cambria Math" w:hAnsi="Cambria Math"/>
                  </w:rPr>
                  <m:t>.</m:t>
                </m:r>
              </m:oMath>
            </m:oMathPara>
          </w:p>
        </w:tc>
        <w:tc>
          <w:tcPr>
            <w:tcW w:w="680" w:type="dxa"/>
            <w:vAlign w:val="center"/>
          </w:tcPr>
          <w:p w14:paraId="29DB456D" w14:textId="77777777" w:rsidR="00AA4A47" w:rsidRDefault="00000000">
            <w:pPr>
              <w:spacing w:before="40" w:after="40"/>
              <w:jc w:val="right"/>
            </w:pPr>
            <w:r>
              <w:rPr>
                <w:sz w:val="20"/>
              </w:rPr>
              <w:t>(12)</w:t>
            </w:r>
          </w:p>
        </w:tc>
      </w:tr>
    </w:tbl>
    <w:p w14:paraId="0261AAA9" w14:textId="77777777" w:rsidR="00AA4A47" w:rsidRDefault="00000000">
      <w:pPr>
        <w:pStyle w:val="BodyText"/>
      </w:pPr>
      <w:r>
        <w:t>Replenishment per stimulus may be constant or may evolve toward a steady-state value:</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10BF10B9" w14:textId="77777777">
        <w:trPr>
          <w:cantSplit/>
          <w:jc w:val="center"/>
        </w:trPr>
        <w:tc>
          <w:tcPr>
            <w:tcW w:w="7937" w:type="dxa"/>
            <w:vAlign w:val="center"/>
          </w:tcPr>
          <w:p w14:paraId="77DCB696" w14:textId="77777777" w:rsidR="00AA4A47" w:rsidRDefault="00000000">
            <w:pPr>
              <w:spacing w:before="40" w:after="40"/>
              <w:jc w:val="center"/>
            </w:pPr>
            <m:oMathPara>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1</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RR</m:t>
                            </m:r>
                          </m:sub>
                        </m:sSub>
                      </m:den>
                    </m:f>
                  </m:e>
                </m:d>
                <m:r>
                  <m:rPr>
                    <m:sty m:val="p"/>
                  </m:rPr>
                  <w:rPr>
                    <w:rFonts w:ascii="Cambria Math" w:hAnsi="Cambria Math"/>
                  </w:rPr>
                  <m:t>.</m:t>
                </m:r>
              </m:oMath>
            </m:oMathPara>
          </w:p>
        </w:tc>
        <w:tc>
          <w:tcPr>
            <w:tcW w:w="680" w:type="dxa"/>
            <w:vAlign w:val="center"/>
          </w:tcPr>
          <w:p w14:paraId="6955843D" w14:textId="77777777" w:rsidR="00AA4A47" w:rsidRDefault="00000000">
            <w:pPr>
              <w:spacing w:before="40" w:after="40"/>
              <w:jc w:val="right"/>
            </w:pPr>
            <w:r>
              <w:rPr>
                <w:sz w:val="20"/>
              </w:rPr>
              <w:t>(13)</w:t>
            </w:r>
          </w:p>
        </w:tc>
      </w:tr>
    </w:tbl>
    <w:p w14:paraId="0CF146A7" w14:textId="77777777" w:rsidR="00AA4A47" w:rsidRDefault="00000000">
      <w:pPr>
        <w:pStyle w:val="BodyText"/>
      </w:pPr>
      <w:r>
        <w:t xml:space="preserve">Let </w:t>
      </w:r>
      <w:r>
        <w:rPr>
          <w:i/>
          <w:iCs/>
        </w:rPr>
        <w:t>R</w:t>
      </w:r>
      <w:r>
        <w:t xml:space="preserve">k be the ready pool immediately before pulse </w:t>
      </w:r>
      <w:r>
        <w:rPr>
          <w:i/>
          <w:iCs/>
        </w:rPr>
        <w:t>k</w:t>
      </w:r>
      <w:r>
        <w:t xml:space="preserve">. The expected number of released quanta is </w:t>
      </w:r>
      <w:r>
        <w:rPr>
          <w:i/>
          <w:iCs/>
        </w:rPr>
        <w:t>R</w:t>
      </w:r>
      <w:r>
        <w:t>k</w:t>
      </w:r>
      <w:r>
        <w:rPr>
          <w:i/>
          <w:iCs/>
        </w:rPr>
        <w:t>P</w:t>
      </w:r>
      <w:r>
        <w:t xml:space="preserve">k and the post-release pool is </w:t>
      </w:r>
      <w:r>
        <w:rPr>
          <w:i/>
          <w:iCs/>
        </w:rPr>
        <w:t>R</w:t>
      </w:r>
      <w:r>
        <w:t xml:space="preserve">kpost = </w:t>
      </w:r>
      <w:r>
        <w:rPr>
          <w:i/>
          <w:iCs/>
        </w:rPr>
        <w:t>R</w:t>
      </w:r>
      <w:r>
        <w:t>k(1-</w:t>
      </w:r>
      <w:r>
        <w:rPr>
          <w:i/>
          <w:iCs/>
        </w:rPr>
        <w:t>P</w:t>
      </w:r>
      <w:r>
        <w:t>k). In the current mean-field implementation,</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7D2ECDFC" w14:textId="77777777">
        <w:trPr>
          <w:cantSplit/>
          <w:jc w:val="center"/>
        </w:trPr>
        <w:tc>
          <w:tcPr>
            <w:tcW w:w="7937" w:type="dxa"/>
            <w:vAlign w:val="center"/>
          </w:tcPr>
          <w:p w14:paraId="1F30260C" w14:textId="77777777" w:rsidR="00AA4A47" w:rsidRDefault="00000000">
            <w:pPr>
              <w:spacing w:before="40" w:after="40"/>
              <w:jc w:val="center"/>
            </w:pPr>
            <m:oMathPara>
              <m:oMath>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=min</m:t>
                </m:r>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post</m:t>
                        </m:r>
                      </m:sup>
                    </m:sSubSup>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m:t>
                            </m:r>
                          </m:sup>
                        </m:sSubSup>
                      </m:e>
                    </m:d>
                  </m:e>
                </m:d>
                <m:r>
                  <m:rPr>
                    <m:sty m:val="p"/>
                  </m:rPr>
                  <w:rPr>
                    <w:rFonts w:ascii="Cambria Math" w:hAnsi="Cambria Math"/>
                  </w:rPr>
                  <m:t>.</m:t>
                </m:r>
              </m:oMath>
            </m:oMathPara>
          </w:p>
        </w:tc>
        <w:tc>
          <w:tcPr>
            <w:tcW w:w="680" w:type="dxa"/>
            <w:vAlign w:val="center"/>
          </w:tcPr>
          <w:p w14:paraId="153068BD" w14:textId="77777777" w:rsidR="00AA4A47" w:rsidRDefault="00000000">
            <w:pPr>
              <w:spacing w:before="40" w:after="40"/>
              <w:jc w:val="right"/>
            </w:pPr>
            <w:r>
              <w:rPr>
                <w:sz w:val="20"/>
              </w:rPr>
              <w:t>(14)</w:t>
            </w:r>
          </w:p>
        </w:tc>
      </w:tr>
    </w:tbl>
    <w:p w14:paraId="07A126A6" w14:textId="77777777" w:rsidR="00AA4A47" w:rsidRDefault="00000000">
      <w:pPr>
        <w:pStyle w:val="BodyText"/>
      </w:pPr>
      <w:r>
        <w:t>The event-wise moments are then calculated from the occupied pool:</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3918FF89" w14:textId="77777777">
        <w:trPr>
          <w:cantSplit/>
          <w:jc w:val="center"/>
        </w:trPr>
        <w:tc>
          <w:tcPr>
            <w:tcW w:w="7937" w:type="dxa"/>
            <w:vAlign w:val="center"/>
          </w:tcPr>
          <w:p w14:paraId="4C546993" w14:textId="77777777" w:rsidR="00AA4A47" w:rsidRDefault="00000000">
            <w:pPr>
              <w:spacing w:before="40" w:after="4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Q</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Q</m:t>
                        </m:r>
                      </m:sub>
                      <m:sup>
                        <m:r>
                          <w:rPr>
                            <w:rFonts w:ascii="Cambria Math" w:hAnsi="Cambria Math"/>
                          </w:rPr>
                          <m:t>2</m:t>
                        </m:r>
                      </m:sup>
                    </m:sSubSup>
                  </m:e>
                </m:d>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P</m:t>
                        </m:r>
                      </m:sub>
                      <m:sup>
                        <m:r>
                          <w:rPr>
                            <w:rFonts w:ascii="Cambria Math" w:hAnsi="Cambria Math"/>
                          </w:rPr>
                          <m:t>2</m:t>
                        </m:r>
                      </m:sup>
                    </m:sSubSup>
                  </m:e>
                </m:d>
                <m:f>
                  <m:fPr>
                    <m:ctrlPr>
                      <w:rPr>
                        <w:rFonts w:ascii="Cambria Math" w:hAnsi="Cambria Math"/>
                      </w:rPr>
                    </m:ctrlPr>
                  </m:fPr>
                  <m:num>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k</m:t>
                        </m:r>
                      </m:sub>
                    </m:sSub>
                  </m:den>
                </m:f>
                <m:r>
                  <m:rPr>
                    <m:sty m:val="p"/>
                  </m:rPr>
                  <w:rPr>
                    <w:rFonts w:ascii="Cambria Math" w:hAnsi="Cambria Math"/>
                  </w:rPr>
                  <m:t>.</m:t>
                </m:r>
              </m:oMath>
            </m:oMathPara>
          </w:p>
        </w:tc>
        <w:tc>
          <w:tcPr>
            <w:tcW w:w="680" w:type="dxa"/>
            <w:vAlign w:val="center"/>
          </w:tcPr>
          <w:p w14:paraId="5D62F9E0" w14:textId="77777777" w:rsidR="00AA4A47" w:rsidRDefault="00000000">
            <w:pPr>
              <w:spacing w:before="40" w:after="40"/>
              <w:jc w:val="right"/>
            </w:pPr>
            <w:r>
              <w:rPr>
                <w:sz w:val="20"/>
              </w:rPr>
              <w:t>(15)</w:t>
            </w:r>
          </w:p>
        </w:tc>
      </w:tr>
    </w:tbl>
    <w:p w14:paraId="0F0FF999" w14:textId="77777777" w:rsidR="00AA4A47" w:rsidRDefault="00000000">
      <w:pPr>
        <w:pStyle w:val="BodyText"/>
      </w:pPr>
      <w:r>
        <w:t xml:space="preserve">Within this model, </w:t>
      </w:r>
      <w:r>
        <w:rPr>
          <w:i/>
          <w:iCs/>
        </w:rPr>
        <w:t>R</w:t>
      </w:r>
      <w:r>
        <w:t xml:space="preserve">k is the site count available to event-wise fluctuation analysis. It is therefore the quantity most closely related to apparent </w:t>
      </w:r>
      <w:r>
        <w:rPr>
          <w:i/>
          <w:iCs/>
        </w:rPr>
        <w:t>N</w:t>
      </w:r>
      <w:r>
        <w:t xml:space="preserve">k. A site that is competent in principle but empty at pulse </w:t>
      </w:r>
      <w:r>
        <w:rPr>
          <w:i/>
          <w:iCs/>
        </w:rPr>
        <w:t>k</w:t>
      </w:r>
      <w:r>
        <w:t xml:space="preserve"> does not contribute to </w:t>
      </w:r>
      <w:r>
        <w:rPr>
          <w:i/>
          <w:iCs/>
        </w:rPr>
        <w:t>R</w:t>
      </w:r>
      <w:r>
        <w:t xml:space="preserve">k. This distinction explains why an apparent </w:t>
      </w:r>
      <w:r>
        <w:rPr>
          <w:i/>
          <w:iCs/>
        </w:rPr>
        <w:t>N</w:t>
      </w:r>
      <w:r>
        <w:t xml:space="preserve">k trajectory need not reproduce the latent ceiling </w:t>
      </w:r>
      <w:r>
        <w:rPr>
          <w:i/>
          <w:iCs/>
        </w:rPr>
        <w:t>N</w:t>
      </w:r>
      <w:r>
        <w:t xml:space="preserve">k* and why an apparent </w:t>
      </w:r>
      <w:r>
        <w:rPr>
          <w:i/>
          <w:iCs/>
        </w:rPr>
        <w:t>P</w:t>
      </w:r>
      <w:r>
        <w:t>k trajectory cannot be interpreted independently of occupancy.</w:t>
      </w:r>
    </w:p>
    <w:p w14:paraId="72E7195A" w14:textId="77777777" w:rsidR="00AA4A47" w:rsidRDefault="00000000">
      <w:pPr>
        <w:pStyle w:val="BodyText"/>
      </w:pPr>
      <w:r>
        <w:t>The per-stimulus replenishment law in Eq. (13) matches the current implementation. For comparisons across stimulation frequencies, a time-based refill law is more biophysical:</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116CEA8F" w14:textId="77777777">
        <w:trPr>
          <w:cantSplit/>
          <w:jc w:val="center"/>
        </w:trPr>
        <w:tc>
          <w:tcPr>
            <w:tcW w:w="7937" w:type="dxa"/>
            <w:vAlign w:val="center"/>
          </w:tcPr>
          <w:p w14:paraId="26C4896F" w14:textId="77777777" w:rsidR="00AA4A47" w:rsidRDefault="00000000">
            <w:pPr>
              <w:spacing w:before="40" w:after="40"/>
              <w:jc w:val="center"/>
            </w:pPr>
            <m:oMathPara>
              <m:oMath>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post</m:t>
                        </m:r>
                      </m:sup>
                    </m:sSubSup>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Δt</m:t>
                        </m:r>
                      </m:num>
                      <m:den>
                        <m:sSub>
                          <m:sSubPr>
                            <m:ctrlPr>
                              <w:rPr>
                                <w:rFonts w:ascii="Cambria Math" w:hAnsi="Cambria Math"/>
                              </w:rPr>
                            </m:ctrlPr>
                          </m:sSubPr>
                          <m:e>
                            <m:r>
                              <w:rPr>
                                <w:rFonts w:ascii="Cambria Math" w:hAnsi="Cambria Math"/>
                              </w:rPr>
                              <m:t>τ</m:t>
                            </m:r>
                          </m:e>
                          <m:sub>
                            <m:r>
                              <m:rPr>
                                <m:sty m:val="p"/>
                              </m:rPr>
                              <w:rPr>
                                <w:rFonts w:ascii="Cambria Math" w:hAnsi="Cambria Math"/>
                              </w:rPr>
                              <m:t>refill</m:t>
                            </m:r>
                          </m:sub>
                        </m:sSub>
                      </m:den>
                    </m:f>
                  </m:e>
                </m:d>
                <m:r>
                  <m:rPr>
                    <m:sty m:val="p"/>
                  </m:rPr>
                  <w:rPr>
                    <w:rFonts w:ascii="Cambria Math" w:hAnsi="Cambria Math"/>
                  </w:rPr>
                  <m:t>.</m:t>
                </m:r>
              </m:oMath>
            </m:oMathPara>
          </w:p>
        </w:tc>
        <w:tc>
          <w:tcPr>
            <w:tcW w:w="680" w:type="dxa"/>
            <w:vAlign w:val="center"/>
          </w:tcPr>
          <w:p w14:paraId="5CD924FD" w14:textId="77777777" w:rsidR="00AA4A47" w:rsidRDefault="00000000">
            <w:pPr>
              <w:spacing w:before="40" w:after="40"/>
              <w:jc w:val="right"/>
            </w:pPr>
            <w:r>
              <w:rPr>
                <w:sz w:val="20"/>
              </w:rPr>
              <w:t>(16)</w:t>
            </w:r>
          </w:p>
        </w:tc>
      </w:tr>
    </w:tbl>
    <w:p w14:paraId="1A6F31F7" w14:textId="77777777" w:rsidR="00AA4A47" w:rsidRDefault="00000000">
      <w:pPr>
        <w:pStyle w:val="BodyText"/>
      </w:pPr>
      <w:r>
        <w:t>Equation (16) should replace the per-stimulus parameterization when refill kinetics are to be interpreted across different inter-stimulus intervals.</w:t>
      </w:r>
    </w:p>
    <w:p w14:paraId="36DC852E" w14:textId="77777777" w:rsidR="00AA4A47" w:rsidRDefault="00000000">
      <w:pPr>
        <w:pStyle w:val="Heading2"/>
      </w:pPr>
      <w:bookmarkStart w:id="10" w:name="parameter-estimation-and-model-selection"/>
      <w:bookmarkEnd w:id="9"/>
      <w:r>
        <w:lastRenderedPageBreak/>
        <w:t>2.7. Parameter estimation and model selection</w:t>
      </w:r>
    </w:p>
    <w:p w14:paraId="44EE153F" w14:textId="77777777" w:rsidR="00AA4A47" w:rsidRDefault="00000000">
      <w:r>
        <w:t xml:space="preserve">The train fitter receives per-stimulus apparent </w:t>
      </w:r>
      <w:r>
        <w:rPr>
          <w:i/>
          <w:iCs/>
        </w:rPr>
        <w:t>P</w:t>
      </w:r>
      <w:r>
        <w:t xml:space="preserve">, apparent </w:t>
      </w:r>
      <w:r>
        <w:rPr>
          <w:i/>
          <w:iCs/>
        </w:rPr>
        <w:t>N</w:t>
      </w:r>
      <w:r>
        <w:t xml:space="preserve">, and paired-pulse ratio (PPR) series. </w:t>
      </w:r>
      <w:r>
        <w:rPr>
          <w:i/>
          <w:iCs/>
        </w:rPr>
        <w:t>N</w:t>
      </w:r>
      <w:r>
        <w:t xml:space="preserve">1 and </w:t>
      </w:r>
      <w:r>
        <w:rPr>
          <w:i/>
          <w:iCs/>
        </w:rPr>
        <w:t>P</w:t>
      </w:r>
      <w:r>
        <w:t xml:space="preserve">1 may be fixed to their measured first-pulse values. The remaining parameters are </w:t>
      </w:r>
      <w:r>
        <w:rPr>
          <w:i/>
          <w:iCs/>
        </w:rPr>
        <w:t>N</w:t>
      </w:r>
      <w:r>
        <w:t>∞/</w:t>
      </w:r>
      <w:r>
        <w:rPr>
          <w:i/>
          <w:iCs/>
        </w:rPr>
        <w:t>N</w:t>
      </w:r>
      <w:r>
        <w:t xml:space="preserve">1, τN, </w:t>
      </w:r>
      <w:r>
        <w:rPr>
          <w:i/>
          <w:iCs/>
        </w:rPr>
        <w:t>RR</w:t>
      </w:r>
      <w:r>
        <w:t xml:space="preserve">1, </w:t>
      </w:r>
      <w:r>
        <w:rPr>
          <w:i/>
          <w:iCs/>
        </w:rPr>
        <w:t>RR</w:t>
      </w:r>
      <w:r>
        <w:t xml:space="preserve">∞, τRR, </w:t>
      </w:r>
      <w:r>
        <w:rPr>
          <w:i/>
          <w:iCs/>
        </w:rPr>
        <w:t>P</w:t>
      </w:r>
      <w:r>
        <w:t>∞/</w:t>
      </w:r>
      <w:r>
        <w:rPr>
          <w:i/>
          <w:iCs/>
        </w:rPr>
        <w:t>P</w:t>
      </w:r>
      <w:r>
        <w:t xml:space="preserve">1, and τP. Because ratios do not identify the absolute quantal scale, </w:t>
      </w:r>
      <w:r>
        <w:rPr>
          <w:i/>
          <w:iCs/>
        </w:rPr>
        <w:t>Q</w:t>
      </w:r>
      <w:r>
        <w:t xml:space="preserve"> is fixed by an independent estimate; the demonstration code uses </w:t>
      </w:r>
      <w:r>
        <w:rPr>
          <w:i/>
          <w:iCs/>
        </w:rPr>
        <w:t>Q</w:t>
      </w:r>
      <w:r>
        <w:t xml:space="preserve"> = 0.5 ΔF/F0 per quantum.</w:t>
      </w:r>
    </w:p>
    <w:p w14:paraId="7CB1DC10" w14:textId="77777777" w:rsidR="00AA4A47" w:rsidRDefault="00000000">
      <w:pPr>
        <w:pStyle w:val="BodyText"/>
      </w:pPr>
      <w:r>
        <w:t xml:space="preserve">Parameters are constrained to physiological ranges through a logistic transformation and optimized with the Nelder-Mead algorithm (fminsearch) from multiple randomized starting points. Residuals from the apparent </w:t>
      </w:r>
      <w:r>
        <w:rPr>
          <w:i/>
          <w:iCs/>
        </w:rPr>
        <w:t>P</w:t>
      </w:r>
      <w:r>
        <w:t xml:space="preserve">, apparent </w:t>
      </w:r>
      <w:r>
        <w:rPr>
          <w:i/>
          <w:iCs/>
        </w:rPr>
        <w:t>N</w:t>
      </w:r>
      <w:r>
        <w:t xml:space="preserve">, and PPR series are normalized by their respective mean scales before weighting. The default demonstration weights apparent </w:t>
      </w:r>
      <w:r>
        <w:rPr>
          <w:i/>
          <w:iCs/>
        </w:rPr>
        <w:t>P</w:t>
      </w:r>
      <w:r>
        <w:t xml:space="preserve"> and </w:t>
      </w:r>
      <w:r>
        <w:rPr>
          <w:i/>
          <w:iCs/>
        </w:rPr>
        <w:t>N</w:t>
      </w:r>
      <w:r>
        <w:t xml:space="preserve"> during fitting and assigns zero weight to PPR, leaving PPR as a held-out consistency prediction.</w:t>
      </w:r>
    </w:p>
    <w:p w14:paraId="4E544B45" w14:textId="77777777" w:rsidR="00AA4A47" w:rsidRDefault="00000000">
      <w:pPr>
        <w:pStyle w:val="BodyText"/>
      </w:pPr>
      <w:r>
        <w:t>Constant and evolving replenishment are treated as nested models. The more complex model is retained only when an AIC-style criterion improves by more than two units. Because the objective combines normalized residual series rather than an explicit measurement likelihood, this criterion is best regarded as an information-based complexity penalty rather than an exact likelihood AIC.</w:t>
      </w:r>
    </w:p>
    <w:p w14:paraId="12D880D8" w14:textId="77777777" w:rsidR="00AA4A47" w:rsidRDefault="00000000">
      <w:pPr>
        <w:pStyle w:val="BodyText"/>
      </w:pPr>
      <w:r>
        <w:t xml:space="preserve">For the six-condition demonstration dataset, the two stimulation frequencies share the pre-train </w:t>
      </w:r>
      <w:r>
        <w:rPr>
          <w:i/>
          <w:iCs/>
        </w:rPr>
        <w:t>N</w:t>
      </w:r>
      <w:r>
        <w:t xml:space="preserve">1 and </w:t>
      </w:r>
      <w:r>
        <w:rPr>
          <w:i/>
          <w:iCs/>
        </w:rPr>
        <w:t>P</w:t>
      </w:r>
      <w:r>
        <w:t xml:space="preserve">1 estimates at each extracellular Ca²⁺ concentration. Absolute </w:t>
      </w:r>
      <w:r>
        <w:rPr>
          <w:i/>
          <w:iCs/>
        </w:rPr>
        <w:t>N</w:t>
      </w:r>
      <w:r>
        <w:t xml:space="preserve">∞ and </w:t>
      </w:r>
      <w:r>
        <w:rPr>
          <w:i/>
          <w:iCs/>
        </w:rPr>
        <w:t>P</w:t>
      </w:r>
      <w:r>
        <w:t>∞ are constrained not to decrease with increasing Ca²⁺ or stimulation frequency. These hierarchical constraints reduce boundary solutions and prevent the latent ceiling from becoming unidentifiable far above the observed ready-pool range.</w:t>
      </w:r>
    </w:p>
    <w:p w14:paraId="16D38BBA" w14:textId="77777777" w:rsidR="00AA4A47" w:rsidRDefault="00000000">
      <w:pPr>
        <w:pStyle w:val="BodyText"/>
      </w:pPr>
      <w:r>
        <w:t xml:space="preserve">After fitting release dynamics, the optical readout is compared with linear and saturating mean-response models. The optical parameter is fitted after the release model so that sensor sublinearity cannot compensate for errors in </w:t>
      </w:r>
      <w:r>
        <w:rPr>
          <w:i/>
          <w:iCs/>
        </w:rPr>
        <w:t>N</w:t>
      </w:r>
      <w:r>
        <w:t xml:space="preserve">, </w:t>
      </w:r>
      <w:r>
        <w:rPr>
          <w:i/>
          <w:iCs/>
        </w:rPr>
        <w:t>P</w:t>
      </w:r>
      <w:r>
        <w:t>, or replenishment.</w:t>
      </w:r>
    </w:p>
    <w:p w14:paraId="4CA42D52" w14:textId="77777777" w:rsidR="00AA4A47" w:rsidRDefault="00000000">
      <w:pPr>
        <w:pStyle w:val="Heading2"/>
      </w:pPr>
      <w:bookmarkStart w:id="11" w:name="independent-event-amplitude-likelihood"/>
      <w:bookmarkEnd w:id="10"/>
      <w:r>
        <w:t>2.8. Independent event-amplitude likelihood</w:t>
      </w:r>
    </w:p>
    <w:p w14:paraId="516B78F5" w14:textId="77777777" w:rsidR="00AA4A47" w:rsidRDefault="00000000">
      <w:r>
        <w:t xml:space="preserve">When trial-level amplitudes are available, an independent estimate of </w:t>
      </w:r>
      <w:r>
        <w:rPr>
          <w:i/>
          <w:iCs/>
        </w:rPr>
        <w:t>N</w:t>
      </w:r>
      <w:r>
        <w:t xml:space="preserve">, </w:t>
      </w:r>
      <w:r>
        <w:rPr>
          <w:i/>
          <w:iCs/>
        </w:rPr>
        <w:t>P</w:t>
      </w:r>
      <w:r>
        <w:t xml:space="preserve">, and </w:t>
      </w:r>
      <w:r>
        <w:rPr>
          <w:i/>
          <w:iCs/>
        </w:rPr>
        <w:t>Q</w:t>
      </w:r>
      <w:r>
        <w:t xml:space="preserve"> can be obtained from the complete amplitude distribution. A convenient model is a binomial mixture of Gaussian components:</w:t>
      </w:r>
    </w:p>
    <w:tbl>
      <w:tblPr>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863"/>
        <w:gridCol w:w="759"/>
      </w:tblGrid>
      <w:tr w:rsidR="00AA4A47" w14:paraId="09BC18D0" w14:textId="77777777">
        <w:trPr>
          <w:cantSplit/>
          <w:jc w:val="center"/>
        </w:trPr>
        <w:tc>
          <w:tcPr>
            <w:tcW w:w="7937" w:type="dxa"/>
            <w:vAlign w:val="center"/>
          </w:tcPr>
          <w:p w14:paraId="230C2480" w14:textId="77777777" w:rsidR="00AA4A47" w:rsidRDefault="00000000">
            <w:pPr>
              <w:spacing w:before="40" w:after="40"/>
              <w:jc w:val="center"/>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sup>
                  <m:e>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j</m:t>
                            </m:r>
                          </m:den>
                        </m:f>
                      </m:e>
                    </m:d>
                  </m:e>
                </m:nary>
                <m:sSup>
                  <m:sSupPr>
                    <m:ctrlPr>
                      <w:rPr>
                        <w:rFonts w:ascii="Cambria Math" w:hAnsi="Cambria Math"/>
                      </w:rPr>
                    </m:ctrlPr>
                  </m:sSupPr>
                  <m:e>
                    <m:r>
                      <w:rPr>
                        <w:rFonts w:ascii="Cambria Math" w:hAnsi="Cambria Math"/>
                      </w:rPr>
                      <m:t>P</m:t>
                    </m:r>
                  </m:e>
                  <m:sup>
                    <m:r>
                      <w:rPr>
                        <w:rFonts w:ascii="Cambria Math" w:hAnsi="Cambria Math"/>
                      </w:rPr>
                      <m:t>j</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N</m:t>
                    </m:r>
                    <m:r>
                      <m:rPr>
                        <m:sty m:val="p"/>
                      </m:rPr>
                      <w:rPr>
                        <w:rFonts w:ascii="Cambria Math" w:hAnsi="Cambria Math"/>
                      </w:rPr>
                      <m:t>-</m:t>
                    </m:r>
                    <m:r>
                      <w:rPr>
                        <w:rFonts w:ascii="Cambria Math" w:hAnsi="Cambria Math"/>
                      </w:rPr>
                      <m:t>j</m:t>
                    </m:r>
                  </m:sup>
                </m:sSup>
                <m:r>
                  <w:rPr>
                    <w:rFonts w:ascii="Cambria Math" w:hAnsi="Cambria Math"/>
                  </w:rPr>
                  <m:t> </m:t>
                </m:r>
                <m:r>
                  <m:rPr>
                    <m:scr m:val="script"/>
                    <m:sty m:val="p"/>
                  </m:rPr>
                  <w:rPr>
                    <w:rFonts w:ascii="Cambria Math" w:hAnsi="Cambria Math"/>
                  </w:rPr>
                  <m:t>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 jQ</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j</m:t>
                    </m:r>
                    <m:sSubSup>
                      <m:sSubSupPr>
                        <m:ctrlPr>
                          <w:rPr>
                            <w:rFonts w:ascii="Cambria Math" w:hAnsi="Cambria Math"/>
                          </w:rPr>
                        </m:ctrlPr>
                      </m:sSubSupPr>
                      <m:e>
                        <m:r>
                          <w:rPr>
                            <w:rFonts w:ascii="Cambria Math" w:hAnsi="Cambria Math"/>
                          </w:rPr>
                          <m:t>σ</m:t>
                        </m:r>
                      </m:e>
                      <m:sub>
                        <m:r>
                          <w:rPr>
                            <w:rFonts w:ascii="Cambria Math" w:hAnsi="Cambria Math"/>
                          </w:rPr>
                          <m:t>Q</m:t>
                        </m:r>
                      </m:sub>
                      <m:sup>
                        <m:r>
                          <w:rPr>
                            <w:rFonts w:ascii="Cambria Math" w:hAnsi="Cambria Math"/>
                          </w:rPr>
                          <m:t>2</m:t>
                        </m:r>
                      </m:sup>
                    </m:sSubSup>
                  </m:e>
                </m:d>
                <m:r>
                  <m:rPr>
                    <m:sty m:val="p"/>
                  </m:rPr>
                  <w:rPr>
                    <w:rFonts w:ascii="Cambria Math" w:hAnsi="Cambria Math"/>
                  </w:rPr>
                  <m:t>.</m:t>
                </m:r>
              </m:oMath>
            </m:oMathPara>
          </w:p>
        </w:tc>
        <w:tc>
          <w:tcPr>
            <w:tcW w:w="680" w:type="dxa"/>
            <w:vAlign w:val="center"/>
          </w:tcPr>
          <w:p w14:paraId="23E0FFA5" w14:textId="77777777" w:rsidR="00AA4A47" w:rsidRDefault="00000000">
            <w:pPr>
              <w:spacing w:before="40" w:after="40"/>
              <w:jc w:val="right"/>
            </w:pPr>
            <w:r>
              <w:rPr>
                <w:sz w:val="20"/>
              </w:rPr>
              <w:t>(17)</w:t>
            </w:r>
          </w:p>
        </w:tc>
      </w:tr>
    </w:tbl>
    <w:p w14:paraId="10109C10" w14:textId="77777777" w:rsidR="00AA4A47" w:rsidRDefault="00000000">
      <w:pPr>
        <w:pStyle w:val="BodyText"/>
      </w:pPr>
      <w:r>
        <w:t xml:space="preserve">Here </w:t>
      </w:r>
      <w:r>
        <w:rPr>
          <w:i/>
          <w:iCs/>
        </w:rPr>
        <w:t>a</w:t>
      </w:r>
      <w:r>
        <w:t xml:space="preserve">i is the measured amplitude on trial </w:t>
      </w:r>
      <w:r>
        <w:rPr>
          <w:i/>
          <w:iCs/>
        </w:rPr>
        <w:t>i</w:t>
      </w:r>
      <w:r>
        <w:t>, σ0 captures recording noise, and σQ captures quantal scatter. This likelihood uses information beyond the first two moments. Its estimates can therefore be projected onto the MPFA parabola and relative-change plane as an internal cross-validation, provided that both analyses use the same event definition and observation model.</w:t>
      </w:r>
    </w:p>
    <w:p w14:paraId="683FC3A3" w14:textId="77777777" w:rsidR="00AA4A47" w:rsidRDefault="00000000">
      <w:pPr>
        <w:pStyle w:val="Heading2"/>
      </w:pPr>
      <w:bookmarkStart w:id="12" w:name="X0caf72211edf94ecfcc7fca2f349efc0f87760a"/>
      <w:bookmarkEnd w:id="11"/>
      <w:r>
        <w:t>2.9. Software implementation and reproducibility</w:t>
      </w:r>
    </w:p>
    <w:p w14:paraId="71413C66" w14:textId="77777777" w:rsidR="00AA4A47" w:rsidRDefault="00000000">
      <w:r>
        <w:t>The analytical framework and train model are implemented in MATLAB. mpfa_npq_simulator.m provides the interactive interface and repetition simulator; mpfa_train_core.m contains the graphics-free train model; mpfa_fit_train.m performs bounded fitting and model comparison; and mpfa_fit_demo.m reproduces the six-condition demonstration. Keeping the model core separate from the graphical interface ensures that fitted and displayed predictions are generated by the same equations.</w:t>
      </w:r>
    </w:p>
    <w:p w14:paraId="6EB6FC61" w14:textId="77777777" w:rsidR="00AA4A47" w:rsidRDefault="00000000">
      <w:pPr>
        <w:pStyle w:val="BodyText"/>
      </w:pPr>
      <w:r>
        <w:rPr>
          <w:highlight w:val="yellow"/>
        </w:rPr>
        <w:t>[[INSERT SOFTWARE REPOSITORY, VERSION, LICENSE, MATLAB RELEASES TESTED, ZENODO DOI, AND BROWSER IMPLEMENTATION STATUS.]]</w:t>
      </w:r>
    </w:p>
    <w:p w14:paraId="7CFD01A8" w14:textId="77777777" w:rsidR="00AA4A47" w:rsidRDefault="00000000">
      <w:pPr>
        <w:pStyle w:val="Heading1"/>
      </w:pPr>
      <w:bookmarkStart w:id="13" w:name="results"/>
      <w:bookmarkEnd w:id="3"/>
      <w:bookmarkEnd w:id="12"/>
      <w:r>
        <w:lastRenderedPageBreak/>
        <w:t>3. Results</w:t>
      </w:r>
    </w:p>
    <w:p w14:paraId="113583F1" w14:textId="77777777" w:rsidR="00AA4A47" w:rsidRDefault="00000000">
      <w:pPr>
        <w:pStyle w:val="Heading2"/>
      </w:pPr>
      <w:bookmarkStart w:id="14" w:name="X9d9787f69e312fa4635143cf978a76b9154736e"/>
      <w:r>
        <w:t>3.1. A common reference state links MPFA and relative-change analysis</w:t>
      </w:r>
    </w:p>
    <w:p w14:paraId="4D137C68" w14:textId="77777777" w:rsidR="00AA4A47" w:rsidRDefault="00000000">
      <w:r>
        <w:t xml:space="preserve">The framework first tests whether the two graphical analyses give mutually consistent predictions. For a fixed </w:t>
      </w:r>
      <w:r>
        <w:rPr>
          <w:i/>
          <w:iCs/>
        </w:rPr>
        <w:t>N</w:t>
      </w:r>
      <w:r>
        <w:t xml:space="preserve"> and </w:t>
      </w:r>
      <w:r>
        <w:rPr>
          <w:i/>
          <w:iCs/>
        </w:rPr>
        <w:t>Q</w:t>
      </w:r>
      <w:r>
        <w:t xml:space="preserve">, varying </w:t>
      </w:r>
      <w:r>
        <w:rPr>
          <w:i/>
          <w:iCs/>
        </w:rPr>
        <w:t>P</w:t>
      </w:r>
      <w:r>
        <w:t xml:space="preserve"> traces the variance-mean parabola of Eq. (2). The same operating points, when normalized to a selected reference, fall on the descending </w:t>
      </w:r>
      <w:r>
        <w:rPr>
          <w:i/>
          <w:iCs/>
        </w:rPr>
        <w:t>P</w:t>
      </w:r>
      <w:r>
        <w:t xml:space="preserve"> locus of Eq. (5). Conversely, a pure change in </w:t>
      </w:r>
      <w:r>
        <w:rPr>
          <w:i/>
          <w:iCs/>
        </w:rPr>
        <w:t>N</w:t>
      </w:r>
      <w:r>
        <w:t xml:space="preserve"> alters the mean without changing σ²/μ and therefore moves horizontally in the relative-change plane. A pure change in </w:t>
      </w:r>
      <w:r>
        <w:rPr>
          <w:i/>
          <w:iCs/>
        </w:rPr>
        <w:t>Q</w:t>
      </w:r>
      <w:r>
        <w:t xml:space="preserve"> scales both μ and σ²/μ and lies on the identity line.</w:t>
      </w:r>
    </w:p>
    <w:p w14:paraId="7F988309" w14:textId="77777777" w:rsidR="00AA4A47" w:rsidRDefault="00000000">
      <w:pPr>
        <w:pStyle w:val="BodyText"/>
      </w:pPr>
      <w:r>
        <w:t>This correspondence provides a simple round-trip test. Parameters estimated from an MPFA curve predict the location of a second state in normalized coordinates. Parameters estimated independently from an amplitude distribution predict both the variance-mean operating point and the normalized transition. Disagreement does not identify a unique cause, but it reveals that at least one shared assumption - stationarity, linearity, event definition, or parameter homogeneity - is violated.</w:t>
      </w:r>
    </w:p>
    <w:tbl>
      <w:tblPr>
        <w:tblW w:w="0" w:type="auto"/>
        <w:jc w:val="center"/>
        <w:tblLayout w:type="fixed"/>
        <w:tblLook w:val="04A0" w:firstRow="1" w:lastRow="0" w:firstColumn="1" w:lastColumn="0" w:noHBand="0" w:noVBand="1"/>
      </w:tblPr>
      <w:tblGrid>
        <w:gridCol w:w="8787"/>
      </w:tblGrid>
      <w:tr w:rsidR="00AA4A47" w14:paraId="13ADF2F8" w14:textId="77777777">
        <w:trPr>
          <w:trHeight w:val="2440"/>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2F2F2"/>
            <w:vAlign w:val="center"/>
          </w:tcPr>
          <w:p w14:paraId="18E7E7A2" w14:textId="77777777" w:rsidR="00AA4A47" w:rsidRDefault="00000000">
            <w:pPr>
              <w:pStyle w:val="FigurePlaceholder"/>
            </w:pPr>
            <w:r>
              <w:rPr>
                <w:color w:val="505050"/>
                <w:sz w:val="24"/>
              </w:rPr>
              <w:t>FIGURE 2 PLACEHOLDER</w:t>
            </w:r>
            <w:r>
              <w:rPr>
                <w:color w:val="505050"/>
                <w:sz w:val="24"/>
              </w:rPr>
              <w:br/>
            </w:r>
            <w:r>
              <w:rPr>
                <w:i/>
                <w:color w:val="6E6E6E"/>
                <w:sz w:val="18"/>
              </w:rPr>
              <w:t>Insert final multi-panel artwork here. The prepared caption follows below.</w:t>
            </w:r>
          </w:p>
        </w:tc>
      </w:tr>
    </w:tbl>
    <w:p w14:paraId="134EC1A7" w14:textId="77777777" w:rsidR="00AA4A47" w:rsidRDefault="00000000">
      <w:pPr>
        <w:pStyle w:val="Caption"/>
      </w:pPr>
      <w:r>
        <w:t xml:space="preserve">Fig. 2. Variance-mean and normalized relative-change geometries are mutually predictive. (A) Variance-mean parabolas for a reference synapse and for isolated changes in </w:t>
      </w:r>
      <w:r>
        <w:rPr>
          <w:i/>
          <w:iCs/>
        </w:rPr>
        <w:t>N</w:t>
      </w:r>
      <w:r>
        <w:t xml:space="preserve"> or </w:t>
      </w:r>
      <w:r>
        <w:rPr>
          <w:i/>
          <w:iCs/>
        </w:rPr>
        <w:t>Q</w:t>
      </w:r>
      <w:r>
        <w:t xml:space="preserve">. Symbols indicate operating points generated by changing </w:t>
      </w:r>
      <w:r>
        <w:rPr>
          <w:i/>
          <w:iCs/>
        </w:rPr>
        <w:t>P</w:t>
      </w:r>
      <w:r>
        <w:t>. (B) The same states after normalization to (</w:t>
      </w:r>
      <w:r>
        <w:rPr>
          <w:i/>
          <w:iCs/>
        </w:rPr>
        <w:t>N</w:t>
      </w:r>
      <w:r>
        <w:t>0,</w:t>
      </w:r>
      <w:r>
        <w:rPr>
          <w:i/>
          <w:iCs/>
        </w:rPr>
        <w:t>P</w:t>
      </w:r>
      <w:r>
        <w:t>0,</w:t>
      </w:r>
      <w:r>
        <w:rPr>
          <w:i/>
          <w:iCs/>
        </w:rPr>
        <w:t>Q</w:t>
      </w:r>
      <w:r>
        <w:t xml:space="preserve">0). A pure </w:t>
      </w:r>
      <w:r>
        <w:rPr>
          <w:i/>
          <w:iCs/>
        </w:rPr>
        <w:t>N</w:t>
      </w:r>
      <w:r>
        <w:t xml:space="preserve"> change follows </w:t>
      </w:r>
      <w:r>
        <w:rPr>
          <w:i/>
          <w:iCs/>
        </w:rPr>
        <w:t>y</w:t>
      </w:r>
      <w:r>
        <w:t xml:space="preserve">=1, a pure </w:t>
      </w:r>
      <w:r>
        <w:rPr>
          <w:i/>
          <w:iCs/>
        </w:rPr>
        <w:t>Q</w:t>
      </w:r>
      <w:r>
        <w:t xml:space="preserve"> change follows </w:t>
      </w:r>
      <w:r>
        <w:rPr>
          <w:i/>
          <w:iCs/>
        </w:rPr>
        <w:t>y</w:t>
      </w:r>
      <w:r>
        <w:t>=</w:t>
      </w:r>
      <w:r>
        <w:rPr>
          <w:i/>
          <w:iCs/>
        </w:rPr>
        <w:t>x</w:t>
      </w:r>
      <w:r>
        <w:t xml:space="preserve">, and a pure </w:t>
      </w:r>
      <w:r>
        <w:rPr>
          <w:i/>
          <w:iCs/>
        </w:rPr>
        <w:t>P</w:t>
      </w:r>
      <w:r>
        <w:t xml:space="preserve"> change follows </w:t>
      </w:r>
      <w:r>
        <w:rPr>
          <w:i/>
          <w:iCs/>
        </w:rPr>
        <w:t>y</w:t>
      </w:r>
      <w:r>
        <w:t>=(1-</w:t>
      </w:r>
      <w:r>
        <w:rPr>
          <w:i/>
          <w:iCs/>
        </w:rPr>
        <w:t>P</w:t>
      </w:r>
      <w:r>
        <w:t>0</w:t>
      </w:r>
      <w:r>
        <w:rPr>
          <w:i/>
          <w:iCs/>
        </w:rPr>
        <w:t>x</w:t>
      </w:r>
      <w:r>
        <w:t>)/(1-</w:t>
      </w:r>
      <w:r>
        <w:rPr>
          <w:i/>
          <w:iCs/>
        </w:rPr>
        <w:t>P</w:t>
      </w:r>
      <w:r>
        <w:t>0). (C) Projection of an independently fitted (</w:t>
      </w:r>
      <w:r>
        <w:rPr>
          <w:i/>
          <w:iCs/>
        </w:rPr>
        <w:t>N</w:t>
      </w:r>
      <w:r>
        <w:t>,</w:t>
      </w:r>
      <w:r>
        <w:rPr>
          <w:i/>
          <w:iCs/>
        </w:rPr>
        <w:t>P</w:t>
      </w:r>
      <w:r>
        <w:t>,</w:t>
      </w:r>
      <w:r>
        <w:rPr>
          <w:i/>
          <w:iCs/>
        </w:rPr>
        <w:t>Q</w:t>
      </w:r>
      <w:r>
        <w:t>) estimate into both geometries. (D) Residual vectors quantify disagreement between observed and predicted locations. Replace simulated symbols with final data where appropriate.</w:t>
      </w:r>
    </w:p>
    <w:p w14:paraId="4F67E7ED" w14:textId="77777777" w:rsidR="00AA4A47" w:rsidRDefault="00000000">
      <w:pPr>
        <w:pStyle w:val="Heading2"/>
      </w:pPr>
      <w:bookmarkStart w:id="15" w:name="X4693d0ef86e1fb900aea685672901570c626b45"/>
      <w:bookmarkEnd w:id="14"/>
      <w:r>
        <w:t>3.2. Heterogeneity produces structured bias rather than random error</w:t>
      </w:r>
    </w:p>
    <w:p w14:paraId="60395B25" w14:textId="77777777" w:rsidR="00AA4A47" w:rsidRDefault="00000000">
      <w:r>
        <w:t xml:space="preserve">Simulations based on Eq. (7) showed that quantal-size and release-probability heterogeneity deform the variance-mean relation in different directions. Increasing </w:t>
      </w:r>
      <w:r>
        <w:rPr>
          <w:i/>
          <w:iCs/>
        </w:rPr>
        <w:t>CV</w:t>
      </w:r>
      <w:r>
        <w:t xml:space="preserve">Q increased the low-mean slope and therefore inflated </w:t>
      </w:r>
      <w:r>
        <w:rPr>
          <w:i/>
          <w:iCs/>
        </w:rPr>
        <w:t>Q</w:t>
      </w:r>
      <w:r>
        <w:t xml:space="preserve">app. Increasing </w:t>
      </w:r>
      <w:r>
        <w:rPr>
          <w:i/>
          <w:iCs/>
        </w:rPr>
        <w:t>CV</w:t>
      </w:r>
      <w:r>
        <w:t xml:space="preserve">P increased curvature and reduced </w:t>
      </w:r>
      <w:r>
        <w:rPr>
          <w:i/>
          <w:iCs/>
        </w:rPr>
        <w:t>N</w:t>
      </w:r>
      <w:r>
        <w:t xml:space="preserve">app. Because the corresponding bias in </w:t>
      </w:r>
      <w:r>
        <w:rPr>
          <w:i/>
          <w:iCs/>
        </w:rPr>
        <w:t>P</w:t>
      </w:r>
      <w:r>
        <w:t>app depends on both coefficients of variation, a change in a homogeneous fit cannot be assigned uniquely to one underlying parameter without additional information.</w:t>
      </w:r>
    </w:p>
    <w:p w14:paraId="136A7170" w14:textId="77777777" w:rsidR="00AA4A47" w:rsidRDefault="00000000">
      <w:pPr>
        <w:pStyle w:val="BodyText"/>
      </w:pPr>
      <w:r>
        <w:t>The interactive representation is useful here because it shows the true and apparent parabolas simultaneously. The separation between them is a direct sensitivity measure: when plausible heterogeneity produces a displacement comparable with the experimental effect, a homogeneous mechanistic interpretation is not robust. When the separation is small relative to confidence intervals, the simpler model remains an economical description.</w:t>
      </w:r>
    </w:p>
    <w:p w14:paraId="758E84BD" w14:textId="77777777" w:rsidR="00AA4A47" w:rsidRDefault="00000000">
      <w:pPr>
        <w:pStyle w:val="Heading2"/>
      </w:pPr>
      <w:bookmarkStart w:id="16" w:name="X89986bf074162d6699243307d9173846d10c228"/>
      <w:bookmarkEnd w:id="15"/>
      <w:r>
        <w:t>3.3. Optical sublinearity can alter PPR without altering release dynamics</w:t>
      </w:r>
    </w:p>
    <w:p w14:paraId="7787498F" w14:textId="77777777" w:rsidR="00AA4A47" w:rsidRDefault="00000000">
      <w:r>
        <w:t xml:space="preserve">Applying Eq. (10) after release generation separated two quantities that are otherwise easily conflated: the release-linear ratio </w:t>
      </w:r>
      <w:r>
        <w:rPr>
          <w:i/>
          <w:iCs/>
        </w:rPr>
        <w:t>L</w:t>
      </w:r>
      <w:r>
        <w:t>k/</w:t>
      </w:r>
      <w:r>
        <w:rPr>
          <w:i/>
          <w:iCs/>
        </w:rPr>
        <w:t>L</w:t>
      </w:r>
      <w:r>
        <w:t xml:space="preserve">1 and the optical ratio </w:t>
      </w:r>
      <w:r>
        <w:rPr>
          <w:i/>
          <w:iCs/>
        </w:rPr>
        <w:t>F</w:t>
      </w:r>
      <w:r>
        <w:t>k/</w:t>
      </w:r>
      <w:r>
        <w:rPr>
          <w:i/>
          <w:iCs/>
        </w:rPr>
        <w:t>F</w:t>
      </w:r>
      <w:r>
        <w:t xml:space="preserve">1. For facilitating responses, sensor sublinearity </w:t>
      </w:r>
      <w:r>
        <w:lastRenderedPageBreak/>
        <w:t xml:space="preserve">compressed the optical ratio toward unity. This effect occurred without changing </w:t>
      </w:r>
      <w:r>
        <w:rPr>
          <w:i/>
          <w:iCs/>
        </w:rPr>
        <w:t>R</w:t>
      </w:r>
      <w:r>
        <w:t xml:space="preserve">k, </w:t>
      </w:r>
      <w:r>
        <w:rPr>
          <w:i/>
          <w:iCs/>
        </w:rPr>
        <w:t>P</w:t>
      </w:r>
      <w:r>
        <w:t>k, released quanta, or replenishment. Thus, a smaller optical PPR does not necessarily imply stronger depletion or weaker facilitation.</w:t>
      </w:r>
    </w:p>
    <w:p w14:paraId="1C1DD961" w14:textId="77777777" w:rsidR="00AA4A47" w:rsidRDefault="00000000">
      <w:pPr>
        <w:pStyle w:val="BodyText"/>
      </w:pPr>
      <w:r>
        <w:t>The converse inference is also important. Because the current transfer function acts on the mean only, it cannot justify variance-mean analysis in a saturated range. A sensor regime that visibly compresses train amplitudes should trigger either restriction to lower-amplitude conditions or use of a trial-level observation model.</w:t>
      </w:r>
    </w:p>
    <w:tbl>
      <w:tblPr>
        <w:tblW w:w="0" w:type="auto"/>
        <w:jc w:val="center"/>
        <w:tblLayout w:type="fixed"/>
        <w:tblLook w:val="04A0" w:firstRow="1" w:lastRow="0" w:firstColumn="1" w:lastColumn="0" w:noHBand="0" w:noVBand="1"/>
      </w:tblPr>
      <w:tblGrid>
        <w:gridCol w:w="8787"/>
      </w:tblGrid>
      <w:tr w:rsidR="00AA4A47" w14:paraId="0459D6FB" w14:textId="77777777">
        <w:trPr>
          <w:trHeight w:val="2440"/>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2F2F2"/>
            <w:vAlign w:val="center"/>
          </w:tcPr>
          <w:p w14:paraId="40291D67" w14:textId="77777777" w:rsidR="00AA4A47" w:rsidRDefault="00000000">
            <w:pPr>
              <w:pStyle w:val="FigurePlaceholder"/>
            </w:pPr>
            <w:r>
              <w:rPr>
                <w:color w:val="505050"/>
                <w:sz w:val="24"/>
              </w:rPr>
              <w:t>FIGURE 3 PLACEHOLDER</w:t>
            </w:r>
            <w:r>
              <w:rPr>
                <w:color w:val="505050"/>
                <w:sz w:val="24"/>
              </w:rPr>
              <w:br/>
            </w:r>
            <w:r>
              <w:rPr>
                <w:i/>
                <w:color w:val="6E6E6E"/>
                <w:sz w:val="18"/>
              </w:rPr>
              <w:t>Insert final multi-panel artwork here. The prepared caption follows below.</w:t>
            </w:r>
          </w:p>
        </w:tc>
      </w:tr>
    </w:tbl>
    <w:p w14:paraId="05991781" w14:textId="77777777" w:rsidR="00AA4A47" w:rsidRDefault="00000000">
      <w:pPr>
        <w:pStyle w:val="Caption"/>
      </w:pPr>
      <w:r>
        <w:t xml:space="preserve">Fig. 3. Separation of release dynamics from the optical observation process. (A) Release-linear mean responses generated by identical </w:t>
      </w:r>
      <w:r>
        <w:rPr>
          <w:i/>
          <w:iCs/>
        </w:rPr>
        <w:t>N</w:t>
      </w:r>
      <w:r>
        <w:t xml:space="preserve">, </w:t>
      </w:r>
      <w:r>
        <w:rPr>
          <w:i/>
          <w:iCs/>
        </w:rPr>
        <w:t>P</w:t>
      </w:r>
      <w:r>
        <w:t>, and replenishment trajectories. (B) Phenomenological optical transfer functions for linear and progressively sublinear regimes. (C) Release-linear and optical PPRs across a train. Sublinearity compresses large responses while leaving the underlying released-quanta trajectory unchanged. (D) Recommended interpretation workflow: test sensor linearity, analyze release parameters in the linear regime, and use a trial-level observation model if nonlinear fluorescence contributes materially to the variance.</w:t>
      </w:r>
    </w:p>
    <w:p w14:paraId="5D276BCE" w14:textId="77777777" w:rsidR="00AA4A47" w:rsidRDefault="00000000">
      <w:pPr>
        <w:pStyle w:val="Heading2"/>
      </w:pPr>
      <w:bookmarkStart w:id="17" w:name="X1692c04bf11b0520ffe9bb05405313dd09e2f35"/>
      <w:bookmarkEnd w:id="16"/>
      <w:r>
        <w:t>3.4. Apparent train parameters are occupancy-dependent summaries</w:t>
      </w:r>
    </w:p>
    <w:p w14:paraId="4C5FA3AA" w14:textId="77777777" w:rsidR="00AA4A47" w:rsidRDefault="00000000">
      <w:r>
        <w:t xml:space="preserve">The train model demonstrated that latent and apparent trajectories can dissociate. A rising latent </w:t>
      </w:r>
      <w:r>
        <w:rPr>
          <w:i/>
          <w:iCs/>
        </w:rPr>
        <w:t>P</w:t>
      </w:r>
      <w:r>
        <w:t xml:space="preserve">k may coexist with a stable or falling mean response when depletion reduces </w:t>
      </w:r>
      <w:r>
        <w:rPr>
          <w:i/>
          <w:iCs/>
        </w:rPr>
        <w:t>R</w:t>
      </w:r>
      <w:r>
        <w:t xml:space="preserve">k. Likewise, increasing the latent competent-site ceiling </w:t>
      </w:r>
      <w:r>
        <w:rPr>
          <w:i/>
          <w:iCs/>
        </w:rPr>
        <w:t>N</w:t>
      </w:r>
      <w:r>
        <w:t xml:space="preserve">k* does not produce an immediate increase in apparent </w:t>
      </w:r>
      <w:r>
        <w:rPr>
          <w:i/>
          <w:iCs/>
        </w:rPr>
        <w:t>N</w:t>
      </w:r>
      <w:r>
        <w:t>k if the recruited sites are unoccupied or if release outpaces replenishment. These effects are not fitting artefacts; they follow from the order of operations in Eqs. (11)-(15).</w:t>
      </w:r>
    </w:p>
    <w:p w14:paraId="0C1684D5" w14:textId="77777777" w:rsidR="00AA4A47" w:rsidRDefault="00000000">
      <w:pPr>
        <w:pStyle w:val="BodyText"/>
      </w:pPr>
      <w:r>
        <w:t xml:space="preserve">This distinction changes the language used to report event-wise analyses. A value obtained by pooling all responses to stimulus </w:t>
      </w:r>
      <w:r>
        <w:rPr>
          <w:i/>
          <w:iCs/>
        </w:rPr>
        <w:t>k</w:t>
      </w:r>
      <w:r>
        <w:t xml:space="preserve"> and fitting that stimulus independently should be called apparent </w:t>
      </w:r>
      <w:r>
        <w:rPr>
          <w:i/>
          <w:iCs/>
        </w:rPr>
        <w:t>N</w:t>
      </w:r>
      <w:r>
        <w:t xml:space="preserve">k or apparent </w:t>
      </w:r>
      <w:r>
        <w:rPr>
          <w:i/>
          <w:iCs/>
        </w:rPr>
        <w:t>P</w:t>
      </w:r>
      <w:r>
        <w:t>k. It becomes a latent parameter only after a dynamic occupancy model has been specified and shown to account for the full train.</w:t>
      </w:r>
    </w:p>
    <w:tbl>
      <w:tblPr>
        <w:tblW w:w="0" w:type="auto"/>
        <w:jc w:val="center"/>
        <w:tblLayout w:type="fixed"/>
        <w:tblLook w:val="04A0" w:firstRow="1" w:lastRow="0" w:firstColumn="1" w:lastColumn="0" w:noHBand="0" w:noVBand="1"/>
      </w:tblPr>
      <w:tblGrid>
        <w:gridCol w:w="8787"/>
      </w:tblGrid>
      <w:tr w:rsidR="00AA4A47" w14:paraId="31D37A6C" w14:textId="77777777">
        <w:trPr>
          <w:trHeight w:val="2440"/>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2F2F2"/>
            <w:vAlign w:val="center"/>
          </w:tcPr>
          <w:p w14:paraId="56F28B36" w14:textId="77777777" w:rsidR="00AA4A47" w:rsidRDefault="00000000">
            <w:pPr>
              <w:pStyle w:val="FigurePlaceholder"/>
            </w:pPr>
            <w:r>
              <w:rPr>
                <w:color w:val="505050"/>
                <w:sz w:val="24"/>
              </w:rPr>
              <w:t>FIGURE 4 PLACEHOLDER</w:t>
            </w:r>
            <w:r>
              <w:rPr>
                <w:color w:val="505050"/>
                <w:sz w:val="24"/>
              </w:rPr>
              <w:br/>
            </w:r>
            <w:r>
              <w:rPr>
                <w:i/>
                <w:color w:val="6E6E6E"/>
                <w:sz w:val="18"/>
              </w:rPr>
              <w:t>Insert final multi-panel artwork here. The prepared caption follows below.</w:t>
            </w:r>
          </w:p>
        </w:tc>
      </w:tr>
    </w:tbl>
    <w:p w14:paraId="190C58FA" w14:textId="77777777" w:rsidR="00AA4A47" w:rsidRDefault="00000000">
      <w:pPr>
        <w:pStyle w:val="Caption"/>
      </w:pPr>
      <w:r>
        <w:t xml:space="preserve">Fig. 4. Latent control variables and apparent event-wise estimates during a stimulus train. (A) Latent release-probability drive </w:t>
      </w:r>
      <w:r>
        <w:rPr>
          <w:i/>
          <w:iCs/>
        </w:rPr>
        <w:t>P</w:t>
      </w:r>
      <w:r>
        <w:t xml:space="preserve">k and competent-site ceiling </w:t>
      </w:r>
      <w:r>
        <w:rPr>
          <w:i/>
          <w:iCs/>
        </w:rPr>
        <w:t>N</w:t>
      </w:r>
      <w:r>
        <w:t xml:space="preserve">k* approaching their asymptotes. (B) Ready-pool occupancy </w:t>
      </w:r>
      <w:r>
        <w:rPr>
          <w:i/>
          <w:iCs/>
        </w:rPr>
        <w:t>R</w:t>
      </w:r>
      <w:r>
        <w:t xml:space="preserve">k after recruitment, release, and replenishment. (C) Expected released quanta and cumulative output. (D) Apparent </w:t>
      </w:r>
      <w:r>
        <w:rPr>
          <w:i/>
          <w:iCs/>
        </w:rPr>
        <w:t>N</w:t>
      </w:r>
      <w:r>
        <w:t xml:space="preserve">k and </w:t>
      </w:r>
      <w:r>
        <w:rPr>
          <w:i/>
          <w:iCs/>
        </w:rPr>
        <w:t>P</w:t>
      </w:r>
      <w:r>
        <w:t xml:space="preserve">k obtained by fitting each stimulus independently across simulated trials. (E) Example in which latent </w:t>
      </w:r>
      <w:r>
        <w:lastRenderedPageBreak/>
        <w:t>facilitation is partially masked by depletion, demonstrating that a flat apparent trajectory does not imply a flat latent controller.</w:t>
      </w:r>
    </w:p>
    <w:p w14:paraId="09BE3D33" w14:textId="77777777" w:rsidR="00AA4A47" w:rsidRDefault="00000000">
      <w:pPr>
        <w:pStyle w:val="Heading2"/>
      </w:pPr>
      <w:bookmarkStart w:id="18" w:name="X2af1f58c8820c3c5e9928ef5677bc308a6cc38e"/>
      <w:bookmarkEnd w:id="17"/>
      <w:r>
        <w:t>3.5. Constrained fitting provides held-out predictions of optical PPR</w:t>
      </w:r>
    </w:p>
    <w:p w14:paraId="623E80DA" w14:textId="77777777" w:rsidR="00AA4A47" w:rsidRDefault="00000000">
      <w:r>
        <w:t xml:space="preserve">The demonstration dataset contains apparent </w:t>
      </w:r>
      <w:r>
        <w:rPr>
          <w:i/>
          <w:iCs/>
        </w:rPr>
        <w:t>P</w:t>
      </w:r>
      <w:r>
        <w:t xml:space="preserve">, apparent </w:t>
      </w:r>
      <w:r>
        <w:rPr>
          <w:i/>
          <w:iCs/>
        </w:rPr>
        <w:t>N</w:t>
      </w:r>
      <w:r>
        <w:t xml:space="preserve">, and PPR values for ten stimuli at three extracellular Ca²⁺ concentrations and two frequencies. The fit used apparent </w:t>
      </w:r>
      <w:r>
        <w:rPr>
          <w:i/>
          <w:iCs/>
        </w:rPr>
        <w:t>P</w:t>
      </w:r>
      <w:r>
        <w:t xml:space="preserve"> and </w:t>
      </w:r>
      <w:r>
        <w:rPr>
          <w:i/>
          <w:iCs/>
        </w:rPr>
        <w:t>N</w:t>
      </w:r>
      <w:r>
        <w:t xml:space="preserve"> as targets and withheld PPR. This design asks a stronger question than fitting all three series simultaneously: do the apparent quantal estimates predict the measured optical amplitude ratio under a fixed-</w:t>
      </w:r>
      <w:r>
        <w:rPr>
          <w:i/>
          <w:iCs/>
        </w:rPr>
        <w:t>Q</w:t>
      </w:r>
      <w:r>
        <w:t xml:space="preserve"> model?</w:t>
      </w:r>
    </w:p>
    <w:p w14:paraId="12E2154C" w14:textId="77777777" w:rsidR="00AA4A47" w:rsidRDefault="00000000">
      <w:pPr>
        <w:pStyle w:val="BodyText"/>
      </w:pPr>
      <w:r>
        <w:rPr>
          <w:highlight w:val="yellow"/>
        </w:rPr>
        <w:t>Across the six conditions, the final fits yielded an apparent-</w:t>
      </w:r>
      <w:r>
        <w:rPr>
          <w:i/>
          <w:iCs/>
          <w:highlight w:val="yellow"/>
        </w:rPr>
        <w:t>P</w:t>
      </w:r>
      <w:r>
        <w:rPr>
          <w:highlight w:val="yellow"/>
        </w:rPr>
        <w:t xml:space="preserve"> RMSE of [[INSERT RANGE OR MEDIAN]], an apparent-</w:t>
      </w:r>
      <w:r>
        <w:rPr>
          <w:i/>
          <w:iCs/>
          <w:highlight w:val="yellow"/>
        </w:rPr>
        <w:t>N</w:t>
      </w:r>
      <w:r>
        <w:rPr>
          <w:highlight w:val="yellow"/>
        </w:rPr>
        <w:t xml:space="preserve"> RMSE of [[INSERT RANGE OR MEDIAN]] sites, and a held-out PPR RMSE of [[INSERT RANGE OR MEDIAN]]. Constant replenishment was retained in [[INSERT N/6]] conditions, whereas evolving replenishment was supported in [[INSERT N/6]] conditions by ΔAIC &gt; 2. The linear optical model was retained in [[INSERT N/6]] conditions; the remaining conditions were better described by an effective </w:t>
      </w:r>
      <w:r>
        <w:rPr>
          <w:i/>
          <w:iCs/>
          <w:highlight w:val="yellow"/>
        </w:rPr>
        <w:t>K</w:t>
      </w:r>
      <w:r>
        <w:rPr>
          <w:highlight w:val="yellow"/>
        </w:rPr>
        <w:t>sat of [[INSERT RANGE]] ΔF/F0.</w:t>
      </w:r>
    </w:p>
    <w:p w14:paraId="0657BFE2" w14:textId="77777777" w:rsidR="00AA4A47" w:rsidRDefault="00000000">
      <w:pPr>
        <w:pStyle w:val="BodyText"/>
      </w:pPr>
      <w:r>
        <w:t>These values should be accompanied by bootstrap intervals obtained by resampling trials before event-wise estimation, not by resampling the ten pulse numbers as if they were independent observations. The current point-estimate demo establishes the analysis path but does not by itself quantify uncertainty in the original optical measurements.</w:t>
      </w:r>
    </w:p>
    <w:tbl>
      <w:tblPr>
        <w:tblW w:w="0" w:type="auto"/>
        <w:jc w:val="center"/>
        <w:tblLayout w:type="fixed"/>
        <w:tblLook w:val="04A0" w:firstRow="1" w:lastRow="0" w:firstColumn="1" w:lastColumn="0" w:noHBand="0" w:noVBand="1"/>
      </w:tblPr>
      <w:tblGrid>
        <w:gridCol w:w="8787"/>
      </w:tblGrid>
      <w:tr w:rsidR="00AA4A47" w14:paraId="26A158C7" w14:textId="77777777">
        <w:trPr>
          <w:trHeight w:val="2440"/>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2F2F2"/>
            <w:vAlign w:val="center"/>
          </w:tcPr>
          <w:p w14:paraId="6F68E836" w14:textId="77777777" w:rsidR="00AA4A47" w:rsidRDefault="00000000">
            <w:pPr>
              <w:pStyle w:val="FigurePlaceholder"/>
            </w:pPr>
            <w:r>
              <w:rPr>
                <w:color w:val="505050"/>
                <w:sz w:val="24"/>
              </w:rPr>
              <w:t>FIGURE 5 PLACEHOLDER</w:t>
            </w:r>
            <w:r>
              <w:rPr>
                <w:color w:val="505050"/>
                <w:sz w:val="24"/>
              </w:rPr>
              <w:br/>
            </w:r>
            <w:r>
              <w:rPr>
                <w:i/>
                <w:color w:val="6E6E6E"/>
                <w:sz w:val="18"/>
              </w:rPr>
              <w:t>Insert final multi-panel artwork here. The prepared caption follows below.</w:t>
            </w:r>
          </w:p>
        </w:tc>
      </w:tr>
    </w:tbl>
    <w:p w14:paraId="16D79932" w14:textId="77777777" w:rsidR="00AA4A47" w:rsidRDefault="00000000">
      <w:pPr>
        <w:pStyle w:val="Caption"/>
      </w:pPr>
      <w:r>
        <w:t xml:space="preserve">Fig. 5. Hierarchical fits to the six-condition train dataset. (A-C) Apparent release probability, apparent site count, and optical PPR for 1.5, 2.5, and 4 mM extracellular Ca²⁺ at 20 and 50 Hz. Symbols show measured event-wise estimates; solid lines show model predictions. PPR was withheld from the release-model fit. (D) Latent </w:t>
      </w:r>
      <w:r>
        <w:rPr>
          <w:i/>
          <w:iCs/>
        </w:rPr>
        <w:t>P</w:t>
      </w:r>
      <w:r>
        <w:t xml:space="preserve">∞ and </w:t>
      </w:r>
      <w:r>
        <w:rPr>
          <w:i/>
          <w:iCs/>
        </w:rPr>
        <w:t>N</w:t>
      </w:r>
      <w:r>
        <w:t>∞ estimates under monotonic cross-condition constraints. (E) Replenishment model selected for each condition and ΔAIC relative to the constant model. (F) Observed versus held-out predicted PPR, with separate symbols for linear and sublinear optical readouts. Add confidence intervals from trial-level bootstrap resampling.</w:t>
      </w:r>
    </w:p>
    <w:p w14:paraId="681CD0E7" w14:textId="77777777" w:rsidR="00AA4A47" w:rsidRDefault="00000000">
      <w:pPr>
        <w:pStyle w:val="Heading2"/>
      </w:pPr>
      <w:bookmarkStart w:id="19" w:name="X3f1eab7f13ba56a95f78a3676103c85559cb98e"/>
      <w:bookmarkEnd w:id="18"/>
      <w:r>
        <w:t>3.6. Independent amplitude fits can cross-validate the moment geometry</w:t>
      </w:r>
    </w:p>
    <w:p w14:paraId="34872189" w14:textId="77777777" w:rsidR="00AA4A47" w:rsidRDefault="00000000">
      <w:r>
        <w:t>For the application dataset, event-amplitude likelihood estimates can be projected into the variance-mean and relative-change plots without refitting those moments. The principal test is whether the point and its bootstrap distribution overlap the location predicted from the observed first two moments. This comparison uses different features of the same trials - the full amplitude histogram for Eq. (17), and the first two moments for Eqs. (2)-(6) - and therefore provides a useful internal consistency test.</w:t>
      </w:r>
    </w:p>
    <w:p w14:paraId="3F1E42A9" w14:textId="77777777" w:rsidR="00AA4A47" w:rsidRDefault="00000000">
      <w:pPr>
        <w:pStyle w:val="BodyText"/>
      </w:pPr>
      <w:r>
        <w:rPr>
          <w:highlight w:val="yellow"/>
        </w:rPr>
        <w:t>[[INSERT DATASET NAME, FULL CITATION, NUMBER OF BOUTONS/AXONS/TRIALS, FINAL ESTIMATES, BOOTSTRAP PROCEDURE, AND QUANTITATIVE AGREEMENT. DO NOT CLAIM AGREEMENT UNTIL THESE VALUES ARE INSERTED.]]</w:t>
      </w:r>
    </w:p>
    <w:p w14:paraId="06F02896" w14:textId="77777777" w:rsidR="00AA4A47" w:rsidRDefault="00000000">
      <w:pPr>
        <w:pStyle w:val="Heading1"/>
      </w:pPr>
      <w:bookmarkStart w:id="20" w:name="discussion"/>
      <w:bookmarkEnd w:id="13"/>
      <w:bookmarkEnd w:id="19"/>
      <w:r>
        <w:lastRenderedPageBreak/>
        <w:t>4. Discussion</w:t>
      </w:r>
    </w:p>
    <w:p w14:paraId="4651B824" w14:textId="77777777" w:rsidR="00AA4A47" w:rsidRDefault="00000000">
      <w:r>
        <w:t>We developed a single framework that connects MPFA, relative-change analysis, parameter heterogeneity, optical sublinearity, and short-term train dynamics. Its contribution is principally one of analytical organization. The equations are established, but they are often used in isolation and under conventions that obscure how one analysis predicts another. Placing them on a common reference state turns separate graphical methods into a set of reciprocal checks.</w:t>
      </w:r>
    </w:p>
    <w:p w14:paraId="48121904" w14:textId="77777777" w:rsidR="00AA4A47" w:rsidRDefault="00000000">
      <w:pPr>
        <w:pStyle w:val="BodyText"/>
      </w:pPr>
      <w:r>
        <w:t>The most useful distinction for optical recordings is between release and observation. iGluSnFR and related sensors provide direct access to glutamate output at individual boutons, but fluorescence is not guaranteed to be proportional to released glutamate over the full experimental range. A static sublinearity can compress facilitation or exaggerate apparent depression without altering presynaptic release. At the same time, a mean-only transfer function is insufficient for fluctuation analysis because a nonlinear observation process transforms the variance and, more generally, the complete amplitude distribution. The appropriate response is therefore not to apply an empirical correction indiscriminately, but to establish a linear operating range or to include the sensor transfer at trial level.</w:t>
      </w:r>
    </w:p>
    <w:p w14:paraId="7956836B" w14:textId="77777777" w:rsidR="00AA4A47" w:rsidRDefault="00000000">
      <w:pPr>
        <w:pStyle w:val="BodyText"/>
      </w:pPr>
      <w:r>
        <w:t xml:space="preserve">A second distinction concerns apparent and latent parameters. In classical MPFA, </w:t>
      </w:r>
      <w:r>
        <w:rPr>
          <w:i/>
          <w:iCs/>
        </w:rPr>
        <w:t>N</w:t>
      </w:r>
      <w:r>
        <w:t xml:space="preserve"> is already an effective site number under the assumptions of the model. During a train, the interpretation becomes more restrictive because the occupied ready pool changes between stimuli. Event-wise </w:t>
      </w:r>
      <w:r>
        <w:rPr>
          <w:i/>
          <w:iCs/>
        </w:rPr>
        <w:t>N</w:t>
      </w:r>
      <w:r>
        <w:t xml:space="preserve">k is best understood as the number of release-competent occupied sites represented in the response distribution at pulse </w:t>
      </w:r>
      <w:r>
        <w:rPr>
          <w:i/>
          <w:iCs/>
        </w:rPr>
        <w:t>k</w:t>
      </w:r>
      <w:r>
        <w:t xml:space="preserve">. It does not count empty sites that may become available after replenishment, nor does it identify a molecular docking-site number. Similarly, event-wise </w:t>
      </w:r>
      <w:r>
        <w:rPr>
          <w:i/>
          <w:iCs/>
        </w:rPr>
        <w:t>P</w:t>
      </w:r>
      <w:r>
        <w:t>k is conditional on the pool represented by that fit. Explicit use of the term apparent prevents a statistical estimate from being promoted prematurely to a biological state variable.</w:t>
      </w:r>
    </w:p>
    <w:p w14:paraId="06FC9F54" w14:textId="77777777" w:rsidR="00AA4A47" w:rsidRDefault="00000000">
      <w:pPr>
        <w:pStyle w:val="BodyText"/>
      </w:pPr>
      <w:r>
        <w:t>The relative-change plot is especially useful when only two states are available, but its apparent simplicity can conceal underidentifiability. The point (</w:t>
      </w:r>
      <w:r>
        <w:rPr>
          <w:i/>
          <w:iCs/>
        </w:rPr>
        <w:t>x</w:t>
      </w:r>
      <w:r>
        <w:t>,</w:t>
      </w:r>
      <w:r>
        <w:rPr>
          <w:i/>
          <w:iCs/>
        </w:rPr>
        <w:t>y</w:t>
      </w:r>
      <w:r>
        <w:t xml:space="preserve">) contains two observables, whereas </w:t>
      </w:r>
      <w:r>
        <w:rPr>
          <w:i/>
          <w:iCs/>
        </w:rPr>
        <w:t>N</w:t>
      </w:r>
      <w:r>
        <w:t xml:space="preserve">, </w:t>
      </w:r>
      <w:r>
        <w:rPr>
          <w:i/>
          <w:iCs/>
        </w:rPr>
        <w:t>P</w:t>
      </w:r>
      <w:r>
        <w:t xml:space="preserve">, and </w:t>
      </w:r>
      <w:r>
        <w:rPr>
          <w:i/>
          <w:iCs/>
        </w:rPr>
        <w:t>Q</w:t>
      </w:r>
      <w:r>
        <w:t xml:space="preserve"> contribute three ratios. Proximity to a pure-change locus is evidence for compatibility, not proof of exclusivity. The fixed-</w:t>
      </w:r>
      <w:r>
        <w:rPr>
          <w:i/>
          <w:iCs/>
        </w:rPr>
        <w:t>Q</w:t>
      </w:r>
      <w:r>
        <w:t xml:space="preserve"> inversion in Eq. (6) is informative when </w:t>
      </w:r>
      <w:r>
        <w:rPr>
          <w:i/>
          <w:iCs/>
        </w:rPr>
        <w:t>Q</w:t>
      </w:r>
      <w:r>
        <w:t xml:space="preserve"> stability is independently justified. Otherwise, confidence regions should be compared with families of mixed-parameter predictions rather than classified by the nearest line.</w:t>
      </w:r>
    </w:p>
    <w:p w14:paraId="24790BF2" w14:textId="77777777" w:rsidR="00AA4A47" w:rsidRDefault="00000000">
      <w:pPr>
        <w:pStyle w:val="BodyText"/>
      </w:pPr>
      <w:r>
        <w:t>The train model also has deliberate limitations. It is a mean-field model and permits non-integer ready-pool values. Replenishment is parameterized per stimulus in the current implementation, which limits biophysical comparison across frequencies. The model does not include multivesicular release at a single site, release-site refractoriness, asynchronous release, inter-site correlations, or trial-to-trial variability in latent parameters. Activity-dependent detection and ROI selection can bias apparent failure rates and site counts in optical data (Soares et al., 2019). Finally, the AIC-style selection used by the fitter is tied to a weighted residual objective rather than a complete likelihood. These limitations should be tested with posterior predictive or bootstrap analyses before parameters are interpreted mechanistically.</w:t>
      </w:r>
    </w:p>
    <w:p w14:paraId="52CBFFC1" w14:textId="77777777" w:rsidR="00AA4A47" w:rsidRDefault="00000000">
      <w:pPr>
        <w:pStyle w:val="BodyText"/>
      </w:pPr>
      <w:r>
        <w:t xml:space="preserve">Despite these constraints, the framework provides a practical hierarchy of inference. First, verify stationarity, noise correction, and sensor linearity. Second, use MPFA when a genuine probability series is available and relative-change geometry when only two states can be compared. Third, project independent amplitude-fit estimates into the same geometry. Finally, treat train-wise </w:t>
      </w:r>
      <w:r>
        <w:rPr>
          <w:i/>
          <w:iCs/>
        </w:rPr>
        <w:t>N</w:t>
      </w:r>
      <w:r>
        <w:t xml:space="preserve"> and </w:t>
      </w:r>
      <w:r>
        <w:rPr>
          <w:i/>
          <w:iCs/>
        </w:rPr>
        <w:t>P</w:t>
      </w:r>
      <w:r>
        <w:t xml:space="preserve"> as apparent quantities </w:t>
      </w:r>
      <w:r>
        <w:lastRenderedPageBreak/>
        <w:t>until a depletion-replenishment model accounts for their joint dynamics and predicts an outcome not used for fitting. In the present implementation, the held-out PPR serves this role.</w:t>
      </w:r>
    </w:p>
    <w:p w14:paraId="771F7BD5" w14:textId="77777777" w:rsidR="00AA4A47" w:rsidRDefault="00000000">
      <w:pPr>
        <w:pStyle w:val="Heading1"/>
      </w:pPr>
      <w:bookmarkStart w:id="21" w:name="conclusions"/>
      <w:bookmarkEnd w:id="20"/>
      <w:r>
        <w:t>5. Conclusions</w:t>
      </w:r>
    </w:p>
    <w:p w14:paraId="0DDE89BA" w14:textId="77777777" w:rsidR="00AA4A47" w:rsidRDefault="00000000">
      <w:r>
        <w:t>Variance-mean analysis and relative-change analysis are different projections of the same quantal model. Their combination is most informative when each is used to predict the other and when optical and dynamic observation processes are kept separate from release parameters. The accompanying software makes these relationships explicit and provides a reproducible route from graphical intuition to constrained train fitting. Its primary purpose is diagnostic: to reveal which interpretations are supported by the data and which depend on assumptions that remain untested.</w:t>
      </w:r>
    </w:p>
    <w:p w14:paraId="2D56550D" w14:textId="77777777" w:rsidR="00AA4A47" w:rsidRDefault="00000000">
      <w:pPr>
        <w:pStyle w:val="Heading1"/>
      </w:pPr>
      <w:bookmarkStart w:id="22" w:name="data-and-code-availability"/>
      <w:bookmarkEnd w:id="21"/>
      <w:r>
        <w:t>Data and code availability</w:t>
      </w:r>
    </w:p>
    <w:p w14:paraId="64099B34" w14:textId="77777777" w:rsidR="00AA4A47" w:rsidRDefault="00000000">
      <w:r>
        <w:rPr>
          <w:highlight w:val="yellow"/>
        </w:rPr>
        <w:t>[[INSERT REPOSITORY URL, ARCHIVED DOI, DATA ACCESSION, LICENSE, AND MINIMAL REPRODUCTION COMMANDS.]]</w:t>
      </w:r>
    </w:p>
    <w:p w14:paraId="5F93FEAB" w14:textId="77777777" w:rsidR="00AA4A47" w:rsidRDefault="00000000">
      <w:pPr>
        <w:pStyle w:val="Heading1"/>
      </w:pPr>
      <w:bookmarkStart w:id="23" w:name="author-contributions"/>
      <w:bookmarkEnd w:id="22"/>
      <w:r>
        <w:t>Author contributions</w:t>
      </w:r>
    </w:p>
    <w:p w14:paraId="4B9DCBB9" w14:textId="77777777" w:rsidR="00AA4A47" w:rsidRDefault="00000000">
      <w:r>
        <w:rPr>
          <w:highlight w:val="yellow"/>
        </w:rPr>
        <w:t>[[INSERT CRediT CONTRIBUTION STATEMENT.]]</w:t>
      </w:r>
    </w:p>
    <w:p w14:paraId="7F9D5DBB" w14:textId="77777777" w:rsidR="00AA4A47" w:rsidRDefault="00000000">
      <w:pPr>
        <w:pStyle w:val="Heading1"/>
      </w:pPr>
      <w:bookmarkStart w:id="24" w:name="funding"/>
      <w:bookmarkEnd w:id="23"/>
      <w:r>
        <w:t>Funding</w:t>
      </w:r>
    </w:p>
    <w:p w14:paraId="5321D3DB" w14:textId="77777777" w:rsidR="00AA4A47" w:rsidRDefault="00000000">
      <w:r>
        <w:rPr>
          <w:highlight w:val="yellow"/>
        </w:rPr>
        <w:t>[[INSERT FUNDING SOURCES AND GRANT NUMBERS, OR THE JOURNAL’S NO-SPECIFIC-FUNDING STATEMENT.]]</w:t>
      </w:r>
    </w:p>
    <w:p w14:paraId="53C95B63" w14:textId="77777777" w:rsidR="00AA4A47" w:rsidRDefault="00000000">
      <w:pPr>
        <w:pStyle w:val="Heading1"/>
      </w:pPr>
      <w:bookmarkStart w:id="25" w:name="declaration-of-competing-interests"/>
      <w:bookmarkEnd w:id="24"/>
      <w:r>
        <w:t>Declaration of competing interests</w:t>
      </w:r>
    </w:p>
    <w:p w14:paraId="6EC3D534" w14:textId="77777777" w:rsidR="00AA4A47" w:rsidRDefault="00000000">
      <w:r>
        <w:rPr>
          <w:highlight w:val="yellow"/>
        </w:rPr>
        <w:t>The authors declare [[NO COMPETING INTERESTS / INSERT DECLARATION]].</w:t>
      </w:r>
    </w:p>
    <w:p w14:paraId="69D72FD6" w14:textId="77777777" w:rsidR="00AA4A47" w:rsidRDefault="00000000">
      <w:pPr>
        <w:pStyle w:val="Heading1"/>
      </w:pPr>
      <w:bookmarkStart w:id="26" w:name="acknowledgements"/>
      <w:bookmarkEnd w:id="25"/>
      <w:r>
        <w:t>Acknowledgements</w:t>
      </w:r>
    </w:p>
    <w:p w14:paraId="7F531FFF" w14:textId="77777777" w:rsidR="00AA4A47" w:rsidRDefault="00000000">
      <w:r>
        <w:rPr>
          <w:highlight w:val="yellow"/>
        </w:rPr>
        <w:t>[[INSERT ACKNOWLEDGEMENTS.]]</w:t>
      </w:r>
    </w:p>
    <w:p w14:paraId="32FF721F" w14:textId="77777777" w:rsidR="00AA4A47" w:rsidRDefault="00000000">
      <w:pPr>
        <w:pStyle w:val="Heading1"/>
      </w:pPr>
      <w:bookmarkStart w:id="27" w:name="references"/>
      <w:bookmarkEnd w:id="26"/>
      <w:r>
        <w:t>References</w:t>
      </w:r>
    </w:p>
    <w:p w14:paraId="0CC9EC1A" w14:textId="77777777" w:rsidR="00AA4A47" w:rsidRDefault="00000000">
      <w:pPr>
        <w:pStyle w:val="Reference"/>
      </w:pPr>
      <w:r>
        <w:t>Bekkers, J.M., Stevens, C.F., 1990. Presynaptic mechanism for long-term potentiation in the hippocampus. Nature 346, 724-729. https://doi.org/10.1038/346724a0.</w:t>
      </w:r>
    </w:p>
    <w:p w14:paraId="397356F2" w14:textId="77777777" w:rsidR="00AA4A47" w:rsidRPr="00160787" w:rsidRDefault="00000000">
      <w:pPr>
        <w:pStyle w:val="Reference"/>
        <w:rPr>
          <w:lang w:val="fr-FR"/>
        </w:rPr>
      </w:pPr>
      <w:r>
        <w:t xml:space="preserve">Brock, J.A., Thomazeau, A., Watanabe, A., Li, S.S.Y., Sjöström, P.J., 2020. A practical guide to using CV analysis for determining the locus of synaptic plasticity. </w:t>
      </w:r>
      <w:r w:rsidRPr="00160787">
        <w:rPr>
          <w:lang w:val="fr-FR"/>
        </w:rPr>
        <w:t xml:space="preserve">Front. </w:t>
      </w:r>
      <w:proofErr w:type="spellStart"/>
      <w:r w:rsidRPr="00160787">
        <w:rPr>
          <w:lang w:val="fr-FR"/>
        </w:rPr>
        <w:t>Synaptic</w:t>
      </w:r>
      <w:proofErr w:type="spellEnd"/>
      <w:r w:rsidRPr="00160787">
        <w:rPr>
          <w:lang w:val="fr-FR"/>
        </w:rPr>
        <w:t xml:space="preserve"> </w:t>
      </w:r>
      <w:proofErr w:type="spellStart"/>
      <w:r w:rsidRPr="00160787">
        <w:rPr>
          <w:lang w:val="fr-FR"/>
        </w:rPr>
        <w:t>Neurosci</w:t>
      </w:r>
      <w:proofErr w:type="spellEnd"/>
      <w:r w:rsidRPr="00160787">
        <w:rPr>
          <w:lang w:val="fr-FR"/>
        </w:rPr>
        <w:t>. 12, 11. https://doi.org/10.3389/fnsyn.2020.00011.</w:t>
      </w:r>
    </w:p>
    <w:p w14:paraId="18DB4FEB" w14:textId="77777777" w:rsidR="00AA4A47" w:rsidRDefault="00000000">
      <w:pPr>
        <w:pStyle w:val="Reference"/>
      </w:pPr>
      <w:r w:rsidRPr="00160787">
        <w:rPr>
          <w:lang w:val="fr-FR"/>
        </w:rPr>
        <w:t xml:space="preserve">Clements, J.D., 2003. </w:t>
      </w:r>
      <w:r>
        <w:t>Variance-mean analysis: a simple and reliable approach for investigating synaptic transmission and modulation. J. Neurosci. Methods 130, 115-125. https://doi.org/10.1016/j.jneumeth.2003.09.019.</w:t>
      </w:r>
    </w:p>
    <w:p w14:paraId="3095A138" w14:textId="77777777" w:rsidR="00AA4A47" w:rsidRDefault="00000000">
      <w:pPr>
        <w:pStyle w:val="Reference"/>
      </w:pPr>
      <w:r>
        <w:t>Clements, J.D., Silver, R.A., 2000. Unveiling synaptic plasticity: a new graphical and analytical approach. Trends Neurosci. 23, 105-113. https://doi.org/10.1016/S0166-2236(99)01520-9.</w:t>
      </w:r>
    </w:p>
    <w:p w14:paraId="7756B9AE" w14:textId="77777777" w:rsidR="00AA4A47" w:rsidRDefault="00000000">
      <w:pPr>
        <w:pStyle w:val="Reference"/>
      </w:pPr>
      <w:r>
        <w:t>del Castillo, J., Katz, B., 1954. Quantal components of the end-plate potential. J. Physiol. 124, 560-573. https://doi.org/10.1113/jphysiol.1954.sp005129.</w:t>
      </w:r>
    </w:p>
    <w:p w14:paraId="551E4E55" w14:textId="77777777" w:rsidR="00AA4A47" w:rsidRPr="00160787" w:rsidRDefault="00000000">
      <w:pPr>
        <w:pStyle w:val="Reference"/>
        <w:rPr>
          <w:lang w:val="fr-FR"/>
        </w:rPr>
      </w:pPr>
      <w:r>
        <w:lastRenderedPageBreak/>
        <w:t xml:space="preserve">Dürst, C.D., Wiegert, J.S., Schulze, C., Helassa, N., Török, K., Oertner, T.G., 2022. Vesicular release probability sets the strength of individual Schaffer collateral synapses. </w:t>
      </w:r>
      <w:r w:rsidRPr="00160787">
        <w:rPr>
          <w:lang w:val="fr-FR"/>
        </w:rPr>
        <w:t>Nat. Commun. 13, 6126. https://doi.org/10.1038/s41467-022-33565-6.</w:t>
      </w:r>
    </w:p>
    <w:p w14:paraId="06AFF21E" w14:textId="77777777" w:rsidR="00AA4A47" w:rsidRDefault="00000000">
      <w:pPr>
        <w:pStyle w:val="Reference"/>
      </w:pPr>
      <w:r w:rsidRPr="00160787">
        <w:rPr>
          <w:lang w:val="fr-FR"/>
        </w:rPr>
        <w:t xml:space="preserve">Faber, D.S., Korn, H., 1991. </w:t>
      </w:r>
      <w:r>
        <w:t>Applicability of the coefficient of variation method for analyzing synaptic plasticity. Biophys. J. 60, 1288-1294. https://doi.org/10.1016/S0006-3495(91)82162-2.</w:t>
      </w:r>
    </w:p>
    <w:p w14:paraId="26E81735" w14:textId="77777777" w:rsidR="00AA4A47" w:rsidRPr="00160787" w:rsidRDefault="00000000">
      <w:pPr>
        <w:pStyle w:val="Reference"/>
        <w:rPr>
          <w:lang w:val="fr-FR"/>
        </w:rPr>
      </w:pPr>
      <w:r>
        <w:t xml:space="preserve">Hain, P.J.H., Moser, T., 2024. Optical measurement of glutamate release robustly reports short-term plasticity at a fast central synapse. </w:t>
      </w:r>
      <w:r w:rsidRPr="00160787">
        <w:rPr>
          <w:lang w:val="fr-FR"/>
        </w:rPr>
        <w:t xml:space="preserve">Front. Mol. </w:t>
      </w:r>
      <w:proofErr w:type="spellStart"/>
      <w:r w:rsidRPr="00160787">
        <w:rPr>
          <w:lang w:val="fr-FR"/>
        </w:rPr>
        <w:t>Neurosci</w:t>
      </w:r>
      <w:proofErr w:type="spellEnd"/>
      <w:r w:rsidRPr="00160787">
        <w:rPr>
          <w:lang w:val="fr-FR"/>
        </w:rPr>
        <w:t>. 17, 1351280. https://doi.org/10.3389/fnmol.2024.1351280.</w:t>
      </w:r>
    </w:p>
    <w:p w14:paraId="30CF0979" w14:textId="77777777" w:rsidR="00AA4A47" w:rsidRDefault="00000000">
      <w:pPr>
        <w:pStyle w:val="Reference"/>
      </w:pPr>
      <w:r w:rsidRPr="00160787">
        <w:rPr>
          <w:lang w:val="fr-FR"/>
        </w:rPr>
        <w:t xml:space="preserve">Humeau, Y., </w:t>
      </w:r>
      <w:proofErr w:type="spellStart"/>
      <w:r w:rsidRPr="00160787">
        <w:rPr>
          <w:lang w:val="fr-FR"/>
        </w:rPr>
        <w:t>Doussau</w:t>
      </w:r>
      <w:proofErr w:type="spellEnd"/>
      <w:r w:rsidRPr="00160787">
        <w:rPr>
          <w:lang w:val="fr-FR"/>
        </w:rPr>
        <w:t xml:space="preserve">, F., Popoff, M.R., </w:t>
      </w:r>
      <w:proofErr w:type="spellStart"/>
      <w:r w:rsidRPr="00160787">
        <w:rPr>
          <w:lang w:val="fr-FR"/>
        </w:rPr>
        <w:t>Benfenati</w:t>
      </w:r>
      <w:proofErr w:type="spellEnd"/>
      <w:r w:rsidRPr="00160787">
        <w:rPr>
          <w:lang w:val="fr-FR"/>
        </w:rPr>
        <w:t xml:space="preserve">, F., Poulain, B., 2007. </w:t>
      </w:r>
      <w:r>
        <w:t>Fast changes in the functional status of release sites during short-term plasticity: involvement of a frequency-dependent bypass of Rac at Aplysia synapses. J. Physiol. 583, 983-1004. https://doi.org/10.1113/jphysiol.2007.139899.</w:t>
      </w:r>
    </w:p>
    <w:p w14:paraId="11AB29CC" w14:textId="77777777" w:rsidR="00AA4A47" w:rsidRDefault="00000000">
      <w:pPr>
        <w:pStyle w:val="Reference"/>
      </w:pPr>
      <w:r>
        <w:t>Katz, B., 1969. The Release of Neural Transmitter Substances. Liverpool University Press, Liverpool.</w:t>
      </w:r>
    </w:p>
    <w:p w14:paraId="6E6F2B7B" w14:textId="77777777" w:rsidR="00AA4A47" w:rsidRDefault="00000000">
      <w:pPr>
        <w:pStyle w:val="Reference"/>
      </w:pPr>
      <w:r>
        <w:t>Lanore, F., Silver, R.A., 2016. Extracting quantal properties of transmission at central synapses, in: Advanced Patch-Clamp Analysis for Neuroscientists. Neuromethods 113, 193-211. https://doi.org/10.1007/978-1-4939-3411-9_10.</w:t>
      </w:r>
    </w:p>
    <w:p w14:paraId="39E40C9D" w14:textId="77777777" w:rsidR="00AA4A47" w:rsidRDefault="00000000">
      <w:pPr>
        <w:pStyle w:val="Reference"/>
      </w:pPr>
      <w:r>
        <w:t>Malinow, R., Tsien, R.W., 1990. Presynaptic enhancement shown by whole-cell recordings of long-term potentiation in hippocampal slices. Nature 346, 177-180. https://doi.org/10.1038/346177a0.</w:t>
      </w:r>
    </w:p>
    <w:p w14:paraId="7CC4B17B" w14:textId="77777777" w:rsidR="00AA4A47" w:rsidRDefault="00000000">
      <w:pPr>
        <w:pStyle w:val="Reference"/>
      </w:pPr>
      <w:r>
        <w:t>Marvin, J.S., Borghuis, B.G., Tian, L., Cichon, J., Harnett, M.T., Akerboom, J., Gordus, A., Renninger, S.L., Chen, T.-W., Bargmann, C.I., Orger, M.B., Schreiter, E.R., Demb, J.B., Gan, W.-B., Hires, S.A., Looger, L.L., 2013. An optimized fluorescent probe for visualizing glutamate neurotransmission. Nat. Methods 10, 162-170. https://doi.org/10.1038/nmeth.2333.</w:t>
      </w:r>
    </w:p>
    <w:p w14:paraId="20D9C2B5" w14:textId="77777777" w:rsidR="00AA4A47" w:rsidRDefault="00000000">
      <w:pPr>
        <w:pStyle w:val="Reference"/>
      </w:pPr>
      <w:r>
        <w:t>Marvin, J.S., Scholl, B., Wilson, D.E., Podgorski, K., Kazemipour, A., Müller, J.A., Schoch, S., Quiroz, F.J.U., Rebola, N., Bao, H., Little, J.P., Tkachuk, A.N., Cai, E., Hantman, A.W., Wang, S.S.-H., DePiero, V.J., Borghuis, B.G., Chapman, E.R., Dietrich, D., DiGregorio, D.A., Fitzpatrick, D., Looger, L.L., 2018. Stability, affinity, and chromatic variants of the glutamate sensor iGluSnFR. Nat. Methods 15, 936-939. https://doi.org/10.1038/s41592-018-0171-3.</w:t>
      </w:r>
    </w:p>
    <w:p w14:paraId="5D0F5984" w14:textId="77777777" w:rsidR="00AA4A47" w:rsidRPr="00160787" w:rsidRDefault="00000000">
      <w:pPr>
        <w:pStyle w:val="Reference"/>
        <w:rPr>
          <w:lang w:val="fr-FR"/>
        </w:rPr>
      </w:pPr>
      <w:r>
        <w:t xml:space="preserve">Silver, R.A., 2003. Estimation of nonuniform quantal parameters with multiple-probability fluctuation analysis: theory, application and limitations. </w:t>
      </w:r>
      <w:r w:rsidRPr="00160787">
        <w:rPr>
          <w:lang w:val="fr-FR"/>
        </w:rPr>
        <w:t xml:space="preserve">J. </w:t>
      </w:r>
      <w:proofErr w:type="spellStart"/>
      <w:r w:rsidRPr="00160787">
        <w:rPr>
          <w:lang w:val="fr-FR"/>
        </w:rPr>
        <w:t>Neurosci</w:t>
      </w:r>
      <w:proofErr w:type="spellEnd"/>
      <w:r w:rsidRPr="00160787">
        <w:rPr>
          <w:lang w:val="fr-FR"/>
        </w:rPr>
        <w:t>. Methods 130, 127-141. https://doi.org/10.1016/j.jneumeth.2003.09.030.</w:t>
      </w:r>
    </w:p>
    <w:p w14:paraId="30EA0CE6" w14:textId="77777777" w:rsidR="00AA4A47" w:rsidRDefault="00000000">
      <w:pPr>
        <w:pStyle w:val="Reference"/>
      </w:pPr>
      <w:r w:rsidRPr="00160787">
        <w:rPr>
          <w:lang w:val="fr-FR"/>
        </w:rPr>
        <w:t xml:space="preserve">Soares, C., Trotter, D., </w:t>
      </w:r>
      <w:proofErr w:type="spellStart"/>
      <w:r w:rsidRPr="00160787">
        <w:rPr>
          <w:lang w:val="fr-FR"/>
        </w:rPr>
        <w:t>Longtin</w:t>
      </w:r>
      <w:proofErr w:type="spellEnd"/>
      <w:r w:rsidRPr="00160787">
        <w:rPr>
          <w:lang w:val="fr-FR"/>
        </w:rPr>
        <w:t xml:space="preserve">, A., </w:t>
      </w:r>
      <w:proofErr w:type="spellStart"/>
      <w:r w:rsidRPr="00160787">
        <w:rPr>
          <w:lang w:val="fr-FR"/>
        </w:rPr>
        <w:t>Béïque</w:t>
      </w:r>
      <w:proofErr w:type="spellEnd"/>
      <w:r w:rsidRPr="00160787">
        <w:rPr>
          <w:lang w:val="fr-FR"/>
        </w:rPr>
        <w:t xml:space="preserve">, J.-C., Naud, R., 2019. </w:t>
      </w:r>
      <w:r>
        <w:t>Parsing out the variability of transmission at central synapses using optical quantal analysis. Front. Synaptic Neurosci. 11, 22. https://doi.org/10.3389/fnsyn.2019.00022.</w:t>
      </w:r>
    </w:p>
    <w:p w14:paraId="1DFD9545" w14:textId="77777777" w:rsidR="00AA4A47" w:rsidRDefault="00000000">
      <w:pPr>
        <w:pStyle w:val="Reference"/>
      </w:pPr>
      <w:r>
        <w:t>van Huijstee, A.N., Kessels, H.W., 2020. Variance analysis as a tool to predict the mechanism underlying synaptic plasticity. J. Neurosci. Methods 331, 108526. https://doi.org/10.1016/j.jneumeth.2019.108526.</w:t>
      </w:r>
    </w:p>
    <w:p w14:paraId="24543702" w14:textId="77777777" w:rsidR="00AA4A47" w:rsidRDefault="00000000">
      <w:r>
        <w:br w:type="page"/>
      </w:r>
    </w:p>
    <w:p w14:paraId="4DCF1161" w14:textId="77777777" w:rsidR="00AA4A47" w:rsidRDefault="00000000">
      <w:pPr>
        <w:pStyle w:val="Heading1"/>
      </w:pPr>
      <w:bookmarkStart w:id="28" w:name="X780aa412d7be8973ed3f9ac22b35103e58974b9"/>
      <w:bookmarkEnd w:id="27"/>
      <w:r>
        <w:lastRenderedPageBreak/>
        <w:t>Editorial items to resolve before submission</w:t>
      </w:r>
    </w:p>
    <w:p w14:paraId="1BDAA549" w14:textId="77777777" w:rsidR="00AA4A47" w:rsidRDefault="00000000">
      <w:r>
        <w:rPr>
          <w:i/>
          <w:color w:val="643C00"/>
        </w:rPr>
        <w:t>This page is not part of the manuscript. All corresponding fields in the text are highlighted.</w:t>
      </w:r>
    </w:p>
    <w:p w14:paraId="2E039C57" w14:textId="77777777" w:rsidR="00AA4A47" w:rsidRDefault="00000000">
      <w:pPr>
        <w:numPr>
          <w:ilvl w:val="0"/>
          <w:numId w:val="12"/>
        </w:numPr>
      </w:pPr>
      <w:r>
        <w:t>Insert author names, affiliations, corresponding-author details, and CRediT roles.</w:t>
      </w:r>
    </w:p>
    <w:p w14:paraId="5B917FA2" w14:textId="77777777" w:rsidR="00AA4A47" w:rsidRDefault="00000000">
      <w:pPr>
        <w:numPr>
          <w:ilvl w:val="0"/>
          <w:numId w:val="12"/>
        </w:numPr>
      </w:pPr>
      <w:r>
        <w:t>Decide whether the article reports a completed browser implementation or MATLAB only.</w:t>
      </w:r>
    </w:p>
    <w:p w14:paraId="77DA555F" w14:textId="77777777" w:rsidR="00AA4A47" w:rsidRDefault="00000000">
      <w:pPr>
        <w:numPr>
          <w:ilvl w:val="0"/>
          <w:numId w:val="12"/>
        </w:numPr>
      </w:pPr>
      <w:r>
        <w:t>Add repository, license, release version, Zenodo DOI, and tested MATLAB versions.</w:t>
      </w:r>
    </w:p>
    <w:p w14:paraId="0E0A1075" w14:textId="77777777" w:rsidR="00AA4A47" w:rsidRDefault="00000000">
      <w:pPr>
        <w:numPr>
          <w:ilvl w:val="0"/>
          <w:numId w:val="12"/>
        </w:numPr>
      </w:pPr>
      <w:r>
        <w:t>Replace the demonstration placeholders with final fit metrics and bootstrap intervals.</w:t>
      </w:r>
    </w:p>
    <w:p w14:paraId="3325FE32" w14:textId="77777777" w:rsidR="00AA4A47" w:rsidRDefault="00000000">
      <w:pPr>
        <w:numPr>
          <w:ilvl w:val="0"/>
          <w:numId w:val="12"/>
        </w:numPr>
      </w:pPr>
      <w:r>
        <w:t>Identify the application dataset and add its complete citation and sample sizes.</w:t>
      </w:r>
    </w:p>
    <w:p w14:paraId="539585A7" w14:textId="77777777" w:rsidR="00AA4A47" w:rsidRDefault="00000000">
      <w:pPr>
        <w:numPr>
          <w:ilvl w:val="0"/>
          <w:numId w:val="12"/>
        </w:numPr>
      </w:pPr>
      <w:r>
        <w:t>Confirm that the event-amplitude likelihood in Eq. (17) matches the final MLE implementation.</w:t>
      </w:r>
    </w:p>
    <w:p w14:paraId="2A352811" w14:textId="77777777" w:rsidR="00AA4A47" w:rsidRDefault="00000000">
      <w:pPr>
        <w:numPr>
          <w:ilvl w:val="0"/>
          <w:numId w:val="12"/>
        </w:numPr>
      </w:pPr>
      <w:r>
        <w:t>Replace the per-stimulus refill law with Eq. (16) before making cross-frequency kinetic claims.</w:t>
      </w:r>
    </w:p>
    <w:p w14:paraId="544EEA31" w14:textId="77777777" w:rsidR="00AA4A47" w:rsidRDefault="00000000">
      <w:pPr>
        <w:numPr>
          <w:ilvl w:val="0"/>
          <w:numId w:val="12"/>
        </w:numPr>
      </w:pPr>
      <w:r>
        <w:t>Verify sensor linearity experimentally or restrict MPFA claims to the linear fluorescence range.</w:t>
      </w:r>
    </w:p>
    <w:p w14:paraId="727B47B8" w14:textId="77777777" w:rsidR="00AA4A47" w:rsidRDefault="00000000">
      <w:pPr>
        <w:numPr>
          <w:ilvl w:val="0"/>
          <w:numId w:val="12"/>
        </w:numPr>
      </w:pPr>
      <w:r>
        <w:t>Generate figures from the final code and retain the panel organization in the prepared legends.</w:t>
      </w:r>
    </w:p>
    <w:p w14:paraId="7E7B4996" w14:textId="77777777" w:rsidR="00AA4A47" w:rsidRDefault="00000000">
      <w:pPr>
        <w:numPr>
          <w:ilvl w:val="0"/>
          <w:numId w:val="12"/>
        </w:numPr>
      </w:pPr>
      <w:r>
        <w:t>Update the word count and prepare highlights as a separate submission file.</w:t>
      </w:r>
      <w:bookmarkEnd w:id="28"/>
    </w:p>
    <w:sectPr w:rsidR="00AA4A47" w:rsidSect="00034616">
      <w:headerReference w:type="default" r:id="rId7"/>
      <w:footerReference w:type="default" r:id="rId8"/>
      <w:pgSz w:w="12240" w:h="15840"/>
      <w:pgMar w:top="1304" w:right="1417" w:bottom="130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3A608" w14:textId="77777777" w:rsidR="00BA09AB" w:rsidRDefault="00BA09AB">
      <w:pPr>
        <w:spacing w:after="0" w:line="240" w:lineRule="auto"/>
      </w:pPr>
      <w:r>
        <w:separator/>
      </w:r>
    </w:p>
  </w:endnote>
  <w:endnote w:type="continuationSeparator" w:id="0">
    <w:p w14:paraId="1330FDA5" w14:textId="77777777" w:rsidR="00BA09AB" w:rsidRDefault="00BA0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9049" w14:textId="77777777" w:rsidR="00AA4A47" w:rsidRDefault="00000000">
    <w:pPr>
      <w:pStyle w:val="Footer"/>
      <w:jc w:val="center"/>
    </w:pPr>
    <w:r>
      <w:rPr>
        <w:rFonts w:ascii="Arial" w:hAnsi="Arial"/>
        <w:sz w:val="16"/>
      </w:rPr>
      <w:fldChar w:fldCharType="begin"/>
    </w:r>
    <w:r>
      <w:rPr>
        <w:rFonts w:ascii="Arial" w:hAnsi="Arial"/>
        <w:sz w:val="16"/>
      </w:rPr>
      <w:instrText xml:space="preserve"> PAGE </w:instrText>
    </w:r>
    <w:r w:rsidR="00160787">
      <w:rPr>
        <w:rFonts w:ascii="Arial" w:hAnsi="Arial"/>
        <w:sz w:val="16"/>
      </w:rPr>
      <w:fldChar w:fldCharType="separate"/>
    </w:r>
    <w:r w:rsidR="00160787">
      <w:rPr>
        <w:rFonts w:ascii="Arial" w:hAnsi="Arial"/>
        <w:noProof/>
        <w:sz w:val="16"/>
      </w:rPr>
      <w:t>1</w:t>
    </w:r>
    <w:r>
      <w:rPr>
        <w:rFonts w:ascii="Arial" w:hAnsi="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8DFC6" w14:textId="77777777" w:rsidR="00BA09AB" w:rsidRDefault="00BA09AB">
      <w:r>
        <w:separator/>
      </w:r>
    </w:p>
  </w:footnote>
  <w:footnote w:type="continuationSeparator" w:id="0">
    <w:p w14:paraId="59711845" w14:textId="77777777" w:rsidR="00BA09AB" w:rsidRDefault="00BA0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7B5B3" w14:textId="77777777" w:rsidR="00AA4A47" w:rsidRDefault="00000000">
    <w:pPr>
      <w:pStyle w:val="Header"/>
      <w:jc w:val="right"/>
    </w:pPr>
    <w:r>
      <w:rPr>
        <w:rFonts w:ascii="Arial" w:hAnsi="Arial"/>
        <w:i/>
        <w:color w:val="646464"/>
        <w:sz w:val="16"/>
      </w:rPr>
      <w:t>Optical quantal analysis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D46C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83AAB4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9D1A75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85114645">
    <w:abstractNumId w:val="8"/>
  </w:num>
  <w:num w:numId="2" w16cid:durableId="1939868061">
    <w:abstractNumId w:val="6"/>
  </w:num>
  <w:num w:numId="3" w16cid:durableId="2086367800">
    <w:abstractNumId w:val="5"/>
  </w:num>
  <w:num w:numId="4" w16cid:durableId="28721909">
    <w:abstractNumId w:val="4"/>
  </w:num>
  <w:num w:numId="5" w16cid:durableId="137066822">
    <w:abstractNumId w:val="7"/>
  </w:num>
  <w:num w:numId="6" w16cid:durableId="2121796473">
    <w:abstractNumId w:val="3"/>
  </w:num>
  <w:num w:numId="7" w16cid:durableId="1869488022">
    <w:abstractNumId w:val="2"/>
  </w:num>
  <w:num w:numId="8" w16cid:durableId="1791196472">
    <w:abstractNumId w:val="1"/>
  </w:num>
  <w:num w:numId="9" w16cid:durableId="105971814">
    <w:abstractNumId w:val="0"/>
  </w:num>
  <w:num w:numId="10" w16cid:durableId="1209757425">
    <w:abstractNumId w:val="9"/>
  </w:num>
  <w:num w:numId="11" w16cid:durableId="1894732618">
    <w:abstractNumId w:val="10"/>
  </w:num>
  <w:num w:numId="12" w16cid:durableId="137716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787"/>
    <w:rsid w:val="0029639D"/>
    <w:rsid w:val="002F7FB0"/>
    <w:rsid w:val="00326F90"/>
    <w:rsid w:val="00AA1D8D"/>
    <w:rsid w:val="00AA4A47"/>
    <w:rsid w:val="00B47730"/>
    <w:rsid w:val="00BA09AB"/>
    <w:rsid w:val="00CB0664"/>
    <w:rsid w:val="00DB6E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69241"/>
  <w15:docId w15:val="{988D4D05-9614-433D-8E56-E219D94D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E1E1E"/>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E1E1E"/>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E1E1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9191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80" w:line="240" w:lineRule="auto"/>
    </w:pPr>
    <w:rPr>
      <w:b/>
      <w:bCs/>
      <w:color w:val="2D2D2D"/>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pPr>
      <w:spacing w:after="100"/>
      <w:jc w:val="center"/>
    </w:pPr>
    <w:rPr>
      <w:rFonts w:ascii="Times New Roman" w:eastAsia="Times New Roman" w:hAnsi="Times New Roman"/>
      <w:b/>
      <w:sz w:val="23"/>
    </w:rPr>
  </w:style>
  <w:style w:type="paragraph" w:customStyle="1" w:styleId="Affiliation">
    <w:name w:val="Affiliation"/>
    <w:pPr>
      <w:spacing w:after="100"/>
      <w:jc w:val="center"/>
    </w:pPr>
    <w:rPr>
      <w:rFonts w:ascii="Times New Roman" w:eastAsia="Times New Roman" w:hAnsi="Times New Roman"/>
      <w:i/>
      <w:sz w:val="21"/>
    </w:rPr>
  </w:style>
  <w:style w:type="paragraph" w:customStyle="1" w:styleId="Correspondence">
    <w:name w:val="Correspondence"/>
    <w:pPr>
      <w:spacing w:after="100"/>
      <w:jc w:val="center"/>
    </w:pPr>
    <w:rPr>
      <w:rFonts w:ascii="Times New Roman" w:eastAsia="Times New Roman" w:hAnsi="Times New Roman"/>
      <w:sz w:val="20"/>
    </w:rPr>
  </w:style>
  <w:style w:type="paragraph" w:customStyle="1" w:styleId="Metadata">
    <w:name w:val="Metadata"/>
    <w:pPr>
      <w:spacing w:after="100"/>
      <w:ind w:left="1134" w:right="1134"/>
    </w:pPr>
    <w:rPr>
      <w:rFonts w:ascii="Times New Roman" w:eastAsia="Times New Roman" w:hAnsi="Times New Roman"/>
      <w:sz w:val="19"/>
    </w:rPr>
  </w:style>
  <w:style w:type="paragraph" w:customStyle="1" w:styleId="Reference">
    <w:name w:val="Reference"/>
    <w:pPr>
      <w:spacing w:after="60"/>
      <w:ind w:left="340" w:hanging="340"/>
    </w:pPr>
    <w:rPr>
      <w:rFonts w:ascii="Times New Roman" w:eastAsia="Times New Roman" w:hAnsi="Times New Roman"/>
      <w:sz w:val="19"/>
    </w:rPr>
  </w:style>
  <w:style w:type="paragraph" w:customStyle="1" w:styleId="FigurePlaceholder">
    <w:name w:val="Figure Placeholder"/>
    <w:pPr>
      <w:spacing w:after="100"/>
      <w:jc w:val="center"/>
    </w:pPr>
    <w:rPr>
      <w:rFonts w:ascii="Arial" w:eastAsia="Arial" w:hAnsi="Arial"/>
      <w:b/>
      <w:sz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5484</Words>
  <Characters>31262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A unified diagnostic framework for quantal analysis of optically measured synaptic release</vt:lpstr>
    </vt:vector>
  </TitlesOfParts>
  <Manager/>
  <Company/>
  <LinksUpToDate>false</LinksUpToDate>
  <CharactersWithSpaces>36673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unified diagnostic framework for quantal analysis of optically measured synaptic release</dc:title>
  <dc:subject>Methods manuscript draft</dc:subject>
  <dc:creator>[[AUTHOR NAMES]]</dc:creator>
  <cp:keywords>quantal analysis; MPFA; iGluSnFR; synaptic release; short-term plasticity</cp:keywords>
  <cp:lastModifiedBy>Antoine VALERA</cp:lastModifiedBy>
  <cp:revision>2</cp:revision>
  <dcterms:created xsi:type="dcterms:W3CDTF">2026-07-16T16:34:00Z</dcterms:created>
  <dcterms:modified xsi:type="dcterms:W3CDTF">2026-07-16T17:04:00Z</dcterms:modified>
</cp:coreProperties>
</file>