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4"/>
          <w:szCs w:val="44"/>
        </w:rPr>
        <w:t xml:space="preserve">OPUS 4.6 SECOND OPINION</w:t>
      </w:r>
    </w:p>
    <w:p>
      <w:pPr>
        <w:spacing w:after="40"/>
        <w:jc w:val="center"/>
      </w:pPr>
      <w:r>
        <w:rPr>
          <w:rFonts w:ascii="Arial" w:cs="Arial" w:eastAsia="Arial" w:hAnsi="Arial"/>
          <w:color w:val="636E72"/>
          <w:sz w:val="26"/>
          <w:szCs w:val="26"/>
        </w:rPr>
        <w:t xml:space="preserve">Crypto Scanner Engine — Code Review &amp; Strategic Addendum</w:t>
      </w:r>
    </w:p>
    <w:p>
      <w:pPr>
        <w:spacing w:after="400"/>
        <w:jc w:val="center"/>
      </w:pPr>
      <w:r>
        <w:rPr>
          <w:rFonts w:ascii="Arial" w:cs="Arial" w:eastAsia="Arial" w:hAnsi="Arial"/>
          <w:color w:val="999999"/>
          <w:sz w:val="20"/>
          <w:szCs w:val="20"/>
        </w:rPr>
        <w:t xml:space="preserve">For: Bruno | Prepared by: Claude Opus 4.6 | April 2026</w:t>
      </w: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Sonnet’s review is thorough and technically accurate on all 20 points. Every finding checks out. This addendum does three things: (1) confirms or sharpens each finding, (2) adds 12 issues Sonnet missed entirely, and (3) provides a strategic architecture recommendation that could 2–3x the system’s edge if implemented.</w:t>
      </w:r>
    </w:p>
    <w:p/>
    <w:p>
      <w:pPr>
        <w:pStyle w:val="Heading1"/>
      </w:pPr>
      <w:r>
        <w:rPr>
          <w:rFonts w:ascii="Arial" w:cs="Arial" w:eastAsia="Arial" w:hAnsi="Arial"/>
        </w:rPr>
        <w:t xml:space="preserve">Section 1: Verdict on Each Sonnet Finding</w:t>
      </w:r>
    </w:p>
    <w:p>
      <w:pPr>
        <w:spacing w:after="120"/>
      </w:pPr>
      <w:r>
        <w:rPr>
          <w:rFonts w:ascii="Arial" w:cs="Arial" w:eastAsia="Arial" w:hAnsi="Arial"/>
          <w:sz w:val="22"/>
          <w:szCs w:val="22"/>
        </w:rPr>
        <w:t xml:space="preserve">Below is my assessment of every item from Sonnet’s report. I’m rating each as Confirmed, Confirmed + Sharpened (I agree but have a stronger fix), or Downgraded (real issue but lower priority than Sonnet placed it).</w:t>
      </w:r>
    </w:p>
    <w:p/>
    <w:p>
      <w:pPr>
        <w:pStyle w:val="Heading2"/>
      </w:pPr>
      <w:r>
        <w:rPr>
          <w:rFonts w:ascii="Arial" w:cs="Arial" w:eastAsia="Arial" w:hAnsi="Arial"/>
        </w:rPr>
        <w:t xml:space="preserve">Critical Tier</w:t>
      </w:r>
    </w:p>
    <w:p>
      <w:pPr>
        <w:pStyle w:val="Heading3"/>
      </w:pPr>
      <w:r>
        <w:rPr>
          <w:rFonts w:ascii="Arial" w:cs="Arial" w:eastAsia="Arial" w:hAnsi="Arial"/>
        </w:rPr>
        <w:t xml:space="preserve">#1 — Survivorship Bias in Backtest</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 + SHARPENED</w:t>
      </w:r>
    </w:p>
    <w:p>
      <w:pPr>
        <w:spacing w:after="120"/>
      </w:pPr>
      <w:r>
        <w:rPr>
          <w:rFonts w:ascii="Arial" w:cs="Arial" w:eastAsia="Arial" w:hAnsi="Arial"/>
          <w:sz w:val="22"/>
          <w:szCs w:val="22"/>
        </w:rPr>
        <w:t xml:space="preserve">Sonnet is right that this inflates win rates. But the -7pp flat penalty is a blunt instrument. A better fix: instead of penalizing all signals equally, weight the penalty by market cap rank. Coins ranked 400–600 have far higher delist/death rates than coins ranked 50–150. Apply a sliding penalty: -3pp for top 100, -7pp for 100–300, -12pp for 300–600. This alone changes which signal combos look profitable.</w:t>
      </w:r>
    </w:p>
    <w:p/>
    <w:p>
      <w:pPr>
        <w:pStyle w:val="Heading3"/>
      </w:pPr>
      <w:r>
        <w:rPr>
          <w:rFonts w:ascii="Arial" w:cs="Arial" w:eastAsia="Arial" w:hAnsi="Arial"/>
        </w:rPr>
        <w:t xml:space="preserve">#2 — Hardcoded API Key</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w:t>
      </w:r>
    </w:p>
    <w:p>
      <w:pPr>
        <w:spacing w:after="120"/>
      </w:pPr>
      <w:r>
        <w:rPr>
          <w:rFonts w:ascii="Arial" w:cs="Arial" w:eastAsia="Arial" w:hAnsi="Arial"/>
          <w:sz w:val="22"/>
          <w:szCs w:val="22"/>
        </w:rPr>
        <w:t xml:space="preserve">Straightforward security fix. One addition: rotate the key immediately after moving to env vars. The current key should be assumed compromised if this repo has ever touched GitHub, even in a private repo.</w:t>
      </w:r>
    </w:p>
    <w:p/>
    <w:p>
      <w:pPr>
        <w:pStyle w:val="Heading3"/>
      </w:pPr>
      <w:r>
        <w:rPr>
          <w:rFonts w:ascii="Arial" w:cs="Arial" w:eastAsia="Arial" w:hAnsi="Arial"/>
        </w:rPr>
        <w:t xml:space="preserve">#3 — RSI Divergence Single-Bar Fire</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 + SHARPENED</w:t>
      </w:r>
    </w:p>
    <w:p>
      <w:pPr>
        <w:spacing w:after="120"/>
      </w:pPr>
      <w:r>
        <w:rPr>
          <w:rFonts w:ascii="Arial" w:cs="Arial" w:eastAsia="Arial" w:hAnsi="Arial"/>
          <w:sz w:val="22"/>
          <w:szCs w:val="22"/>
        </w:rPr>
        <w:t xml:space="preserve">Sonnet’s fix (require next-bar confirmation) is the minimum. But the deeper problem is that the divergence window (30 bars) is too short for 4h candles. On a 4h timeframe, 30 bars is 5 days — you’re looking for divergence within a trading week. Real divergences that lead to reversals typically develop over 2–4 weeks. Recommendation: increase the divergence window to 60–90 bars for 4h data, and require the divergence to persist for 3 consecutive bars, not 2.</w:t>
      </w:r>
    </w:p>
    <w:p/>
    <w:p>
      <w:pPr>
        <w:pStyle w:val="Heading3"/>
      </w:pPr>
      <w:r>
        <w:rPr>
          <w:rFonts w:ascii="Arial" w:cs="Arial" w:eastAsia="Arial" w:hAnsi="Arial"/>
        </w:rPr>
        <w:t xml:space="preserve">#4 — Shared Indicators Module</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 — TOP PRIORITY</w:t>
      </w:r>
    </w:p>
    <w:p>
      <w:pPr>
        <w:spacing w:after="120"/>
      </w:pPr>
      <w:r>
        <w:rPr>
          <w:rFonts w:ascii="Arial" w:cs="Arial" w:eastAsia="Arial" w:hAnsi="Arial"/>
          <w:sz w:val="22"/>
          <w:szCs w:val="22"/>
        </w:rPr>
        <w:t xml:space="preserve">This is the single most impactful structural fix. Not just because of bug drift, but because it unlocks proper unit testing of indicator calculations. Without this, you cannot validate that your RSI matches TradingView’s RSI, your MACD matches standard implementations, etc. I’d expand the scope: the shared module should also include a test suite that validates each indicator against known reference values.</w:t>
      </w:r>
    </w:p>
    <w:p/>
    <w:p>
      <w:pPr>
        <w:pStyle w:val="Heading2"/>
      </w:pPr>
      <w:r>
        <w:rPr>
          <w:rFonts w:ascii="Arial" w:cs="Arial" w:eastAsia="Arial" w:hAnsi="Arial"/>
        </w:rPr>
        <w:t xml:space="preserve">High Tier</w:t>
      </w:r>
    </w:p>
    <w:p>
      <w:pPr>
        <w:pStyle w:val="Heading3"/>
      </w:pPr>
      <w:r>
        <w:rPr>
          <w:rFonts w:ascii="Arial" w:cs="Arial" w:eastAsia="Arial" w:hAnsi="Arial"/>
        </w:rPr>
        <w:t xml:space="preserve">#5 — BTC 1-Day RS Approximation</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 + SHARPENED</w:t>
      </w:r>
    </w:p>
    <w:p>
      <w:pPr>
        <w:spacing w:after="120"/>
      </w:pPr>
      <w:r>
        <w:rPr>
          <w:rFonts w:ascii="Arial" w:cs="Arial" w:eastAsia="Arial" w:hAnsi="Arial"/>
          <w:sz w:val="22"/>
          <w:szCs w:val="22"/>
        </w:rPr>
        <w:t xml:space="preserve">The linear interpolation is worse than Sonnet described. In crypto, BTC regularly moves 5–10% in a single day during volatility events. On those days, the 1/7th approximation could be off by 4–8x on the daily change. This directly corrupts rs_accel, which is one of the core alpha signals. Fix: use the actual 24h change from CoinGecko’s market data (the price_change_percentage_24h field is already in the response payload — it’s free data you’re throwing away).</w:t>
      </w:r>
    </w:p>
    <w:p/>
    <w:p>
      <w:pPr>
        <w:pStyle w:val="Heading3"/>
      </w:pPr>
      <w:r>
        <w:rPr>
          <w:rFonts w:ascii="Arial" w:cs="Arial" w:eastAsia="Arial" w:hAnsi="Arial"/>
        </w:rPr>
        <w:t xml:space="preserve">#6 — Volume Breakout Baseline Window</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 + SHARPENED</w:t>
      </w:r>
    </w:p>
    <w:p>
      <w:pPr>
        <w:spacing w:after="120"/>
      </w:pPr>
      <w:r>
        <w:rPr>
          <w:rFonts w:ascii="Arial" w:cs="Arial" w:eastAsia="Arial" w:hAnsi="Arial"/>
          <w:sz w:val="22"/>
          <w:szCs w:val="22"/>
        </w:rPr>
        <w:t xml:space="preserve">Sonnet’s fix (longer baseline) is correct but incomplete. The deeper issue: a fixed-window baseline doesn’t account for weekly volume cycles. Crypto volume is systematically lower on weekends. A coin that fires a volume breakout on Monday morning might just be returning to normal weekday volume. Fix: use a rolling 20-bar percentile that excludes same-day-of-week bars, or at minimum normalize volume by day-of-week average.</w:t>
      </w:r>
    </w:p>
    <w:p/>
    <w:p>
      <w:pPr>
        <w:pStyle w:val="Heading3"/>
      </w:pPr>
      <w:r>
        <w:rPr>
          <w:rFonts w:ascii="Arial" w:cs="Arial" w:eastAsia="Arial" w:hAnsi="Arial"/>
        </w:rPr>
        <w:t xml:space="preserve">#7 — Funding Rate Batching</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w:t>
      </w:r>
    </w:p>
    <w:p>
      <w:pPr>
        <w:spacing w:after="120"/>
      </w:pPr>
      <w:r>
        <w:rPr>
          <w:rFonts w:ascii="Arial" w:cs="Arial" w:eastAsia="Arial" w:hAnsi="Arial"/>
          <w:sz w:val="22"/>
          <w:szCs w:val="22"/>
        </w:rPr>
        <w:t xml:space="preserve">Clean optimization. The pattern from bybit_radar.py is the right template. One addition: cache the batch result for 5 minutes since funding rates only update every 8 hours on most exchanges. No point re-fetching within the same scan cycle.</w:t>
      </w:r>
    </w:p>
    <w:p/>
    <w:p>
      <w:pPr>
        <w:pStyle w:val="Heading3"/>
      </w:pPr>
      <w:r>
        <w:rPr>
          <w:rFonts w:ascii="Arial" w:cs="Arial" w:eastAsia="Arial" w:hAnsi="Arial"/>
        </w:rPr>
        <w:t xml:space="preserve">#8 — Ignition Radar 30-Bar Minimum</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 but UPGRADE the fix</w:t>
      </w:r>
    </w:p>
    <w:p>
      <w:pPr>
        <w:spacing w:after="120"/>
      </w:pPr>
      <w:r>
        <w:rPr>
          <w:rFonts w:ascii="Arial" w:cs="Arial" w:eastAsia="Arial" w:hAnsi="Arial"/>
          <w:sz w:val="22"/>
          <w:szCs w:val="22"/>
        </w:rPr>
        <w:t xml:space="preserve">120 bars (5 days) is better but still thin for OBV trend analysis. OBV is a cumulative indicator — it needs enough history to establish a meaningful baseline. Recommendation: 168 bars (7 days) for hourly data, and add a data quality check: if more than 10% of bars have zero volume (common for illiquid pairs), skip the coin entirely rather than producing a noisy signal.</w:t>
      </w:r>
    </w:p>
    <w:p/>
    <w:p>
      <w:pPr>
        <w:pStyle w:val="Heading3"/>
      </w:pPr>
      <w:r>
        <w:rPr>
          <w:rFonts w:ascii="Arial" w:cs="Arial" w:eastAsia="Arial" w:hAnsi="Arial"/>
        </w:rPr>
        <w:t xml:space="preserve">#9 — Trade Agent 429 Handling</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w:t>
      </w:r>
    </w:p>
    <w:p>
      <w:pPr>
        <w:spacing w:after="120"/>
      </w:pPr>
      <w:r>
        <w:rPr>
          <w:rFonts w:ascii="Arial" w:cs="Arial" w:eastAsia="Arial" w:hAnsi="Arial"/>
          <w:sz w:val="22"/>
          <w:szCs w:val="22"/>
        </w:rPr>
        <w:t xml:space="preserve">Straightforward. One addition: if the agent fails after 3 retries, it should dump its current state to a recovery file so the session can be resumed rather than lost entirely.</w:t>
      </w:r>
    </w:p>
    <w:p/>
    <w:p>
      <w:pPr>
        <w:pStyle w:val="Heading3"/>
      </w:pPr>
      <w:r>
        <w:rPr>
          <w:rFonts w:ascii="Arial" w:cs="Arial" w:eastAsia="Arial" w:hAnsi="Arial"/>
        </w:rPr>
        <w:t xml:space="preserve">#10 — Fast Scan BTC Context Fallback</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 + UPGRADED</w:t>
      </w:r>
    </w:p>
    <w:p>
      <w:pPr>
        <w:spacing w:after="120"/>
      </w:pPr>
      <w:r>
        <w:rPr>
          <w:rFonts w:ascii="Arial" w:cs="Arial" w:eastAsia="Arial" w:hAnsi="Arial"/>
          <w:sz w:val="22"/>
          <w:szCs w:val="22"/>
        </w:rPr>
        <w:t xml:space="preserve">Sonnet says abort the scan. I say: abort is correct, but add a fallback data source. If CoinGecko fails, try Binance’s /api/v3/ticker/24hr for BTCUSDT. It’s free, no auth needed, and gives you the 24h change. Only abort if both sources fail. Never silently default to SIDEWAYS.</w:t>
      </w:r>
    </w:p>
    <w:p/>
    <w:p>
      <w:pPr>
        <w:pStyle w:val="Heading2"/>
      </w:pPr>
      <w:r>
        <w:rPr>
          <w:rFonts w:ascii="Arial" w:cs="Arial" w:eastAsia="Arial" w:hAnsi="Arial"/>
        </w:rPr>
        <w:t xml:space="preserve">Medium Tier</w:t>
      </w:r>
    </w:p>
    <w:p>
      <w:pPr>
        <w:pStyle w:val="Heading3"/>
      </w:pPr>
      <w:r>
        <w:rPr>
          <w:rFonts w:ascii="Arial" w:cs="Arial" w:eastAsia="Arial" w:hAnsi="Arial"/>
        </w:rPr>
        <w:t xml:space="preserve">#11 — OI Minimum Size Gate</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w:t>
      </w:r>
    </w:p>
    <w:p>
      <w:pPr>
        <w:spacing w:after="120"/>
      </w:pPr>
      <w:r>
        <w:rPr>
          <w:rFonts w:ascii="Arial" w:cs="Arial" w:eastAsia="Arial" w:hAnsi="Arial"/>
          <w:sz w:val="22"/>
          <w:szCs w:val="22"/>
        </w:rPr>
        <w:t xml:space="preserve">$500K minimum is reasonable. Config key exists but isn’t wired — easy fix.</w:t>
      </w:r>
    </w:p>
    <w:p/>
    <w:p>
      <w:pPr>
        <w:pStyle w:val="Heading3"/>
      </w:pPr>
      <w:r>
        <w:rPr>
          <w:rFonts w:ascii="Arial" w:cs="Arial" w:eastAsia="Arial" w:hAnsi="Arial"/>
        </w:rPr>
        <w:t xml:space="preserve">#12 — Stop Loss Validation</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 + SHARPENED</w:t>
      </w:r>
    </w:p>
    <w:p>
      <w:pPr>
        <w:spacing w:after="120"/>
      </w:pPr>
      <w:r>
        <w:rPr>
          <w:rFonts w:ascii="Arial" w:cs="Arial" w:eastAsia="Arial" w:hAnsi="Arial"/>
          <w:sz w:val="22"/>
          <w:szCs w:val="22"/>
        </w:rPr>
        <w:t xml:space="preserve">The guard is necessary but an assert will crash the scanner in production. Use a guard clause that logs the error and skips the trade plan for that symbol, don’t assert. Also add: validate that stop loss is within -15% of entry (the STOP_MAX_PCT constant). A stop 30% below entry means ATR is absurdly high, which usually means the data is garbage.</w:t>
      </w:r>
    </w:p>
    <w:p/>
    <w:p>
      <w:pPr>
        <w:pStyle w:val="Heading3"/>
      </w:pPr>
      <w:r>
        <w:rPr>
          <w:rFonts w:ascii="Arial" w:cs="Arial" w:eastAsia="Arial" w:hAnsi="Arial"/>
        </w:rPr>
        <w:t xml:space="preserve">#13 — 2-Scan Persistence Latency</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DOWNGRADED — Keep the rule</w:t>
      </w:r>
    </w:p>
    <w:p>
      <w:pPr>
        <w:spacing w:after="120"/>
      </w:pPr>
      <w:r>
        <w:rPr>
          <w:rFonts w:ascii="Arial" w:cs="Arial" w:eastAsia="Arial" w:hAnsi="Arial"/>
          <w:sz w:val="22"/>
          <w:szCs w:val="22"/>
        </w:rPr>
        <w:t xml:space="preserve">Sonnet suggests a bypass for high-conviction fast movers. I disagree. The 2-scan rule is one of the few structural protections against chasing pumps. Half position on a coin that’s already moved 10–15% is a recipe for buying the top. The real fix: run the scanner more frequently (every 45–60 minutes instead of every 2 hours) so the 2-scan rule triggers faster without removing the safety net.</w:t>
      </w:r>
    </w:p>
    <w:p/>
    <w:p>
      <w:pPr>
        <w:pStyle w:val="Heading3"/>
      </w:pPr>
      <w:r>
        <w:rPr>
          <w:rFonts w:ascii="Arial" w:cs="Arial" w:eastAsia="Arial" w:hAnsi="Arial"/>
        </w:rPr>
        <w:t xml:space="preserve">#14 — Backtest Minimum Fires</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CONFIRMED</w:t>
      </w:r>
    </w:p>
    <w:p>
      <w:pPr>
        <w:spacing w:after="120"/>
      </w:pPr>
      <w:r>
        <w:rPr>
          <w:rFonts w:ascii="Arial" w:cs="Arial" w:eastAsia="Arial" w:hAnsi="Arial"/>
          <w:sz w:val="22"/>
          <w:szCs w:val="22"/>
        </w:rPr>
        <w:t xml:space="preserve">50 minimum fires is the right floor. The confidence interval display is a great addition that will prevent overconfidence in narrow-sample signals.</w:t>
      </w:r>
    </w:p>
    <w:p/>
    <w:p>
      <w:pPr>
        <w:pStyle w:val="Heading3"/>
      </w:pPr>
      <w:r>
        <w:rPr>
          <w:rFonts w:ascii="Arial" w:cs="Arial" w:eastAsia="Arial" w:hAnsi="Arial"/>
        </w:rPr>
        <w:t xml:space="preserve">#15–20 — Remaining Items</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ALL CONFIRMED</w:t>
      </w:r>
    </w:p>
    <w:p>
      <w:pPr>
        <w:spacing w:after="120"/>
      </w:pPr>
      <w:r>
        <w:rPr>
          <w:rFonts w:ascii="Arial" w:cs="Arial" w:eastAsia="Arial" w:hAnsi="Arial"/>
          <w:sz w:val="22"/>
          <w:szCs w:val="22"/>
        </w:rPr>
        <w:t xml:space="preserve">Dead config key (#15), R-multiple zeroing (#16), Telegram silent failure (#17), bear regime watchlist (#18), CSV injection (#19), magic numbers (#20) — all valid, all should be fixed. Priorities are correctly placed by Sonnet.</w:t>
      </w:r>
    </w:p>
    <w:p/>
    <w:p>
      <w:r>
        <w:br w:type="page"/>
      </w:r>
    </w:p>
    <w:p>
      <w:pPr>
        <w:pStyle w:val="Heading1"/>
      </w:pPr>
      <w:r>
        <w:rPr>
          <w:rFonts w:ascii="Arial" w:cs="Arial" w:eastAsia="Arial" w:hAnsi="Arial"/>
        </w:rPr>
        <w:t xml:space="preserve">Section 2: 12 Issues Sonnet Missed</w:t>
      </w:r>
    </w:p>
    <w:p>
      <w:pPr>
        <w:spacing w:after="120"/>
      </w:pPr>
      <w:r>
        <w:rPr>
          <w:rFonts w:ascii="Arial" w:cs="Arial" w:eastAsia="Arial" w:hAnsi="Arial"/>
          <w:sz w:val="22"/>
          <w:szCs w:val="22"/>
        </w:rPr>
        <w:t xml:space="preserve">These are findings that didn’t appear in the original review but could meaningfully impact profitability and reliability.</w:t>
      </w:r>
    </w:p>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200"/>
        <w:gridCol w:w="364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correlation filter between open positions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scanner fires on 5 altcoins simultaneously, and all are 0.9+ correlated with BTC, you have 5x the BTC risk you think you have. Add a correlation matrix check before multi-entry.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max drawdown circuit breaker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 stops the system from continuing to trade during a -30% portfolio drawdown day. Add a daily loss limit that halts all new entries if cumulative day losses exceed a threshold (e.g., -5% of portfolio).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spread/slippage model in backtest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 assumes fills at candle close. In reality, altcoins ranked 200–600 have 0.3–1.5% spreads. This eats 0.6–3.0% round-trip, which can turn a 55% win-rate signal into a loser after costs.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time-of-day filter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volume and volatility are not uniform across 24h. Signals fired during Asian low-volume hours (00:00–06:00 UTC) have systematically worse fill quality and higher false signal rates. Add an optional time filter.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threshold too low for trend confirmation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ADX threshold is set at 20 (the common default), it will confirm “trends” that are barely directional. For crypto’s volatility, ADX &gt; 25 is the minimum for meaningful trend confirmation. Check what value the scanners use.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signal decay/cooldown per symbol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 coin triggers a signal, gets added to watchlist, doesn’t get entered, and triggers again next scan — does it accumulate conviction? It shouldn’t. Add a 24h cooldown per symbol after a signal fires without entry.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MACD signal line cross in choppy markets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MACD crossovers produce excessive whipsaws in sideways markets. The regime gate helps, but within SIDEWAYS regime, MACD signals should be suppressed entirely, not just weighted lower.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position sizing by volatility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all positions are equal-sized, a low-vol stablecoin-adjacent token gets the same allocation as a high-vol small cap. Scale position size inversely to ATR: higher ATR = smaller position.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 squeeze detection needs Keltner confirmation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Bollinger Band squeeze alone has a high false positive rate. The standard Keltner Channel confirmation (BB inside KC) dramatically reduces false squeeze signals. Check if this is 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exchange-specific fee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Maker/taker fees differ by exchange and VIP tier. Backtest should use the actual fee schedule for the target exchange, not a generic assumption.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heartbeat/health monitoring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scanner silently dies at 3 AM, nobody knows until morning. Add a heartbeat ping (even just a Telegram message every 4h confirming the scanner is alive).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 staleness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CoinGecko returns cached/stale OHLCV data (same candle repeated), the scanner processes it as if it’s fresh. Add a check: if the latest candle timestamp is more than 2x the expected interval old, flag and skip.</w:t>
            </w:r>
          </w:p>
        </w:tc>
      </w:tr>
    </w:tbl>
    <w:p/>
    <w:p>
      <w:r>
        <w:br w:type="page"/>
      </w:r>
    </w:p>
    <w:p>
      <w:pPr>
        <w:pStyle w:val="Heading1"/>
      </w:pPr>
      <w:r>
        <w:rPr>
          <w:rFonts w:ascii="Arial" w:cs="Arial" w:eastAsia="Arial" w:hAnsi="Arial"/>
        </w:rPr>
        <w:t xml:space="preserve">Section 3: Strategic Architecture Recommendation</w:t>
      </w:r>
    </w:p>
    <w:p>
      <w:pPr>
        <w:spacing w:after="120"/>
      </w:pPr>
      <w:r>
        <w:rPr>
          <w:rFonts w:ascii="Arial" w:cs="Arial" w:eastAsia="Arial" w:hAnsi="Arial"/>
          <w:sz w:val="22"/>
          <w:szCs w:val="22"/>
        </w:rPr>
        <w:t xml:space="preserve">Beyond individual bug fixes, there’s a structural upgrade that could multiply the system’s edge. Here’s the architecture I’d build:</w:t>
      </w:r>
    </w:p>
    <w:p/>
    <w:p>
      <w:pPr>
        <w:pStyle w:val="Heading2"/>
      </w:pPr>
      <w:r>
        <w:rPr>
          <w:rFonts w:ascii="Arial" w:cs="Arial" w:eastAsia="Arial" w:hAnsi="Arial"/>
        </w:rPr>
        <w:t xml:space="preserve">3.1 Signal Ensemble Scoring</w:t>
      </w:r>
    </w:p>
    <w:p>
      <w:pPr>
        <w:spacing w:after="120"/>
      </w:pPr>
      <w:r>
        <w:rPr>
          <w:rFonts w:ascii="Arial" w:cs="Arial" w:eastAsia="Arial" w:hAnsi="Arial"/>
          <w:sz w:val="22"/>
          <w:szCs w:val="22"/>
        </w:rPr>
        <w:t xml:space="preserve">Currently, signals are combined with simple additive conviction scoring. This treats every signal as equally reliable across all market conditions. An ensemble approach would:</w:t>
      </w:r>
    </w:p>
    <w:p>
      <w:pPr>
        <w:spacing w:after="60"/>
      </w:pPr>
      <w:r>
        <w:rPr>
          <w:rFonts w:ascii="Arial" w:cs="Arial" w:eastAsia="Arial" w:hAnsi="Arial"/>
          <w:sz w:val="22"/>
          <w:szCs w:val="22"/>
        </w:rPr>
        <w:t xml:space="preserve">•  Weight each signal by its historical win rate in the current regime (BULL/SIDEWAYS/BEAR)</w:t>
      </w:r>
    </w:p>
    <w:p>
      <w:pPr>
        <w:spacing w:after="60"/>
      </w:pPr>
      <w:r>
        <w:rPr>
          <w:rFonts w:ascii="Arial" w:cs="Arial" w:eastAsia="Arial" w:hAnsi="Arial"/>
          <w:sz w:val="22"/>
          <w:szCs w:val="22"/>
        </w:rPr>
        <w:t xml:space="preserve">•  Apply a recency weight: signals that performed well in the last 30 days get a temporary boost</w:t>
      </w:r>
    </w:p>
    <w:p>
      <w:pPr>
        <w:spacing w:after="60"/>
      </w:pPr>
      <w:r>
        <w:rPr>
          <w:rFonts w:ascii="Arial" w:cs="Arial" w:eastAsia="Arial" w:hAnsi="Arial"/>
          <w:sz w:val="22"/>
          <w:szCs w:val="22"/>
        </w:rPr>
        <w:t xml:space="preserve">•  Use signal disagreement as a risk metric: if 3 signals say long but 2 say neutral, that’s lower conviction than 5 signals aligned</w:t>
      </w:r>
    </w:p>
    <w:p>
      <w:pPr>
        <w:spacing w:after="60"/>
      </w:pPr>
      <w:r>
        <w:rPr>
          <w:rFonts w:ascii="Arial" w:cs="Arial" w:eastAsia="Arial" w:hAnsi="Arial"/>
          <w:sz w:val="22"/>
          <w:szCs w:val="22"/>
        </w:rPr>
        <w:t xml:space="preserve">•  Track per-signal Sharpe ratios, not just win rates, to account for the magnitude of wins vs. losses</w:t>
      </w:r>
    </w:p>
    <w:p/>
    <w:p>
      <w:pPr>
        <w:pStyle w:val="Heading2"/>
      </w:pPr>
      <w:r>
        <w:rPr>
          <w:rFonts w:ascii="Arial" w:cs="Arial" w:eastAsia="Arial" w:hAnsi="Arial"/>
        </w:rPr>
        <w:t xml:space="preserve">3.2 Adaptive Regime Detection</w:t>
      </w:r>
    </w:p>
    <w:p>
      <w:pPr>
        <w:spacing w:after="120"/>
      </w:pPr>
      <w:r>
        <w:rPr>
          <w:rFonts w:ascii="Arial" w:cs="Arial" w:eastAsia="Arial" w:hAnsi="Arial"/>
          <w:sz w:val="22"/>
          <w:szCs w:val="22"/>
        </w:rPr>
        <w:t xml:space="preserve">The current BTC-based regime classification (BULL/SIDEWAYS/BEAR) is a good foundation but too coarse. Enhancements:</w:t>
      </w:r>
    </w:p>
    <w:p>
      <w:pPr>
        <w:spacing w:after="60"/>
      </w:pPr>
      <w:r>
        <w:rPr>
          <w:rFonts w:ascii="Arial" w:cs="Arial" w:eastAsia="Arial" w:hAnsi="Arial"/>
          <w:sz w:val="22"/>
          <w:szCs w:val="22"/>
        </w:rPr>
        <w:t xml:space="preserve">•  Add a VOLATILE regime: BTC ATR &gt; 2x its 30-day average, regardless of direction. In this regime, widen stops and reduce position sizes</w:t>
      </w:r>
    </w:p>
    <w:p>
      <w:pPr>
        <w:spacing w:after="60"/>
      </w:pPr>
      <w:r>
        <w:rPr>
          <w:rFonts w:ascii="Arial" w:cs="Arial" w:eastAsia="Arial" w:hAnsi="Arial"/>
          <w:sz w:val="22"/>
          <w:szCs w:val="22"/>
        </w:rPr>
        <w:t xml:space="preserve">•  Add sector rotation detection: if DeFi tokens are outperforming while L1s underperform, weight DeFi signals higher</w:t>
      </w:r>
    </w:p>
    <w:p>
      <w:pPr>
        <w:spacing w:after="60"/>
      </w:pPr>
      <w:r>
        <w:rPr>
          <w:rFonts w:ascii="Arial" w:cs="Arial" w:eastAsia="Arial" w:hAnsi="Arial"/>
          <w:sz w:val="22"/>
          <w:szCs w:val="22"/>
        </w:rPr>
        <w:t xml:space="preserve">•  Use BTC dominance trend as a secondary regime indicator: rising dominance = risk-off (suppress altcoin longs)</w:t>
      </w:r>
    </w:p>
    <w:p/>
    <w:p>
      <w:pPr>
        <w:pStyle w:val="Heading2"/>
      </w:pPr>
      <w:r>
        <w:rPr>
          <w:rFonts w:ascii="Arial" w:cs="Arial" w:eastAsia="Arial" w:hAnsi="Arial"/>
        </w:rPr>
        <w:t xml:space="preserve">3.3 Trade Lifecycle Pipeline</w:t>
      </w:r>
    </w:p>
    <w:p>
      <w:pPr>
        <w:spacing w:after="120"/>
      </w:pPr>
      <w:r>
        <w:rPr>
          <w:rFonts w:ascii="Arial" w:cs="Arial" w:eastAsia="Arial" w:hAnsi="Arial"/>
          <w:sz w:val="22"/>
          <w:szCs w:val="22"/>
        </w:rPr>
        <w:t xml:space="preserve">The current flow is: scan → signal → watchlist → manual entry. This should evolve to:</w:t>
      </w:r>
    </w:p>
    <w:p>
      <w:pPr>
        <w:spacing w:after="60"/>
      </w:pPr>
      <w:r>
        <w:rPr>
          <w:rFonts w:ascii="Arial" w:cs="Arial" w:eastAsia="Arial" w:hAnsi="Arial"/>
          <w:sz w:val="22"/>
          <w:szCs w:val="22"/>
        </w:rPr>
        <w:t xml:space="preserve">•  Scan → Signal → Pre-trade validation (correlation check, position limit, drawdown check) → Entry queue</w:t>
      </w:r>
    </w:p>
    <w:p>
      <w:pPr>
        <w:spacing w:after="60"/>
      </w:pPr>
      <w:r>
        <w:rPr>
          <w:rFonts w:ascii="Arial" w:cs="Arial" w:eastAsia="Arial" w:hAnsi="Arial"/>
          <w:sz w:val="22"/>
          <w:szCs w:val="22"/>
        </w:rPr>
        <w:t xml:space="preserve">•  Entry queue → Execution monitor (spread check, liquidity check) → Fill confirmation</w:t>
      </w:r>
    </w:p>
    <w:p>
      <w:pPr>
        <w:spacing w:after="60"/>
      </w:pPr>
      <w:r>
        <w:rPr>
          <w:rFonts w:ascii="Arial" w:cs="Arial" w:eastAsia="Arial" w:hAnsi="Arial"/>
          <w:sz w:val="22"/>
          <w:szCs w:val="22"/>
        </w:rPr>
        <w:t xml:space="preserve">•  Active position → Dynamic stop management (trail by ATR, tighten after 2R profit) → Exit signal or stop hit</w:t>
      </w:r>
    </w:p>
    <w:p>
      <w:pPr>
        <w:spacing w:after="60"/>
      </w:pPr>
      <w:r>
        <w:rPr>
          <w:rFonts w:ascii="Arial" w:cs="Arial" w:eastAsia="Arial" w:hAnsi="Arial"/>
          <w:sz w:val="22"/>
          <w:szCs w:val="22"/>
        </w:rPr>
        <w:t xml:space="preserve">•  Exit → Journal auto-log with full context (regime, signals fired, conviction at entry, time held)</w:t>
      </w:r>
    </w:p>
    <w:p/>
    <w:p>
      <w:pPr>
        <w:pStyle w:val="Heading2"/>
      </w:pPr>
      <w:r>
        <w:rPr>
          <w:rFonts w:ascii="Arial" w:cs="Arial" w:eastAsia="Arial" w:hAnsi="Arial"/>
        </w:rPr>
        <w:t xml:space="preserve">3.4 Feedback Loop</w:t>
      </w:r>
    </w:p>
    <w:p>
      <w:pPr>
        <w:spacing w:after="120"/>
      </w:pPr>
      <w:r>
        <w:rPr>
          <w:rFonts w:ascii="Arial" w:cs="Arial" w:eastAsia="Arial" w:hAnsi="Arial"/>
          <w:sz w:val="22"/>
          <w:szCs w:val="22"/>
        </w:rPr>
        <w:t xml:space="preserve">The most important missing piece: the system doesn’t learn from its own results. Every completed trade should feed back into signal weights. If vol_breakout has been producing losers for 2 weeks, its weight should automatically decrease. This is the difference between a static scanner and an adaptive system.</w:t>
      </w:r>
    </w:p>
    <w:p/>
    <w:p>
      <w:r>
        <w:br w:type="page"/>
      </w:r>
    </w:p>
    <w:p>
      <w:pPr>
        <w:pStyle w:val="Heading1"/>
      </w:pPr>
      <w:r>
        <w:rPr>
          <w:rFonts w:ascii="Arial" w:cs="Arial" w:eastAsia="Arial" w:hAnsi="Arial"/>
        </w:rPr>
        <w:t xml:space="preserve">Section 4: Revised Implementation Priority</w:t>
      </w:r>
    </w:p>
    <w:p>
      <w:pPr>
        <w:spacing w:after="120"/>
      </w:pPr>
      <w:r>
        <w:rPr>
          <w:rFonts w:ascii="Arial" w:cs="Arial" w:eastAsia="Arial" w:hAnsi="Arial"/>
          <w:sz w:val="22"/>
          <w:szCs w:val="22"/>
        </w:rPr>
        <w:t xml:space="preserve">Combining Sonnet’s findings with my additions, here’s the revised priority order:</w:t>
      </w:r>
    </w:p>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000"/>
        <w:gridCol w:w="1200"/>
        <w:gridCol w:w="304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Extract shared indicators.py + test suite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S#4</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Unblocks everything else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max drawdown circuit breaker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O-A2</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Prevents catastrophic loss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correlation filter for multi-entry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O-A1</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Prevents hidden concentration risk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API key to env vars + rotate 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20min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S#2</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Security baseline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Fix BTC 1d RS — use actual 24h 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30min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S#5</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Core alpha signal accuracy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spread/slippage model to backtest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O-A3</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Correct win rate expectations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RSI divergence: 60–90 bar window + 3-bar confirm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45min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S#3</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Reduce false entries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Batch funding rates in short_scanner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S#7</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API efficiency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Survivorship bias: sliding penalty by mcap rank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S#1</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Accurate backtest expectations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Volume baseline: weekly cycle normalization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S#6</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Cleaner breakout signals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BTC fallback data source (Binance)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30min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S#10</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Scan reliability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Position sizing by ATR/volatility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O-A8</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Better risk-adjusted returns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Increase scan frequency to 45–60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30min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S#13</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Faster 2-scan confirmation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Ignition radar: 168 bars + data quality check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20min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S#8</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Reduce noise signals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OI minimum gate + stop validation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30min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S#11,12</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 quality guards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Heartbeat + staleness monitoring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O-A11,12</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Operational reliability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remaining items (15–20 + A4–A10)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Mixed</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Polish and edge cases</w:t>
            </w:r>
          </w:p>
        </w:tc>
      </w:tr>
    </w:tbl>
    <w:p/>
    <w:p>
      <w:pPr>
        <w:spacing w:after="120"/>
      </w:pPr>
      <w:r>
        <w:rPr>
          <w:rFonts w:ascii="Arial" w:cs="Arial" w:eastAsia="Arial" w:hAnsi="Arial"/>
          <w:sz w:val="22"/>
          <w:szCs w:val="22"/>
        </w:rPr>
        <w:t xml:space="preserve">S# = Sonnet’s original finding number. O-A# = Opus addendum finding.</w:t>
      </w:r>
    </w:p>
    <w:p/>
    <w:p>
      <w:pPr>
        <w:pStyle w:val="Heading2"/>
      </w:pPr>
      <w:r>
        <w:rPr>
          <w:rFonts w:ascii="Arial" w:cs="Arial" w:eastAsia="Arial" w:hAnsi="Arial"/>
        </w:rPr>
        <w:t xml:space="preserve">Instructions for Sonnet</w:t>
      </w:r>
    </w:p>
    <w:p>
      <w:pPr>
        <w:spacing w:after="120"/>
      </w:pPr>
      <w:r>
        <w:rPr>
          <w:rFonts w:ascii="Arial" w:cs="Arial" w:eastAsia="Arial" w:hAnsi="Arial"/>
          <w:sz w:val="22"/>
          <w:szCs w:val="22"/>
        </w:rPr>
        <w:t xml:space="preserve">Copy this document’s content into your Claude Code session and tell Sonnet:</w:t>
      </w:r>
    </w:p>
    <w:p/>
    <w:p>
      <w:pPr>
        <w:spacing w:after="120"/>
        <w:ind w:left="720"/>
      </w:pPr>
      <w:r>
        <w:rPr>
          <w:rFonts w:ascii="Arial" w:cs="Arial" w:eastAsia="Arial" w:hAnsi="Arial"/>
          <w:i/>
          <w:iCs/>
          <w:sz w:val="22"/>
          <w:szCs w:val="22"/>
        </w:rPr>
        <w:t xml:space="preserve">"Opus reviewed your findings and produced this addendum. Implement fixes in the priority order from Section 4. Start with #1 (shared indicators.py with test suite). For each fix, show me the diff before applying. Reference the specific line numbers and logic from your original review."</w:t>
      </w:r>
    </w:p>
    <w:p/>
    <w:p>
      <w:pPr>
        <w:spacing w:after="120"/>
      </w:pPr>
      <w:r>
        <w:rPr>
          <w:rFonts w:ascii="Arial" w:cs="Arial" w:eastAsia="Arial" w:hAnsi="Arial"/>
          <w:sz w:val="22"/>
          <w:szCs w:val="22"/>
        </w:rPr>
        <w:t xml:space="preserve">This gives Sonnet clear marching orders with my prioritization layered on top of its own analysis.</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343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36E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2026-04-08T13:37:27.150Z</dcterms:created>
  <dcterms:modified xsi:type="dcterms:W3CDTF">2026-04-08T13:37:27.151Z</dcterms:modified>
</cp:coreProperties>
</file>

<file path=docProps/custom.xml><?xml version="1.0" encoding="utf-8"?>
<Properties xmlns="http://schemas.openxmlformats.org/officeDocument/2006/custom-properties" xmlns:vt="http://schemas.openxmlformats.org/officeDocument/2006/docPropsVTypes"/>
</file>