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sz w:val="36"/>
          <w:szCs w:val="36"/>
          <w:rtl w:val="0"/>
        </w:rPr>
        <w:t xml:space="preserve">Redesign Specification</w:t>
      </w:r>
      <w:r w:rsidDel="00000000" w:rsidR="00000000" w:rsidRPr="00000000">
        <w:rPr>
          <w:rtl w:val="0"/>
        </w:rPr>
      </w:r>
    </w:p>
    <w:p w:rsidR="00000000" w:rsidDel="00000000" w:rsidP="00000000" w:rsidRDefault="00000000" w:rsidRPr="00000000" w14:paraId="00000002">
      <w:pPr>
        <w:spacing w:after="80" w:lineRule="auto"/>
        <w:jc w:val="center"/>
        <w:rPr>
          <w:sz w:val="28"/>
          <w:szCs w:val="28"/>
        </w:rPr>
      </w:pPr>
      <w:r w:rsidDel="00000000" w:rsidR="00000000" w:rsidRPr="00000000">
        <w:rPr>
          <w:rFonts w:ascii="Arial" w:cs="Arial" w:eastAsia="Arial" w:hAnsi="Arial"/>
          <w:sz w:val="26"/>
          <w:szCs w:val="26"/>
          <w:rtl w:val="0"/>
        </w:rPr>
        <w:t xml:space="preserve">Amnesty International Digital Portal</w:t>
      </w:r>
      <w:r w:rsidDel="00000000" w:rsidR="00000000" w:rsidRPr="00000000">
        <w:br w:type="page"/>
      </w:r>
      <w:r w:rsidDel="00000000" w:rsidR="00000000" w:rsidRPr="00000000">
        <w:rPr>
          <w:rtl w:val="0"/>
        </w:rPr>
      </w:r>
    </w:p>
    <w:sdt>
      <w:sdtPr>
        <w:id w:val="-409500219"/>
        <w:docPartObj>
          <w:docPartGallery w:val="Table of Contents"/>
          <w:docPartUnique w:val="1"/>
        </w:docPartObj>
      </w:sdtPr>
      <w:sdtContent>
        <w:p w:rsidR="00000000" w:rsidDel="00000000" w:rsidP="00000000" w:rsidRDefault="00000000" w:rsidRPr="00000000" w14:paraId="00000003">
          <w:pPr>
            <w:widowControl w:val="0"/>
            <w:tabs>
              <w:tab w:val="right" w:leader="dot" w:pos="9025.511811023624"/>
            </w:tabs>
            <w:spacing w:before="60" w:lineRule="auto"/>
            <w:rPr>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sz w:val="28"/>
                <w:szCs w:val="28"/>
                <w:u w:val="none"/>
                <w:rtl w:val="0"/>
              </w:rPr>
              <w:t xml:space="preserve">Glossary</w:t>
              <w:tab/>
            </w:r>
          </w:hyperlink>
          <w:r w:rsidDel="00000000" w:rsidR="00000000" w:rsidRPr="00000000">
            <w:fldChar w:fldCharType="begin"/>
            <w:instrText xml:space="preserve"> PAGEREF  \h </w:instrText>
            <w:fldChar w:fldCharType="separate"/>
          </w:r>
          <w:r w:rsidDel="00000000" w:rsidR="00000000" w:rsidRPr="00000000">
            <w:rPr>
              <w:b w:val="1"/>
              <w:bCs w:val="1"/>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Rule="auto"/>
            <w:rPr>
              <w:b w:val="1"/>
              <w:bCs w:val="1"/>
              <w:color w:val="000000"/>
              <w:sz w:val="24"/>
              <w:szCs w:val="24"/>
              <w:u w:val="none"/>
            </w:rPr>
          </w:pPr>
          <w:hyperlink w:anchor="">
            <w:r w:rsidDel="00000000" w:rsidR="00000000" w:rsidRPr="00000000">
              <w:rPr>
                <w:b w:val="1"/>
                <w:bCs w:val="1"/>
                <w:color w:val="000000"/>
                <w:sz w:val="24"/>
                <w:szCs w:val="24"/>
                <w:u w:val="none"/>
                <w:rtl w:val="0"/>
              </w:rPr>
              <w:t xml:space="preserve">1. Current Site Evaluation</w:t>
              <w:tab/>
            </w:r>
          </w:hyperlink>
          <w:r w:rsidDel="00000000" w:rsidR="00000000" w:rsidRPr="00000000">
            <w:fldChar w:fldCharType="begin"/>
            <w:instrText xml:space="preserve"> PAGEREF  \h </w:instrText>
            <w:fldChar w:fldCharType="separate"/>
          </w:r>
          <w:r w:rsidDel="00000000" w:rsidR="00000000" w:rsidRPr="00000000">
            <w:rPr>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 Strengths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 Weaknesses and Usability Issues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Rule="auto"/>
            <w:rPr>
              <w:b w:val="1"/>
              <w:bCs w:val="1"/>
              <w:color w:val="000000"/>
              <w:sz w:val="24"/>
              <w:szCs w:val="24"/>
              <w:u w:val="none"/>
            </w:rPr>
          </w:pPr>
          <w:hyperlink w:anchor="">
            <w:r w:rsidDel="00000000" w:rsidR="00000000" w:rsidRPr="00000000">
              <w:rPr>
                <w:b w:val="1"/>
                <w:bCs w:val="1"/>
                <w:color w:val="000000"/>
                <w:sz w:val="24"/>
                <w:szCs w:val="24"/>
                <w:u w:val="none"/>
                <w:rtl w:val="0"/>
              </w:rPr>
              <w:t xml:space="preserve">2. Redesign Objectives</w:t>
              <w:tab/>
            </w:r>
          </w:hyperlink>
          <w:r w:rsidDel="00000000" w:rsidR="00000000" w:rsidRPr="00000000">
            <w:fldChar w:fldCharType="begin"/>
            <w:instrText xml:space="preserve"> PAGEREF  \h </w:instrText>
            <w:fldChar w:fldCharType="separate"/>
          </w:r>
          <w:r w:rsidDel="00000000" w:rsidR="00000000" w:rsidRPr="00000000">
            <w:rPr>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Rule="auto"/>
            <w:rPr>
              <w:b w:val="1"/>
              <w:bCs w:val="1"/>
              <w:color w:val="000000"/>
              <w:sz w:val="24"/>
              <w:szCs w:val="24"/>
              <w:u w:val="none"/>
            </w:rPr>
          </w:pPr>
          <w:hyperlink w:anchor="">
            <w:r w:rsidDel="00000000" w:rsidR="00000000" w:rsidRPr="00000000">
              <w:rPr>
                <w:b w:val="1"/>
                <w:bCs w:val="1"/>
                <w:color w:val="000000"/>
                <w:sz w:val="24"/>
                <w:szCs w:val="24"/>
                <w:u w:val="none"/>
                <w:rtl w:val="0"/>
              </w:rPr>
              <w:t xml:space="preserve">3. Proposed Changes</w:t>
              <w:tab/>
            </w:r>
          </w:hyperlink>
          <w:r w:rsidDel="00000000" w:rsidR="00000000" w:rsidRPr="00000000">
            <w:fldChar w:fldCharType="begin"/>
            <w:instrText xml:space="preserve"> PAGEREF  \h </w:instrText>
            <w:fldChar w:fldCharType="separate"/>
          </w:r>
          <w:r w:rsidDel="00000000" w:rsidR="00000000" w:rsidRPr="00000000">
            <w:rPr>
              <w:b w:val="1"/>
              <w:bCs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3.1 Layout and Structure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3.2 Navigation and Interaction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3.3 Visual Theme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Rule="auto"/>
            <w:rPr>
              <w:b w:val="1"/>
              <w:bCs w:val="1"/>
              <w:color w:val="000000"/>
              <w:sz w:val="24"/>
              <w:szCs w:val="24"/>
              <w:u w:val="none"/>
            </w:rPr>
          </w:pPr>
          <w:hyperlink w:anchor="">
            <w:r w:rsidDel="00000000" w:rsidR="00000000" w:rsidRPr="00000000">
              <w:rPr>
                <w:b w:val="1"/>
                <w:bCs w:val="1"/>
                <w:color w:val="000000"/>
                <w:sz w:val="24"/>
                <w:szCs w:val="24"/>
                <w:u w:val="none"/>
                <w:rtl w:val="0"/>
              </w:rPr>
              <w:t xml:space="preserve">4. Design Rationale</w:t>
              <w:tab/>
            </w:r>
          </w:hyperlink>
          <w:r w:rsidDel="00000000" w:rsidR="00000000" w:rsidRPr="00000000">
            <w:fldChar w:fldCharType="begin"/>
            <w:instrText xml:space="preserve"> PAGEREF  \h </w:instrText>
            <w:fldChar w:fldCharType="separate"/>
          </w:r>
          <w:r w:rsidDel="00000000" w:rsidR="00000000" w:rsidRPr="00000000">
            <w:rPr>
              <w:b w:val="1"/>
              <w:bCs w:val="1"/>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Rule="auto"/>
            <w:rPr>
              <w:b w:val="1"/>
              <w:bCs w:val="1"/>
              <w:color w:val="000000"/>
              <w:sz w:val="24"/>
              <w:szCs w:val="24"/>
              <w:u w:val="none"/>
            </w:rPr>
          </w:pPr>
          <w:hyperlink w:anchor="">
            <w:r w:rsidDel="00000000" w:rsidR="00000000" w:rsidRPr="00000000">
              <w:rPr>
                <w:b w:val="1"/>
                <w:bCs w:val="1"/>
                <w:color w:val="000000"/>
                <w:sz w:val="24"/>
                <w:szCs w:val="24"/>
                <w:u w:val="none"/>
                <w:rtl w:val="0"/>
              </w:rPr>
              <w:t xml:space="preserve">5. Implementation Considerations</w:t>
              <w:tab/>
            </w:r>
          </w:hyperlink>
          <w:r w:rsidDel="00000000" w:rsidR="00000000" w:rsidRPr="00000000">
            <w:fldChar w:fldCharType="begin"/>
            <w:instrText xml:space="preserve"> PAGEREF  \h </w:instrText>
            <w:fldChar w:fldCharType="separate"/>
          </w:r>
          <w:r w:rsidDel="00000000" w:rsidR="00000000" w:rsidRPr="00000000">
            <w:rPr>
              <w:b w:val="1"/>
              <w:bCs w:val="1"/>
              <w:sz w:val="24"/>
              <w:szCs w:val="24"/>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Style w:val="Heading1"/>
        <w:spacing w:after="12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20" w:before="280" w:lineRule="auto"/>
        <w:rPr/>
      </w:pPr>
      <w:r w:rsidDel="00000000" w:rsidR="00000000" w:rsidRPr="00000000">
        <w:rPr>
          <w:rFonts w:ascii="Arial" w:cs="Arial" w:eastAsia="Arial" w:hAnsi="Arial"/>
          <w:b w:val="1"/>
          <w:bCs w:val="1"/>
          <w:sz w:val="28"/>
          <w:szCs w:val="28"/>
          <w:rtl w:val="0"/>
        </w:rPr>
        <w:t xml:space="preserve">Glossary</w:t>
      </w:r>
      <w:r w:rsidDel="00000000" w:rsidR="00000000" w:rsidRPr="00000000">
        <w:rPr>
          <w:rtl w:val="0"/>
        </w:rPr>
      </w:r>
    </w:p>
    <w:p w:rsidR="00000000" w:rsidDel="00000000" w:rsidP="00000000" w:rsidRDefault="00000000" w:rsidRPr="00000000" w14:paraId="00000010">
      <w:pPr>
        <w:spacing w:after="140" w:lineRule="auto"/>
        <w:rPr/>
      </w:pPr>
      <w:r w:rsidDel="00000000" w:rsidR="00000000" w:rsidRPr="00000000">
        <w:rPr>
          <w:rFonts w:ascii="Arial" w:cs="Arial" w:eastAsia="Arial" w:hAnsi="Arial"/>
          <w:b w:val="1"/>
          <w:bCs w:val="1"/>
          <w:sz w:val="22"/>
          <w:szCs w:val="22"/>
          <w:rtl w:val="0"/>
        </w:rPr>
        <w:t xml:space="preserve">CTA (Call to Action): </w:t>
      </w:r>
      <w:r w:rsidDel="00000000" w:rsidR="00000000" w:rsidRPr="00000000">
        <w:rPr>
          <w:rFonts w:ascii="Arial" w:cs="Arial" w:eastAsia="Arial" w:hAnsi="Arial"/>
          <w:sz w:val="22"/>
          <w:szCs w:val="22"/>
          <w:rtl w:val="0"/>
        </w:rPr>
        <w:t xml:space="preserve">A button or link prompting a specific user action, such as Donate or Sign the Petition.</w:t>
      </w:r>
      <w:r w:rsidDel="00000000" w:rsidR="00000000" w:rsidRPr="00000000">
        <w:rPr>
          <w:rtl w:val="0"/>
        </w:rPr>
      </w:r>
    </w:p>
    <w:p w:rsidR="00000000" w:rsidDel="00000000" w:rsidP="00000000" w:rsidRDefault="00000000" w:rsidRPr="00000000" w14:paraId="00000011">
      <w:pPr>
        <w:spacing w:after="140" w:lineRule="auto"/>
        <w:rPr/>
      </w:pPr>
      <w:r w:rsidDel="00000000" w:rsidR="00000000" w:rsidRPr="00000000">
        <w:rPr>
          <w:rFonts w:ascii="Arial" w:cs="Arial" w:eastAsia="Arial" w:hAnsi="Arial"/>
          <w:b w:val="1"/>
          <w:bCs w:val="1"/>
          <w:sz w:val="22"/>
          <w:szCs w:val="22"/>
          <w:rtl w:val="0"/>
        </w:rPr>
        <w:t xml:space="preserve">WCAG 2.1 AA: </w:t>
      </w:r>
      <w:r w:rsidDel="00000000" w:rsidR="00000000" w:rsidRPr="00000000">
        <w:rPr>
          <w:rFonts w:ascii="Arial" w:cs="Arial" w:eastAsia="Arial" w:hAnsi="Arial"/>
          <w:sz w:val="22"/>
          <w:szCs w:val="22"/>
          <w:rtl w:val="0"/>
        </w:rPr>
        <w:t xml:space="preserve">The internationally accepted minimum accessibility standard, requiring a colour contrast ratio of at least 4.5:1 for body text.</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pStyle w:val="Heading1"/>
        <w:spacing w:after="12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20" w:before="280" w:lineRule="auto"/>
        <w:rPr/>
      </w:pPr>
      <w:r w:rsidDel="00000000" w:rsidR="00000000" w:rsidRPr="00000000">
        <w:rPr>
          <w:rFonts w:ascii="Arial" w:cs="Arial" w:eastAsia="Arial" w:hAnsi="Arial"/>
          <w:b w:val="1"/>
          <w:bCs w:val="1"/>
          <w:sz w:val="28"/>
          <w:szCs w:val="28"/>
          <w:rtl w:val="0"/>
        </w:rPr>
        <w:t xml:space="preserve">1. Current Site Evaluation</w:t>
      </w:r>
      <w:r w:rsidDel="00000000" w:rsidR="00000000" w:rsidRPr="00000000">
        <w:rPr>
          <w:rtl w:val="0"/>
        </w:rPr>
      </w:r>
    </w:p>
    <w:p w:rsidR="00000000" w:rsidDel="00000000" w:rsidP="00000000" w:rsidRDefault="00000000" w:rsidRPr="00000000" w14:paraId="00000015">
      <w:pPr>
        <w:pStyle w:val="Heading2"/>
        <w:spacing w:after="100" w:before="200" w:lineRule="auto"/>
        <w:rPr/>
      </w:pPr>
      <w:r w:rsidDel="00000000" w:rsidR="00000000" w:rsidRPr="00000000">
        <w:rPr>
          <w:rFonts w:ascii="Arial" w:cs="Arial" w:eastAsia="Arial" w:hAnsi="Arial"/>
          <w:b w:val="1"/>
          <w:bCs w:val="1"/>
          <w:sz w:val="24"/>
          <w:szCs w:val="24"/>
          <w:rtl w:val="0"/>
        </w:rPr>
        <w:t xml:space="preserve">1.1 Strengths</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rFonts w:ascii="Arial" w:cs="Arial" w:eastAsia="Arial" w:hAnsi="Arial"/>
          <w:sz w:val="22"/>
          <w:szCs w:val="22"/>
          <w:rtl w:val="0"/>
        </w:rPr>
        <w:t xml:space="preserve">The homepage uses full-width documentary photography that communicates the organisation's purpose before a visitor reads a single word. A language switcher in the header supports the NGO's international audience, and navigation labels such as Get Involved and News allow new visitors to orient themselves quickly.</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pStyle w:val="Heading2"/>
        <w:spacing w:after="100" w:before="200" w:lineRule="auto"/>
        <w:rPr/>
      </w:pPr>
      <w:r w:rsidDel="00000000" w:rsidR="00000000" w:rsidRPr="00000000">
        <w:rPr>
          <w:rFonts w:ascii="Arial" w:cs="Arial" w:eastAsia="Arial" w:hAnsi="Arial"/>
          <w:b w:val="1"/>
          <w:bCs w:val="1"/>
          <w:sz w:val="24"/>
          <w:szCs w:val="24"/>
          <w:rtl w:val="0"/>
        </w:rPr>
        <w:t xml:space="preserve">1.2 Weaknesses and Usability Issues</w:t>
      </w:r>
      <w:r w:rsidDel="00000000" w:rsidR="00000000" w:rsidRPr="00000000">
        <w:rPr>
          <w:rtl w:val="0"/>
        </w:rPr>
      </w:r>
    </w:p>
    <w:p w:rsidR="00000000" w:rsidDel="00000000" w:rsidP="00000000" w:rsidRDefault="00000000" w:rsidRPr="00000000" w14:paraId="00000019">
      <w:pPr>
        <w:spacing w:after="140" w:lineRule="auto"/>
        <w:rPr/>
      </w:pPr>
      <w:r w:rsidDel="00000000" w:rsidR="00000000" w:rsidRPr="00000000">
        <w:rPr>
          <w:rFonts w:ascii="Arial" w:cs="Arial" w:eastAsia="Arial" w:hAnsi="Arial"/>
          <w:b w:val="1"/>
          <w:bCs w:val="1"/>
          <w:sz w:val="22"/>
          <w:szCs w:val="22"/>
          <w:rtl w:val="0"/>
        </w:rPr>
        <w:t xml:space="preserve">Weakness 1 — Readability: </w:t>
      </w:r>
      <w:r w:rsidDel="00000000" w:rsidR="00000000" w:rsidRPr="00000000">
        <w:rPr>
          <w:rFonts w:ascii="Arial" w:cs="Arial" w:eastAsia="Arial" w:hAnsi="Arial"/>
          <w:sz w:val="22"/>
          <w:szCs w:val="22"/>
          <w:rtl w:val="0"/>
        </w:rPr>
        <w:t xml:space="preserve">Body text is small and thin-weight on a white background. Although this technically passes WCAG contrast ratios, the combination makes extended reading uncomfortable, particularly for users with reduced visual acuity. There is also insufficient typographic differentiation between body text and subheadings, making it hard to scan content without reading line by line.</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spacing w:after="140" w:lineRule="auto"/>
        <w:rPr/>
      </w:pPr>
      <w:r w:rsidDel="00000000" w:rsidR="00000000" w:rsidRPr="00000000">
        <w:rPr>
          <w:rFonts w:ascii="Arial" w:cs="Arial" w:eastAsia="Arial" w:hAnsi="Arial"/>
          <w:b w:val="1"/>
          <w:bCs w:val="1"/>
          <w:sz w:val="22"/>
          <w:szCs w:val="22"/>
          <w:rtl w:val="0"/>
        </w:rPr>
        <w:t xml:space="preserve">Weakness 2 — Fixed-width layout: </w:t>
      </w:r>
      <w:r w:rsidDel="00000000" w:rsidR="00000000" w:rsidRPr="00000000">
        <w:rPr>
          <w:rFonts w:ascii="Arial" w:cs="Arial" w:eastAsia="Arial" w:hAnsi="Arial"/>
          <w:sz w:val="22"/>
          <w:szCs w:val="22"/>
          <w:rtl w:val="0"/>
        </w:rPr>
        <w:t xml:space="preserve">The content container is sized for a 13-inch screen. On monitors of </w:t>
      </w:r>
      <w:r w:rsidDel="00000000" w:rsidR="00000000" w:rsidRPr="00000000">
        <w:rPr>
          <w:rtl w:val="0"/>
        </w:rPr>
        <w:t xml:space="preserve">1440 px</w:t>
      </w:r>
      <w:r w:rsidDel="00000000" w:rsidR="00000000" w:rsidRPr="00000000">
        <w:rPr>
          <w:rFonts w:ascii="Arial" w:cs="Arial" w:eastAsia="Arial" w:hAnsi="Arial"/>
          <w:sz w:val="22"/>
          <w:szCs w:val="22"/>
          <w:rtl w:val="0"/>
        </w:rPr>
        <w:t xml:space="preserve"> and above it produces large blank margins on either side, making the layout appear unfinished and wasting available screen space.</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140" w:lineRule="auto"/>
        <w:rPr/>
      </w:pPr>
      <w:r w:rsidDel="00000000" w:rsidR="00000000" w:rsidRPr="00000000">
        <w:rPr>
          <w:rFonts w:ascii="Arial" w:cs="Arial" w:eastAsia="Arial" w:hAnsi="Arial"/>
          <w:b w:val="1"/>
          <w:bCs w:val="1"/>
          <w:sz w:val="22"/>
          <w:szCs w:val="22"/>
          <w:rtl w:val="0"/>
        </w:rPr>
        <w:t xml:space="preserve">Weakness 3 — Button affordance: </w:t>
      </w:r>
      <w:r w:rsidDel="00000000" w:rsidR="00000000" w:rsidRPr="00000000">
        <w:rPr>
          <w:rFonts w:ascii="Arial" w:cs="Arial" w:eastAsia="Arial" w:hAnsi="Arial"/>
          <w:sz w:val="22"/>
          <w:szCs w:val="22"/>
          <w:rtl w:val="0"/>
        </w:rPr>
        <w:t xml:space="preserve">Several CTAs are styled as underlined text links rather than button elements. Where button elements exist, they do not contrast reliably against the page background, and at least two distinct button colour treatments are used with no consistent rule. Users must look carefully to identify interactive elements, which increases time-on-task.</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rFonts w:ascii="Arial" w:cs="Arial" w:eastAsia="Arial" w:hAnsi="Arial"/>
          <w:b w:val="1"/>
          <w:bCs w:val="1"/>
          <w:sz w:val="22"/>
          <w:szCs w:val="22"/>
          <w:rtl w:val="0"/>
        </w:rPr>
        <w:t xml:space="preserve">Weakness 4 — Cookie badge on mobile: </w:t>
      </w:r>
      <w:r w:rsidDel="00000000" w:rsidR="00000000" w:rsidRPr="00000000">
        <w:rPr>
          <w:rFonts w:ascii="Arial" w:cs="Arial" w:eastAsia="Arial" w:hAnsi="Arial"/>
          <w:sz w:val="22"/>
          <w:szCs w:val="22"/>
          <w:rtl w:val="0"/>
        </w:rPr>
        <w:t xml:space="preserve">The cookie settings badge floats over the main content area on mobile viewports rather than anchoring to the footer. It partially obscures navigation links and body text, directly blocking users from interacting with the page.</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spacing w:after="140" w:lineRule="auto"/>
        <w:rPr/>
      </w:pPr>
      <w:r w:rsidDel="00000000" w:rsidR="00000000" w:rsidRPr="00000000">
        <w:rPr>
          <w:rFonts w:ascii="Arial" w:cs="Arial" w:eastAsia="Arial" w:hAnsi="Arial"/>
          <w:b w:val="1"/>
          <w:bCs w:val="1"/>
          <w:sz w:val="22"/>
          <w:szCs w:val="22"/>
          <w:rtl w:val="0"/>
        </w:rPr>
        <w:t xml:space="preserve">Weakness 5 — Low-visibility action links: </w:t>
      </w:r>
      <w:r w:rsidDel="00000000" w:rsidR="00000000" w:rsidRPr="00000000">
        <w:rPr>
          <w:rFonts w:ascii="Arial" w:cs="Arial" w:eastAsia="Arial" w:hAnsi="Arial"/>
          <w:sz w:val="22"/>
          <w:szCs w:val="22"/>
          <w:rtl w:val="0"/>
        </w:rPr>
        <w:t xml:space="preserve">High-priority actions such as Join as an international member are styled identically to standard navigation links. They carry no visual priority and are likely to be overlooked, particularly on mobile where tap targets are also undersized.</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pStyle w:val="Heading1"/>
        <w:spacing w:after="12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120" w:before="280" w:lineRule="auto"/>
        <w:rPr/>
      </w:pPr>
      <w:r w:rsidDel="00000000" w:rsidR="00000000" w:rsidRPr="00000000">
        <w:rPr>
          <w:rFonts w:ascii="Arial" w:cs="Arial" w:eastAsia="Arial" w:hAnsi="Arial"/>
          <w:b w:val="1"/>
          <w:bCs w:val="1"/>
          <w:sz w:val="28"/>
          <w:szCs w:val="28"/>
          <w:rtl w:val="0"/>
        </w:rPr>
        <w:t xml:space="preserve">2. Redesign Objectives</w:t>
      </w:r>
      <w:r w:rsidDel="00000000" w:rsidR="00000000" w:rsidRPr="00000000">
        <w:rPr>
          <w:rtl w:val="0"/>
        </w:rPr>
      </w:r>
    </w:p>
    <w:p w:rsidR="00000000" w:rsidDel="00000000" w:rsidP="00000000" w:rsidRDefault="00000000" w:rsidRPr="00000000" w14:paraId="00000025">
      <w:pPr>
        <w:spacing w:after="140" w:lineRule="auto"/>
        <w:rPr/>
      </w:pPr>
      <w:r w:rsidDel="00000000" w:rsidR="00000000" w:rsidRPr="00000000">
        <w:rPr>
          <w:rFonts w:ascii="Arial" w:cs="Arial" w:eastAsia="Arial" w:hAnsi="Arial"/>
          <w:sz w:val="22"/>
          <w:szCs w:val="22"/>
          <w:rtl w:val="0"/>
        </w:rPr>
        <w:t xml:space="preserve">Each objective responds directly to the weaknesses above.</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A — Improve readability through contrast variation (Weakness 1): Replace the uniform white background with alternating sections in Amnesty Yellow, Black, and Space Grey (#726E6D) to reduce visual monotony and make body text easier to scan.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B — Establish visual hierarchy (Weaknesses 1 and 5): Introduce bold, large-scale typographic headings at section entry points so users can immediately identify where they are and what action each section requires.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C — Increase button affordance and consistency (Weaknesses 3 and 5): Redesign all CTAs as high-contrast button elements. Every button must contrast visibly against its section background, and key actions such as Donate and Join must be distinguishable from navigation links.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D — Implement a responsive, fluid layout (Weaknesses 2 and 4): Replace the fixed-width container with a fluid grid that fills any screen width. Reposition the cookie badge to a fixed location at the base of the viewport to remove the mobile obstruction.</w:t>
      </w:r>
    </w:p>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pStyle w:val="Heading1"/>
        <w:spacing w:after="12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120" w:before="280" w:lineRule="auto"/>
        <w:rPr/>
      </w:pPr>
      <w:r w:rsidDel="00000000" w:rsidR="00000000" w:rsidRPr="00000000">
        <w:rPr>
          <w:rFonts w:ascii="Arial" w:cs="Arial" w:eastAsia="Arial" w:hAnsi="Arial"/>
          <w:b w:val="1"/>
          <w:bCs w:val="1"/>
          <w:sz w:val="28"/>
          <w:szCs w:val="28"/>
          <w:rtl w:val="0"/>
        </w:rPr>
        <w:t xml:space="preserve">3. Proposed Changes</w:t>
      </w:r>
      <w:r w:rsidDel="00000000" w:rsidR="00000000" w:rsidRPr="00000000">
        <w:rPr>
          <w:rtl w:val="0"/>
        </w:rPr>
      </w:r>
    </w:p>
    <w:p w:rsidR="00000000" w:rsidDel="00000000" w:rsidP="00000000" w:rsidRDefault="00000000" w:rsidRPr="00000000" w14:paraId="0000002E">
      <w:pPr>
        <w:pStyle w:val="Heading2"/>
        <w:spacing w:after="100" w:before="200" w:lineRule="auto"/>
        <w:rPr/>
      </w:pPr>
      <w:r w:rsidDel="00000000" w:rsidR="00000000" w:rsidRPr="00000000">
        <w:rPr>
          <w:rFonts w:ascii="Arial" w:cs="Arial" w:eastAsia="Arial" w:hAnsi="Arial"/>
          <w:b w:val="1"/>
          <w:bCs w:val="1"/>
          <w:sz w:val="24"/>
          <w:szCs w:val="24"/>
          <w:rtl w:val="0"/>
        </w:rPr>
        <w:t xml:space="preserve">3.1 Layout and Structure</w:t>
      </w:r>
      <w:r w:rsidDel="00000000" w:rsidR="00000000" w:rsidRPr="00000000">
        <w:rPr>
          <w:rtl w:val="0"/>
        </w:rPr>
      </w:r>
    </w:p>
    <w:p w:rsidR="00000000" w:rsidDel="00000000" w:rsidP="00000000" w:rsidRDefault="00000000" w:rsidRPr="00000000" w14:paraId="0000002F">
      <w:pPr>
        <w:spacing w:after="140" w:lineRule="auto"/>
        <w:rPr/>
      </w:pPr>
      <w:r w:rsidDel="00000000" w:rsidR="00000000" w:rsidRPr="00000000">
        <w:rPr>
          <w:rFonts w:ascii="Arial" w:cs="Arial" w:eastAsia="Arial" w:hAnsi="Arial"/>
          <w:sz w:val="22"/>
          <w:szCs w:val="22"/>
          <w:rtl w:val="0"/>
        </w:rPr>
        <w:t xml:space="preserve">The fixed-width container will be replaced with a fluid grid. This directly addresses Weakness 2: the current layout leaves significant screen area unused on monitors above 1440px, making the site appear unfinished. Each major section will fill the full screen width, and on initial load the full visible height, so content is presented intentionally rather than as a narrow central column. The cookie badge will be anchored to the bottom-right corner of the viewport on all devices, resolving the mobile obstruction in Weakness 4.</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pStyle w:val="Heading2"/>
        <w:spacing w:after="100" w:before="200" w:lineRule="auto"/>
        <w:rPr/>
      </w:pPr>
      <w:r w:rsidDel="00000000" w:rsidR="00000000" w:rsidRPr="00000000">
        <w:rPr>
          <w:rFonts w:ascii="Arial" w:cs="Arial" w:eastAsia="Arial" w:hAnsi="Arial"/>
          <w:b w:val="1"/>
          <w:bCs w:val="1"/>
          <w:sz w:val="24"/>
          <w:szCs w:val="24"/>
          <w:rtl w:val="0"/>
        </w:rPr>
        <w:t xml:space="preserve">3.2 Navigation and Interaction</w:t>
      </w:r>
      <w:r w:rsidDel="00000000" w:rsidR="00000000" w:rsidRPr="00000000">
        <w:rPr>
          <w:rtl w:val="0"/>
        </w:rPr>
      </w:r>
    </w:p>
    <w:p w:rsidR="00000000" w:rsidDel="00000000" w:rsidP="00000000" w:rsidRDefault="00000000" w:rsidRPr="00000000" w14:paraId="00000032">
      <w:pPr>
        <w:spacing w:after="140" w:lineRule="auto"/>
        <w:rPr/>
      </w:pPr>
      <w:r w:rsidDel="00000000" w:rsidR="00000000" w:rsidRPr="00000000">
        <w:rPr>
          <w:rFonts w:ascii="Arial" w:cs="Arial" w:eastAsia="Arial" w:hAnsi="Arial"/>
          <w:sz w:val="22"/>
          <w:szCs w:val="22"/>
          <w:rtl w:val="0"/>
        </w:rPr>
        <w:t xml:space="preserve">A persistent Donate button will be fixed to the lower-left of the viewport. Many users arrive at campaign pages via social media links, bypassing the header entirely. Once past the navigation bar, there is no visible path to donate without scrolling back to the top. The fixed button maintains this action at every scroll position without restructuring the navigation. To avoid obstructing content, it will not exceed 120px wide and will collapse to an icon below 480px. Clicking it opens a donation overlay rather than navigating away, preserving the user's scroll position in the article they were reading.</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pStyle w:val="Heading2"/>
        <w:spacing w:after="100" w:before="200" w:lineRule="auto"/>
        <w:rPr/>
      </w:pPr>
      <w:r w:rsidDel="00000000" w:rsidR="00000000" w:rsidRPr="00000000">
        <w:rPr>
          <w:rFonts w:ascii="Arial" w:cs="Arial" w:eastAsia="Arial" w:hAnsi="Arial"/>
          <w:b w:val="1"/>
          <w:bCs w:val="1"/>
          <w:sz w:val="24"/>
          <w:szCs w:val="24"/>
          <w:rtl w:val="0"/>
        </w:rPr>
        <w:t xml:space="preserve">3.3 Visual Theme</w:t>
      </w:r>
      <w:r w:rsidDel="00000000" w:rsidR="00000000" w:rsidRPr="00000000">
        <w:rPr>
          <w:rtl w:val="0"/>
        </w:rPr>
      </w:r>
    </w:p>
    <w:p w:rsidR="00000000" w:rsidDel="00000000" w:rsidP="00000000" w:rsidRDefault="00000000" w:rsidRPr="00000000" w14:paraId="00000035">
      <w:pPr>
        <w:spacing w:after="140" w:lineRule="auto"/>
        <w:rPr/>
      </w:pPr>
      <w:r w:rsidDel="00000000" w:rsidR="00000000" w:rsidRPr="00000000">
        <w:rPr>
          <w:rFonts w:ascii="Arial" w:cs="Arial" w:eastAsia="Arial" w:hAnsi="Arial"/>
          <w:sz w:val="22"/>
          <w:szCs w:val="22"/>
          <w:rtl w:val="0"/>
        </w:rPr>
        <w:t xml:space="preserve">Sections will alternate between Black and Amnesty Yellow (#FFFF00), creating clear visual boundaries between content types. Text-heavy sections such as research summaries will use Space Grey (#726E6D) to reduce contrast fatigue, directly addressing Weakness 1. Button colour follows a consistent rule: White on Black, Black on Yellow, Yellow on Grey. All buttons include a hover state that inverts foreground and background, confirming interactivity and resolving the affordance ambiguity in Weakness 3.</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pStyle w:val="Heading1"/>
        <w:spacing w:after="12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120" w:before="280" w:lineRule="auto"/>
        <w:rPr/>
      </w:pPr>
      <w:r w:rsidDel="00000000" w:rsidR="00000000" w:rsidRPr="00000000">
        <w:rPr>
          <w:rFonts w:ascii="Arial" w:cs="Arial" w:eastAsia="Arial" w:hAnsi="Arial"/>
          <w:b w:val="1"/>
          <w:bCs w:val="1"/>
          <w:sz w:val="28"/>
          <w:szCs w:val="28"/>
          <w:rtl w:val="0"/>
        </w:rPr>
        <w:t xml:space="preserve">4. Design Rationale</w:t>
      </w:r>
      <w:r w:rsidDel="00000000" w:rsidR="00000000" w:rsidRPr="00000000">
        <w:rPr>
          <w:rtl w:val="0"/>
        </w:rPr>
      </w:r>
    </w:p>
    <w:p w:rsidR="00000000" w:rsidDel="00000000" w:rsidP="00000000" w:rsidRDefault="00000000" w:rsidRPr="00000000" w14:paraId="00000039">
      <w:pPr>
        <w:spacing w:after="140" w:lineRule="auto"/>
        <w:rPr/>
      </w:pPr>
      <w:r w:rsidDel="00000000" w:rsidR="00000000" w:rsidRPr="00000000">
        <w:rPr>
          <w:rFonts w:ascii="Arial" w:cs="Arial" w:eastAsia="Arial" w:hAnsi="Arial"/>
          <w:sz w:val="22"/>
          <w:szCs w:val="22"/>
          <w:rtl w:val="0"/>
        </w:rPr>
        <w:t xml:space="preserve">Alternating high-contrast sections give users a visual rhythm to navigate by. The background colour signals section boundaries passively, reducing the cognitive effort required to move through the page. The fixed Donate button addresses a real navigation gap without requiring structural changes to the site. Constraining its footprint and collapsing it on small screens ensures it aids rather than distracts. An overlay keeps the donation transaction contained, so users who are mid-scroll on a campaign article are not removed from their context. Documenting the button colour rules explicitly prevents future contributors from introducing low-contrast combinations during content updates.</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pStyle w:val="Heading1"/>
        <w:spacing w:after="12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120" w:before="280" w:lineRule="auto"/>
        <w:rPr/>
      </w:pPr>
      <w:r w:rsidDel="00000000" w:rsidR="00000000" w:rsidRPr="00000000">
        <w:rPr>
          <w:rFonts w:ascii="Arial" w:cs="Arial" w:eastAsia="Arial" w:hAnsi="Arial"/>
          <w:b w:val="1"/>
          <w:bCs w:val="1"/>
          <w:sz w:val="28"/>
          <w:szCs w:val="28"/>
          <w:rtl w:val="0"/>
        </w:rPr>
        <w:t xml:space="preserve">5. Implementation Considerations</w:t>
      </w:r>
      <w:r w:rsidDel="00000000" w:rsidR="00000000" w:rsidRPr="00000000">
        <w:rPr>
          <w:rtl w:val="0"/>
        </w:rPr>
      </w:r>
    </w:p>
    <w:p w:rsidR="00000000" w:rsidDel="00000000" w:rsidP="00000000" w:rsidRDefault="00000000" w:rsidRPr="00000000" w14:paraId="0000003D">
      <w:pPr>
        <w:spacing w:after="140" w:lineRule="auto"/>
        <w:rPr/>
      </w:pPr>
      <w:r w:rsidDel="00000000" w:rsidR="00000000" w:rsidRPr="00000000">
        <w:rPr>
          <w:rFonts w:ascii="Arial" w:cs="Arial" w:eastAsia="Arial" w:hAnsi="Arial"/>
          <w:sz w:val="22"/>
          <w:szCs w:val="22"/>
          <w:rtl w:val="0"/>
        </w:rPr>
        <w:t xml:space="preserve">Fluid typography will use CSS Clamp functions to scale smoothly across screen sizes, removing the need for separate declarations at each breakpoint and reducing maintenance overhead. The page will be structured using semantic HTML5 elements — including nav, main, section, and article — providing screen readers with meaningful landmarks so non-visual users can navigate by section rather than tabbing through every element. All interactive elements will be keyboard-focusable with visible focus indicators meeting WCAG 2.1 AA. The donation overlay will trap keyboard focus while open. All proposed colour pairings will be tested against WCAG contrast requirements before deployment. Reusable components for buttons, forms, and cards will be defined once and applied across all pages, so design changes propagate from a single source — important for an organisation that publishes campaign content regularly.</w:t>
      </w: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